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408B" w14:textId="77777777" w:rsidR="00401B46" w:rsidRPr="00277874" w:rsidRDefault="00401B46" w:rsidP="00401B46">
      <w:pPr>
        <w:rPr>
          <w:rFonts w:ascii="Arial" w:hAnsi="Arial" w:cs="Arial"/>
          <w:b/>
          <w:sz w:val="24"/>
          <w:szCs w:val="24"/>
        </w:rPr>
      </w:pPr>
      <w:r w:rsidRPr="00277874">
        <w:rPr>
          <w:rFonts w:ascii="Arial" w:hAnsi="Arial" w:cs="Arial"/>
          <w:b/>
          <w:sz w:val="24"/>
          <w:szCs w:val="24"/>
        </w:rPr>
        <w:t xml:space="preserve">Strengthening Provider–EHR Vendor–REC Collaboration </w:t>
      </w:r>
    </w:p>
    <w:p w14:paraId="7709DADA" w14:textId="77777777" w:rsidR="00401B46" w:rsidRPr="00A8666A" w:rsidRDefault="008B2613" w:rsidP="00401B4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Overview</w:t>
      </w:r>
    </w:p>
    <w:p w14:paraId="501DCC8A" w14:textId="77777777" w:rsidR="00401B46" w:rsidRPr="008C5D5B" w:rsidRDefault="00401B46" w:rsidP="008C5D5B">
      <w:pPr>
        <w:pStyle w:val="ListParagraph"/>
        <w:ind w:left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8666A">
        <w:rPr>
          <w:rFonts w:ascii="Arial" w:hAnsi="Arial" w:cs="Arial"/>
          <w:sz w:val="20"/>
          <w:szCs w:val="20"/>
        </w:rPr>
        <w:t xml:space="preserve">These are steps that </w:t>
      </w:r>
      <w:r w:rsidR="00CC35A9">
        <w:rPr>
          <w:rFonts w:ascii="Arial" w:hAnsi="Arial" w:cs="Arial"/>
          <w:sz w:val="20"/>
          <w:szCs w:val="20"/>
        </w:rPr>
        <w:t>electronic health record (EHR)</w:t>
      </w:r>
      <w:r w:rsidRPr="00A8666A">
        <w:rPr>
          <w:rFonts w:ascii="Arial" w:hAnsi="Arial" w:cs="Arial"/>
          <w:sz w:val="20"/>
          <w:szCs w:val="20"/>
        </w:rPr>
        <w:t xml:space="preserve"> vendors and </w:t>
      </w:r>
      <w:r w:rsidR="001A3E45">
        <w:rPr>
          <w:rFonts w:ascii="Arial" w:hAnsi="Arial" w:cs="Arial"/>
          <w:sz w:val="20"/>
          <w:szCs w:val="20"/>
        </w:rPr>
        <w:t>R</w:t>
      </w:r>
      <w:r w:rsidR="00CC35A9">
        <w:rPr>
          <w:rFonts w:ascii="Arial" w:hAnsi="Arial" w:cs="Arial"/>
          <w:sz w:val="20"/>
          <w:szCs w:val="20"/>
        </w:rPr>
        <w:t xml:space="preserve">egional </w:t>
      </w:r>
      <w:r w:rsidR="001A3E45">
        <w:rPr>
          <w:rFonts w:ascii="Arial" w:hAnsi="Arial" w:cs="Arial"/>
          <w:sz w:val="20"/>
          <w:szCs w:val="20"/>
        </w:rPr>
        <w:t>E</w:t>
      </w:r>
      <w:r w:rsidR="00CC35A9">
        <w:rPr>
          <w:rFonts w:ascii="Arial" w:hAnsi="Arial" w:cs="Arial"/>
          <w:sz w:val="20"/>
          <w:szCs w:val="20"/>
        </w:rPr>
        <w:t xml:space="preserve">xtension </w:t>
      </w:r>
      <w:r w:rsidR="001A3E45">
        <w:rPr>
          <w:rFonts w:ascii="Arial" w:hAnsi="Arial" w:cs="Arial"/>
          <w:sz w:val="20"/>
          <w:szCs w:val="20"/>
        </w:rPr>
        <w:t>C</w:t>
      </w:r>
      <w:r w:rsidR="00CC35A9">
        <w:rPr>
          <w:rFonts w:ascii="Arial" w:hAnsi="Arial" w:cs="Arial"/>
          <w:sz w:val="20"/>
          <w:szCs w:val="20"/>
        </w:rPr>
        <w:t>enters (</w:t>
      </w:r>
      <w:r w:rsidRPr="00A8666A">
        <w:rPr>
          <w:rFonts w:ascii="Arial" w:hAnsi="Arial" w:cs="Arial"/>
          <w:sz w:val="20"/>
          <w:szCs w:val="20"/>
        </w:rPr>
        <w:t>RECs</w:t>
      </w:r>
      <w:r w:rsidR="00CC35A9">
        <w:rPr>
          <w:rFonts w:ascii="Arial" w:hAnsi="Arial" w:cs="Arial"/>
          <w:sz w:val="20"/>
          <w:szCs w:val="20"/>
        </w:rPr>
        <w:t>)</w:t>
      </w:r>
      <w:r w:rsidRPr="00A8666A">
        <w:rPr>
          <w:rFonts w:ascii="Arial" w:hAnsi="Arial" w:cs="Arial"/>
          <w:sz w:val="20"/>
          <w:szCs w:val="20"/>
        </w:rPr>
        <w:t xml:space="preserve"> – and the providers they respectively serve – can take to strengthen their collaboration on measurably improv</w:t>
      </w:r>
      <w:r w:rsidR="00987302">
        <w:rPr>
          <w:rFonts w:ascii="Arial" w:hAnsi="Arial" w:cs="Arial"/>
          <w:sz w:val="20"/>
          <w:szCs w:val="20"/>
        </w:rPr>
        <w:t>ing specific care processes and outcomes</w:t>
      </w:r>
      <w:r w:rsidRPr="00A8666A">
        <w:rPr>
          <w:rFonts w:ascii="Arial" w:hAnsi="Arial" w:cs="Arial"/>
          <w:sz w:val="20"/>
          <w:szCs w:val="20"/>
        </w:rPr>
        <w:t xml:space="preserve">.  </w:t>
      </w:r>
    </w:p>
    <w:p w14:paraId="223CA0FA" w14:textId="77777777" w:rsidR="008C5D5B" w:rsidRPr="006B3795" w:rsidRDefault="008C5D5B" w:rsidP="006B3795">
      <w:pPr>
        <w:rPr>
          <w:rFonts w:ascii="Arial" w:hAnsi="Arial" w:cs="Arial"/>
          <w:sz w:val="20"/>
          <w:szCs w:val="20"/>
        </w:rPr>
      </w:pPr>
    </w:p>
    <w:p w14:paraId="0AF85E4E" w14:textId="77777777" w:rsidR="00401B46" w:rsidRPr="00277874" w:rsidRDefault="008C5D5B" w:rsidP="00277874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A8666A">
        <w:rPr>
          <w:rFonts w:ascii="Arial" w:hAnsi="Arial" w:cs="Arial"/>
          <w:sz w:val="20"/>
          <w:szCs w:val="20"/>
        </w:rPr>
        <w:t xml:space="preserve">Understand </w:t>
      </w:r>
      <w:r w:rsidR="00052CEE">
        <w:rPr>
          <w:rFonts w:ascii="Arial" w:hAnsi="Arial" w:cs="Arial"/>
          <w:sz w:val="20"/>
          <w:szCs w:val="20"/>
        </w:rPr>
        <w:t xml:space="preserve">the </w:t>
      </w:r>
      <w:r w:rsidRPr="00A8666A">
        <w:rPr>
          <w:rFonts w:ascii="Arial" w:hAnsi="Arial" w:cs="Arial"/>
          <w:sz w:val="20"/>
          <w:szCs w:val="20"/>
        </w:rPr>
        <w:t>collaboration imperative</w:t>
      </w:r>
      <w:r w:rsidR="008B2613">
        <w:rPr>
          <w:rFonts w:ascii="Arial" w:hAnsi="Arial" w:cs="Arial"/>
          <w:sz w:val="20"/>
          <w:szCs w:val="20"/>
        </w:rPr>
        <w:t xml:space="preserve"> and</w:t>
      </w:r>
      <w:r w:rsidR="00A97625">
        <w:rPr>
          <w:rFonts w:ascii="Arial" w:hAnsi="Arial" w:cs="Arial"/>
          <w:sz w:val="20"/>
          <w:szCs w:val="20"/>
        </w:rPr>
        <w:t xml:space="preserve"> engage key stakeholders from provider org</w:t>
      </w:r>
      <w:r w:rsidR="009A4765">
        <w:rPr>
          <w:rFonts w:ascii="Arial" w:hAnsi="Arial" w:cs="Arial"/>
          <w:sz w:val="20"/>
          <w:szCs w:val="20"/>
        </w:rPr>
        <w:t>anizations, EHR vendor and REC</w:t>
      </w:r>
      <w:r w:rsidR="00277874">
        <w:rPr>
          <w:rFonts w:ascii="Arial" w:hAnsi="Arial" w:cs="Arial"/>
          <w:sz w:val="20"/>
          <w:szCs w:val="20"/>
        </w:rPr>
        <w:t xml:space="preserve">. </w:t>
      </w:r>
      <w:r w:rsidR="00512416" w:rsidRPr="00277874">
        <w:rPr>
          <w:rFonts w:ascii="Arial" w:hAnsi="Arial" w:cs="Arial"/>
          <w:sz w:val="20"/>
          <w:szCs w:val="20"/>
        </w:rPr>
        <w:t>Because healthcare delivery faces increasing quality-improvement drivers, s</w:t>
      </w:r>
      <w:r w:rsidR="008B2613" w:rsidRPr="00277874">
        <w:rPr>
          <w:rFonts w:ascii="Arial" w:hAnsi="Arial" w:cs="Arial"/>
          <w:sz w:val="20"/>
          <w:szCs w:val="20"/>
        </w:rPr>
        <w:t>uccess</w:t>
      </w:r>
      <w:r w:rsidR="00277874">
        <w:rPr>
          <w:rFonts w:ascii="Arial" w:hAnsi="Arial" w:cs="Arial"/>
          <w:sz w:val="20"/>
          <w:szCs w:val="20"/>
        </w:rPr>
        <w:t xml:space="preserve"> for providers (</w:t>
      </w:r>
      <w:r w:rsidR="00052CEE" w:rsidRPr="00277874">
        <w:rPr>
          <w:rFonts w:ascii="Arial" w:hAnsi="Arial" w:cs="Arial"/>
          <w:sz w:val="20"/>
          <w:szCs w:val="20"/>
        </w:rPr>
        <w:t>and thos</w:t>
      </w:r>
      <w:r w:rsidR="00277874">
        <w:rPr>
          <w:rFonts w:ascii="Arial" w:hAnsi="Arial" w:cs="Arial"/>
          <w:sz w:val="20"/>
          <w:szCs w:val="20"/>
        </w:rPr>
        <w:t xml:space="preserve">e businesses that support them) </w:t>
      </w:r>
      <w:r w:rsidR="00052CEE" w:rsidRPr="00277874">
        <w:rPr>
          <w:rFonts w:ascii="Arial" w:hAnsi="Arial" w:cs="Arial"/>
          <w:sz w:val="20"/>
          <w:szCs w:val="20"/>
        </w:rPr>
        <w:t xml:space="preserve">will increasingly </w:t>
      </w:r>
      <w:r w:rsidR="00512416" w:rsidRPr="00277874">
        <w:rPr>
          <w:rFonts w:ascii="Arial" w:hAnsi="Arial" w:cs="Arial"/>
          <w:sz w:val="20"/>
          <w:szCs w:val="20"/>
        </w:rPr>
        <w:t>require that these inter-dependent entities work together effectively to improve outcomes.</w:t>
      </w:r>
    </w:p>
    <w:p w14:paraId="754694C0" w14:textId="77777777" w:rsidR="00401B46" w:rsidRDefault="00D8490D" w:rsidP="00401B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shared v</w:t>
      </w:r>
      <w:r w:rsidR="00401B46" w:rsidRPr="00A8666A">
        <w:rPr>
          <w:rFonts w:ascii="Arial" w:hAnsi="Arial" w:cs="Arial"/>
          <w:sz w:val="20"/>
          <w:szCs w:val="20"/>
        </w:rPr>
        <w:t xml:space="preserve">ision </w:t>
      </w:r>
      <w:r>
        <w:rPr>
          <w:rFonts w:ascii="Arial" w:hAnsi="Arial" w:cs="Arial"/>
          <w:sz w:val="20"/>
          <w:szCs w:val="20"/>
        </w:rPr>
        <w:t>a</w:t>
      </w:r>
      <w:r w:rsidR="00401B46" w:rsidRPr="00A8666A">
        <w:rPr>
          <w:rFonts w:ascii="Arial" w:hAnsi="Arial" w:cs="Arial"/>
          <w:sz w:val="20"/>
          <w:szCs w:val="20"/>
        </w:rPr>
        <w:t xml:space="preserve">mong </w:t>
      </w:r>
      <w:r>
        <w:rPr>
          <w:rFonts w:ascii="Arial" w:hAnsi="Arial" w:cs="Arial"/>
          <w:sz w:val="20"/>
          <w:szCs w:val="20"/>
        </w:rPr>
        <w:t>s</w:t>
      </w:r>
      <w:r w:rsidR="00401B46" w:rsidRPr="00A8666A">
        <w:rPr>
          <w:rFonts w:ascii="Arial" w:hAnsi="Arial" w:cs="Arial"/>
          <w:sz w:val="20"/>
          <w:szCs w:val="20"/>
        </w:rPr>
        <w:t xml:space="preserve">takeholders </w:t>
      </w:r>
      <w:r>
        <w:rPr>
          <w:rFonts w:ascii="Arial" w:hAnsi="Arial" w:cs="Arial"/>
          <w:sz w:val="20"/>
          <w:szCs w:val="20"/>
        </w:rPr>
        <w:t>a</w:t>
      </w:r>
      <w:r w:rsidR="00401B46" w:rsidRPr="00A8666A">
        <w:rPr>
          <w:rFonts w:ascii="Arial" w:hAnsi="Arial" w:cs="Arial"/>
          <w:sz w:val="20"/>
          <w:szCs w:val="20"/>
        </w:rPr>
        <w:t xml:space="preserve">bout </w:t>
      </w:r>
      <w:r w:rsidR="00603845">
        <w:rPr>
          <w:rFonts w:ascii="Arial" w:hAnsi="Arial" w:cs="Arial"/>
          <w:sz w:val="20"/>
          <w:szCs w:val="20"/>
        </w:rPr>
        <w:t>clinical decision support (</w:t>
      </w:r>
      <w:r w:rsidR="00401B46" w:rsidRPr="00A8666A">
        <w:rPr>
          <w:rFonts w:ascii="Arial" w:hAnsi="Arial" w:cs="Arial"/>
          <w:sz w:val="20"/>
          <w:szCs w:val="20"/>
        </w:rPr>
        <w:t>CDS</w:t>
      </w:r>
      <w:r w:rsidR="00603845">
        <w:rPr>
          <w:rFonts w:ascii="Arial" w:hAnsi="Arial" w:cs="Arial"/>
          <w:sz w:val="20"/>
          <w:szCs w:val="20"/>
        </w:rPr>
        <w:t>)</w:t>
      </w:r>
      <w:r w:rsidR="008A7A96">
        <w:rPr>
          <w:rFonts w:ascii="Arial" w:hAnsi="Arial" w:cs="Arial"/>
          <w:sz w:val="20"/>
          <w:szCs w:val="20"/>
        </w:rPr>
        <w:t xml:space="preserve"> and </w:t>
      </w:r>
      <w:r w:rsidR="0014722B">
        <w:rPr>
          <w:rFonts w:ascii="Arial" w:hAnsi="Arial" w:cs="Arial"/>
          <w:sz w:val="20"/>
          <w:szCs w:val="20"/>
        </w:rPr>
        <w:t>quality improvement (</w:t>
      </w:r>
      <w:r w:rsidR="00401B46" w:rsidRPr="00A8666A">
        <w:rPr>
          <w:rFonts w:ascii="Arial" w:hAnsi="Arial" w:cs="Arial"/>
          <w:sz w:val="20"/>
          <w:szCs w:val="20"/>
        </w:rPr>
        <w:t>QI</w:t>
      </w:r>
      <w:r w:rsidR="0014722B">
        <w:rPr>
          <w:rFonts w:ascii="Arial" w:hAnsi="Arial" w:cs="Arial"/>
          <w:sz w:val="20"/>
          <w:szCs w:val="20"/>
        </w:rPr>
        <w:t>)</w:t>
      </w:r>
    </w:p>
    <w:p w14:paraId="2FC56F5B" w14:textId="3DDD7C5B" w:rsidR="00D8490D" w:rsidRDefault="00D8490D" w:rsidP="009A4765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sessions to discuss what CDS is and introduce the CDS 5 Rights framework</w:t>
      </w:r>
      <w:r w:rsidR="009A4765">
        <w:rPr>
          <w:rFonts w:ascii="Arial" w:hAnsi="Arial" w:cs="Arial"/>
          <w:sz w:val="20"/>
          <w:szCs w:val="20"/>
        </w:rPr>
        <w:t xml:space="preserve"> [see Activity</w:t>
      </w:r>
      <w:r w:rsidR="007707AC">
        <w:rPr>
          <w:rFonts w:ascii="Arial" w:hAnsi="Arial" w:cs="Arial"/>
          <w:sz w:val="20"/>
          <w:szCs w:val="20"/>
        </w:rPr>
        <w:t xml:space="preserve"> 1 - Understanding Foundations </w:t>
      </w:r>
      <w:r w:rsidR="009A4765">
        <w:rPr>
          <w:rFonts w:ascii="Arial" w:hAnsi="Arial" w:cs="Arial"/>
          <w:sz w:val="20"/>
          <w:szCs w:val="20"/>
        </w:rPr>
        <w:t xml:space="preserve">in </w:t>
      </w:r>
      <w:r w:rsidR="009A4765" w:rsidRPr="009A4765">
        <w:rPr>
          <w:rFonts w:ascii="Arial" w:hAnsi="Arial" w:cs="Arial"/>
          <w:sz w:val="20"/>
          <w:szCs w:val="20"/>
        </w:rPr>
        <w:t>Resources for Improving Care with Clinical Decision Support</w:t>
      </w:r>
      <w:r w:rsidR="009A4765">
        <w:rPr>
          <w:rFonts w:ascii="Arial" w:hAnsi="Arial" w:cs="Arial"/>
          <w:sz w:val="20"/>
          <w:szCs w:val="20"/>
        </w:rPr>
        <w:t xml:space="preserve"> </w:t>
      </w:r>
      <w:r w:rsidR="009A4765" w:rsidRPr="00FD18E3">
        <w:rPr>
          <w:rFonts w:ascii="Arial" w:hAnsi="Arial" w:cs="Arial"/>
          <w:color w:val="FF0000"/>
          <w:sz w:val="20"/>
          <w:szCs w:val="20"/>
        </w:rPr>
        <w:t>[</w:t>
      </w:r>
      <w:r w:rsidR="008345EC" w:rsidRPr="00FD18E3">
        <w:rPr>
          <w:rFonts w:ascii="Arial" w:hAnsi="Arial" w:cs="Arial"/>
          <w:color w:val="FF0000"/>
          <w:sz w:val="20"/>
          <w:szCs w:val="20"/>
        </w:rPr>
        <w:t>http://healthit.gov/providers-professionals/clinical-decision-support-cds</w:t>
      </w:r>
      <w:r w:rsidR="007707AC" w:rsidRPr="00FD18E3">
        <w:rPr>
          <w:rFonts w:ascii="Arial" w:hAnsi="Arial" w:cs="Arial"/>
          <w:color w:val="FF0000"/>
          <w:sz w:val="20"/>
          <w:szCs w:val="20"/>
        </w:rPr>
        <w:t>]</w:t>
      </w:r>
    </w:p>
    <w:p w14:paraId="444DB539" w14:textId="165D12CA" w:rsidR="00D8490D" w:rsidRPr="00FD18E3" w:rsidRDefault="00D8490D" w:rsidP="00D8490D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and demonstrate use of CDS/QI worksheets</w:t>
      </w:r>
      <w:r w:rsidR="009A6D5F">
        <w:rPr>
          <w:rFonts w:ascii="Arial" w:hAnsi="Arial" w:cs="Arial"/>
          <w:sz w:val="20"/>
          <w:szCs w:val="20"/>
        </w:rPr>
        <w:t xml:space="preserve">  [see Activity 2B </w:t>
      </w:r>
      <w:r w:rsidR="00DD558B">
        <w:rPr>
          <w:rFonts w:ascii="Arial" w:hAnsi="Arial" w:cs="Arial"/>
          <w:sz w:val="20"/>
          <w:szCs w:val="20"/>
        </w:rPr>
        <w:t xml:space="preserve">in </w:t>
      </w:r>
      <w:r w:rsidR="00DD558B" w:rsidRPr="009A4765">
        <w:rPr>
          <w:rFonts w:ascii="Arial" w:hAnsi="Arial" w:cs="Arial"/>
          <w:sz w:val="20"/>
          <w:szCs w:val="20"/>
        </w:rPr>
        <w:t>Resources for Improving Care with Clinical Decision Support</w:t>
      </w:r>
      <w:r w:rsidR="00DD558B">
        <w:rPr>
          <w:rFonts w:ascii="Arial" w:hAnsi="Arial" w:cs="Arial"/>
          <w:sz w:val="20"/>
          <w:szCs w:val="20"/>
        </w:rPr>
        <w:t xml:space="preserve"> </w:t>
      </w:r>
      <w:r w:rsidR="00DD558B" w:rsidRPr="00FD18E3">
        <w:rPr>
          <w:rFonts w:ascii="Arial" w:hAnsi="Arial" w:cs="Arial"/>
          <w:color w:val="FF0000"/>
          <w:sz w:val="20"/>
          <w:szCs w:val="20"/>
        </w:rPr>
        <w:t>[</w:t>
      </w:r>
      <w:r w:rsidR="008345EC" w:rsidRPr="00FD18E3">
        <w:rPr>
          <w:rFonts w:ascii="Arial" w:hAnsi="Arial" w:cs="Arial"/>
          <w:color w:val="FF0000"/>
          <w:sz w:val="20"/>
          <w:szCs w:val="20"/>
        </w:rPr>
        <w:t>http://healthit.gov/providers-professionals/clinical-decision-support-cds</w:t>
      </w:r>
      <w:r w:rsidR="002453E4" w:rsidRPr="00FD18E3">
        <w:rPr>
          <w:rFonts w:ascii="Arial" w:hAnsi="Arial" w:cs="Arial"/>
          <w:color w:val="FF0000"/>
          <w:sz w:val="20"/>
          <w:szCs w:val="20"/>
        </w:rPr>
        <w:t>]</w:t>
      </w:r>
    </w:p>
    <w:p w14:paraId="742E2A44" w14:textId="0BA67CCB" w:rsidR="005C4AAE" w:rsidRPr="005C4AAE" w:rsidRDefault="00D8490D" w:rsidP="005C4AAE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Use </w:t>
      </w:r>
      <w:r w:rsidR="000E5345">
        <w:rPr>
          <w:rFonts w:ascii="Arial" w:hAnsi="Arial" w:cs="Arial"/>
          <w:sz w:val="20"/>
          <w:szCs w:val="20"/>
        </w:rPr>
        <w:t>QI C</w:t>
      </w:r>
      <w:r>
        <w:rPr>
          <w:rFonts w:ascii="Arial" w:hAnsi="Arial" w:cs="Arial"/>
          <w:sz w:val="20"/>
          <w:szCs w:val="20"/>
        </w:rPr>
        <w:t xml:space="preserve">ase </w:t>
      </w:r>
      <w:r w:rsidR="009A6D5F">
        <w:rPr>
          <w:rFonts w:ascii="Arial" w:hAnsi="Arial" w:cs="Arial"/>
          <w:sz w:val="20"/>
          <w:szCs w:val="20"/>
        </w:rPr>
        <w:t xml:space="preserve">Studies [see Activity 2A </w:t>
      </w:r>
      <w:r w:rsidR="00DD558B">
        <w:rPr>
          <w:rFonts w:ascii="Arial" w:hAnsi="Arial" w:cs="Arial"/>
          <w:sz w:val="20"/>
          <w:szCs w:val="20"/>
        </w:rPr>
        <w:t xml:space="preserve">in </w:t>
      </w:r>
      <w:r w:rsidR="00DD558B" w:rsidRPr="009A4765">
        <w:rPr>
          <w:rFonts w:ascii="Arial" w:hAnsi="Arial" w:cs="Arial"/>
          <w:sz w:val="20"/>
          <w:szCs w:val="20"/>
        </w:rPr>
        <w:t xml:space="preserve">Resources for Improving Care with Clinical Decision </w:t>
      </w:r>
      <w:r w:rsidR="00DD558B" w:rsidRPr="002453E4">
        <w:rPr>
          <w:rFonts w:ascii="Arial" w:hAnsi="Arial" w:cs="Arial"/>
          <w:sz w:val="20"/>
          <w:szCs w:val="20"/>
        </w:rPr>
        <w:t xml:space="preserve">Support </w:t>
      </w:r>
      <w:r w:rsidR="00DD558B" w:rsidRPr="00FD18E3">
        <w:rPr>
          <w:rFonts w:ascii="Arial" w:hAnsi="Arial" w:cs="Arial"/>
          <w:color w:val="FF0000"/>
          <w:sz w:val="20"/>
          <w:szCs w:val="20"/>
        </w:rPr>
        <w:t>[</w:t>
      </w:r>
      <w:r w:rsidR="008345EC" w:rsidRPr="00FD18E3">
        <w:rPr>
          <w:rFonts w:ascii="Arial" w:hAnsi="Arial" w:cs="Arial"/>
          <w:color w:val="FF0000"/>
          <w:sz w:val="20"/>
          <w:szCs w:val="20"/>
        </w:rPr>
        <w:t>http://healthit.gov/providers-professionals/clinical-decision-support-cds</w:t>
      </w:r>
      <w:r w:rsidR="009A6D5F" w:rsidRPr="00FD18E3">
        <w:rPr>
          <w:rFonts w:ascii="Arial" w:hAnsi="Arial" w:cs="Arial"/>
          <w:color w:val="FF0000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to illustrate how small practices </w:t>
      </w:r>
      <w:r w:rsidR="00E27338">
        <w:rPr>
          <w:rFonts w:ascii="Arial" w:hAnsi="Arial" w:cs="Arial"/>
          <w:sz w:val="20"/>
          <w:szCs w:val="20"/>
        </w:rPr>
        <w:t xml:space="preserve">use CDS to improve </w:t>
      </w:r>
      <w:r>
        <w:rPr>
          <w:rFonts w:ascii="Arial" w:hAnsi="Arial" w:cs="Arial"/>
          <w:sz w:val="20"/>
          <w:szCs w:val="20"/>
        </w:rPr>
        <w:t xml:space="preserve">quality </w:t>
      </w:r>
      <w:r w:rsidR="00E27338">
        <w:rPr>
          <w:rFonts w:ascii="Arial" w:hAnsi="Arial" w:cs="Arial"/>
          <w:sz w:val="20"/>
          <w:szCs w:val="20"/>
        </w:rPr>
        <w:t>on specific measures (extrapolating to the hospital setting if needed)</w:t>
      </w:r>
    </w:p>
    <w:p w14:paraId="2A185563" w14:textId="77777777" w:rsidR="00401B46" w:rsidRDefault="005C4AAE" w:rsidP="00401B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Prioritize Clinical Quality Measure</w:t>
      </w:r>
      <w:r w:rsidR="008A7A96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(CQM</w:t>
      </w:r>
      <w:r w:rsidR="009A6D5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="008A7A96">
        <w:rPr>
          <w:rFonts w:ascii="Arial" w:hAnsi="Arial" w:cs="Arial"/>
          <w:sz w:val="20"/>
          <w:szCs w:val="20"/>
        </w:rPr>
        <w:t xml:space="preserve"> to address with joint CDS/QI efforts</w:t>
      </w:r>
    </w:p>
    <w:p w14:paraId="029072FD" w14:textId="77777777" w:rsidR="00E27338" w:rsidRDefault="004E089B" w:rsidP="00670A3C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Activity 3A in </w:t>
      </w:r>
      <w:r w:rsidRPr="009A4765">
        <w:rPr>
          <w:rFonts w:ascii="Arial" w:hAnsi="Arial" w:cs="Arial"/>
          <w:sz w:val="20"/>
          <w:szCs w:val="20"/>
        </w:rPr>
        <w:t>Resources for Improving Care with Clinical Decision Support</w:t>
      </w:r>
      <w:r>
        <w:rPr>
          <w:rFonts w:ascii="Arial" w:hAnsi="Arial" w:cs="Arial"/>
          <w:sz w:val="20"/>
          <w:szCs w:val="20"/>
        </w:rPr>
        <w:t xml:space="preserve"> </w:t>
      </w:r>
      <w:r w:rsidRPr="00FD18E3">
        <w:rPr>
          <w:rFonts w:ascii="Arial" w:hAnsi="Arial" w:cs="Arial"/>
          <w:color w:val="FF0000"/>
          <w:sz w:val="20"/>
          <w:szCs w:val="20"/>
        </w:rPr>
        <w:t>[</w:t>
      </w:r>
      <w:r w:rsidR="008345EC" w:rsidRPr="00FD18E3">
        <w:rPr>
          <w:rFonts w:ascii="Arial" w:hAnsi="Arial" w:cs="Arial"/>
          <w:color w:val="FF0000"/>
          <w:sz w:val="20"/>
          <w:szCs w:val="20"/>
        </w:rPr>
        <w:t>http://healthit.gov/providers-professionals/clinical-decision-support-cds</w:t>
      </w:r>
      <w:r w:rsidRPr="00FD18E3">
        <w:rPr>
          <w:rFonts w:ascii="Arial" w:hAnsi="Arial" w:cs="Arial"/>
          <w:color w:val="FF0000"/>
          <w:sz w:val="20"/>
          <w:szCs w:val="20"/>
        </w:rPr>
        <w:t>]</w:t>
      </w:r>
      <w:r w:rsidR="00E27338">
        <w:rPr>
          <w:rFonts w:ascii="Arial" w:hAnsi="Arial" w:cs="Arial"/>
          <w:sz w:val="20"/>
          <w:szCs w:val="20"/>
        </w:rPr>
        <w:t xml:space="preserve"> for list of 2014 CQMs</w:t>
      </w:r>
    </w:p>
    <w:p w14:paraId="7A97F3FA" w14:textId="77777777" w:rsidR="003B66ED" w:rsidRDefault="00400AFF" w:rsidP="00401B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Populate the </w:t>
      </w:r>
      <w:r w:rsidR="003B66ED">
        <w:rPr>
          <w:rFonts w:ascii="Arial" w:hAnsi="Arial" w:cs="Arial"/>
          <w:sz w:val="20"/>
          <w:szCs w:val="20"/>
        </w:rPr>
        <w:t>CDS/QI W</w:t>
      </w:r>
      <w:r>
        <w:rPr>
          <w:rFonts w:ascii="Arial" w:hAnsi="Arial" w:cs="Arial"/>
          <w:sz w:val="20"/>
          <w:szCs w:val="20"/>
        </w:rPr>
        <w:t xml:space="preserve">orksheet </w:t>
      </w:r>
      <w:r w:rsidR="003B66ED">
        <w:rPr>
          <w:rFonts w:ascii="Arial" w:hAnsi="Arial" w:cs="Arial"/>
          <w:sz w:val="20"/>
          <w:szCs w:val="20"/>
        </w:rPr>
        <w:t>for the selected improvement target</w:t>
      </w:r>
    </w:p>
    <w:p w14:paraId="3277B423" w14:textId="77777777" w:rsidR="00400AFF" w:rsidRDefault="003B66ED" w:rsidP="00670A3C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00AFF">
        <w:rPr>
          <w:rFonts w:ascii="Arial" w:hAnsi="Arial" w:cs="Arial"/>
          <w:sz w:val="20"/>
          <w:szCs w:val="20"/>
        </w:rPr>
        <w:t>rovider</w:t>
      </w:r>
      <w:r w:rsidR="003A5A6C">
        <w:rPr>
          <w:rFonts w:ascii="Arial" w:hAnsi="Arial" w:cs="Arial"/>
          <w:sz w:val="20"/>
          <w:szCs w:val="20"/>
        </w:rPr>
        <w:t>s</w:t>
      </w:r>
      <w:r w:rsidR="00400A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can do this </w:t>
      </w:r>
      <w:r w:rsidR="00400AFF">
        <w:rPr>
          <w:rFonts w:ascii="Arial" w:hAnsi="Arial" w:cs="Arial"/>
          <w:sz w:val="20"/>
          <w:szCs w:val="20"/>
        </w:rPr>
        <w:t>with help from REC (if needed)</w:t>
      </w:r>
    </w:p>
    <w:p w14:paraId="354665ED" w14:textId="77777777" w:rsidR="003B66ED" w:rsidRPr="00A8666A" w:rsidRDefault="003B66ED" w:rsidP="00670A3C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EHR vendors can consider comp</w:t>
      </w:r>
      <w:r w:rsidR="009A6D5F">
        <w:rPr>
          <w:rFonts w:ascii="Arial" w:hAnsi="Arial" w:cs="Arial"/>
          <w:sz w:val="20"/>
          <w:szCs w:val="20"/>
        </w:rPr>
        <w:t>leting w</w:t>
      </w:r>
      <w:r>
        <w:rPr>
          <w:rFonts w:ascii="Arial" w:hAnsi="Arial" w:cs="Arial"/>
          <w:sz w:val="20"/>
          <w:szCs w:val="20"/>
        </w:rPr>
        <w:t xml:space="preserve">orksheets to illustrate how their systems can be leveraged to address </w:t>
      </w:r>
      <w:r w:rsidR="00D20213">
        <w:rPr>
          <w:rFonts w:ascii="Arial" w:hAnsi="Arial" w:cs="Arial"/>
          <w:sz w:val="20"/>
          <w:szCs w:val="20"/>
        </w:rPr>
        <w:t>specific targets of high interest across their client base</w:t>
      </w:r>
    </w:p>
    <w:p w14:paraId="68C10C50" w14:textId="77777777" w:rsidR="008A19EB" w:rsidRPr="00167E21" w:rsidRDefault="003A5A6C" w:rsidP="00167E21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Providers/Vendor/REC</w:t>
      </w:r>
      <w:r w:rsidR="00400AFF">
        <w:rPr>
          <w:rFonts w:ascii="Arial" w:hAnsi="Arial" w:cs="Arial"/>
          <w:sz w:val="20"/>
          <w:szCs w:val="20"/>
        </w:rPr>
        <w:t xml:space="preserve"> share </w:t>
      </w:r>
      <w:r w:rsidR="00D20213">
        <w:rPr>
          <w:rFonts w:ascii="Arial" w:hAnsi="Arial" w:cs="Arial"/>
          <w:sz w:val="20"/>
          <w:szCs w:val="20"/>
        </w:rPr>
        <w:t xml:space="preserve">and discuss </w:t>
      </w:r>
      <w:r w:rsidR="00400AFF">
        <w:rPr>
          <w:rFonts w:ascii="Arial" w:hAnsi="Arial" w:cs="Arial"/>
          <w:sz w:val="20"/>
          <w:szCs w:val="20"/>
        </w:rPr>
        <w:t>worksheets</w:t>
      </w:r>
      <w:r w:rsidR="00167E21">
        <w:rPr>
          <w:rFonts w:ascii="Arial" w:hAnsi="Arial" w:cs="Arial"/>
          <w:sz w:val="20"/>
          <w:szCs w:val="20"/>
        </w:rPr>
        <w:t>.*  This helps t</w:t>
      </w:r>
      <w:r w:rsidR="00167E21" w:rsidRPr="00167E21">
        <w:rPr>
          <w:rFonts w:ascii="Arial" w:hAnsi="Arial" w:cs="Arial"/>
          <w:sz w:val="20"/>
          <w:szCs w:val="20"/>
        </w:rPr>
        <w:t>o</w:t>
      </w:r>
      <w:r w:rsidR="008A19EB" w:rsidRPr="00167E21">
        <w:rPr>
          <w:rFonts w:ascii="Arial" w:hAnsi="Arial" w:cs="Arial"/>
          <w:sz w:val="20"/>
          <w:szCs w:val="20"/>
        </w:rPr>
        <w:t xml:space="preserve"> </w:t>
      </w:r>
      <w:r w:rsidR="008F2849" w:rsidRPr="00167E21">
        <w:rPr>
          <w:rFonts w:ascii="Arial" w:hAnsi="Arial" w:cs="Arial"/>
          <w:sz w:val="20"/>
          <w:szCs w:val="20"/>
        </w:rPr>
        <w:t xml:space="preserve">achieve inter-dependent goals, e.g., </w:t>
      </w:r>
    </w:p>
    <w:p w14:paraId="51024363" w14:textId="77777777" w:rsidR="008F2849" w:rsidRDefault="008F2849" w:rsidP="008F2849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Providers make better use of vendor capabilities to improve information flow and workflow;</w:t>
      </w:r>
    </w:p>
    <w:p w14:paraId="5EDFFD23" w14:textId="77777777" w:rsidR="008F2849" w:rsidRDefault="00400AFF" w:rsidP="00400AFF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Vendors </w:t>
      </w:r>
      <w:r w:rsidR="008F2849">
        <w:rPr>
          <w:rFonts w:ascii="Arial" w:hAnsi="Arial" w:cs="Arial"/>
          <w:sz w:val="20"/>
          <w:szCs w:val="20"/>
        </w:rPr>
        <w:t>ensure optimal use of QI-related functions and get structured, aggregated input on client QI efforts and system enhancements needed to support them</w:t>
      </w:r>
      <w:r w:rsidR="00D47D49">
        <w:rPr>
          <w:rFonts w:ascii="Arial" w:hAnsi="Arial" w:cs="Arial"/>
          <w:sz w:val="20"/>
          <w:szCs w:val="20"/>
        </w:rPr>
        <w:t>;</w:t>
      </w:r>
    </w:p>
    <w:p w14:paraId="51FF0F31" w14:textId="77777777" w:rsidR="00400AFF" w:rsidRPr="00A8666A" w:rsidRDefault="008F2849" w:rsidP="00400AFF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RECs (and similar business</w:t>
      </w:r>
      <w:r w:rsidR="004B625A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supporting providers) enhance the support for leveraging HIT to imp</w:t>
      </w:r>
      <w:r w:rsidR="00D47D49">
        <w:rPr>
          <w:rFonts w:ascii="Arial" w:hAnsi="Arial" w:cs="Arial"/>
          <w:sz w:val="20"/>
          <w:szCs w:val="20"/>
        </w:rPr>
        <w:t>rove workflow and care delivery</w:t>
      </w:r>
    </w:p>
    <w:p w14:paraId="40F69EB9" w14:textId="77777777" w:rsidR="00401B46" w:rsidRPr="00A8666A" w:rsidRDefault="00401B46" w:rsidP="00401B4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033E377" w14:textId="77777777" w:rsidR="00401B46" w:rsidRPr="00A22D74" w:rsidRDefault="008B2613" w:rsidP="00401B46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A22D74">
        <w:rPr>
          <w:rFonts w:ascii="Arial" w:hAnsi="Arial" w:cs="Arial"/>
          <w:i/>
          <w:sz w:val="20"/>
          <w:szCs w:val="20"/>
        </w:rPr>
        <w:t>*S</w:t>
      </w:r>
      <w:r w:rsidR="00401B46" w:rsidRPr="00A22D74">
        <w:rPr>
          <w:rFonts w:ascii="Arial" w:hAnsi="Arial" w:cs="Arial"/>
          <w:i/>
          <w:sz w:val="20"/>
          <w:szCs w:val="20"/>
        </w:rPr>
        <w:t>haring can be mediated by vendors, RECs</w:t>
      </w:r>
      <w:r w:rsidR="00D20213">
        <w:rPr>
          <w:rFonts w:ascii="Arial" w:hAnsi="Arial" w:cs="Arial"/>
          <w:i/>
          <w:sz w:val="20"/>
          <w:szCs w:val="20"/>
        </w:rPr>
        <w:t>,</w:t>
      </w:r>
      <w:r w:rsidR="00401B46" w:rsidRPr="00A22D74">
        <w:rPr>
          <w:rFonts w:ascii="Arial" w:hAnsi="Arial" w:cs="Arial"/>
          <w:i/>
          <w:sz w:val="20"/>
          <w:szCs w:val="20"/>
        </w:rPr>
        <w:t xml:space="preserve"> the </w:t>
      </w:r>
      <w:hyperlink r:id="rId6" w:history="1">
        <w:r w:rsidRPr="00D20213">
          <w:rPr>
            <w:rStyle w:val="Hyperlink"/>
            <w:rFonts w:ascii="Arial" w:hAnsi="Arial" w:cs="Arial"/>
            <w:i/>
            <w:sz w:val="20"/>
            <w:szCs w:val="20"/>
          </w:rPr>
          <w:t>CDS/PI Collaborative</w:t>
        </w:r>
      </w:hyperlink>
      <w:r w:rsidR="00D20213">
        <w:rPr>
          <w:rFonts w:ascii="Arial" w:hAnsi="Arial" w:cs="Arial"/>
          <w:i/>
          <w:sz w:val="20"/>
          <w:szCs w:val="20"/>
        </w:rPr>
        <w:t>,</w:t>
      </w:r>
      <w:r w:rsidRPr="00A22D74">
        <w:rPr>
          <w:rFonts w:ascii="Arial" w:hAnsi="Arial" w:cs="Arial"/>
          <w:i/>
          <w:sz w:val="20"/>
          <w:szCs w:val="20"/>
        </w:rPr>
        <w:t xml:space="preserve"> </w:t>
      </w:r>
      <w:r w:rsidR="00D20213">
        <w:rPr>
          <w:rFonts w:ascii="Arial" w:hAnsi="Arial" w:cs="Arial"/>
          <w:i/>
          <w:sz w:val="20"/>
          <w:szCs w:val="20"/>
        </w:rPr>
        <w:t>and/or others using forums such</w:t>
      </w:r>
      <w:r w:rsidRPr="00A22D74">
        <w:rPr>
          <w:rFonts w:ascii="Arial" w:hAnsi="Arial" w:cs="Arial"/>
          <w:i/>
          <w:sz w:val="20"/>
          <w:szCs w:val="20"/>
        </w:rPr>
        <w:t xml:space="preserve"> </w:t>
      </w:r>
      <w:r w:rsidR="00D20213">
        <w:rPr>
          <w:rFonts w:ascii="Arial" w:hAnsi="Arial" w:cs="Arial"/>
          <w:i/>
          <w:sz w:val="20"/>
          <w:szCs w:val="20"/>
        </w:rPr>
        <w:t xml:space="preserve">as face-to-face meetings, </w:t>
      </w:r>
      <w:r w:rsidRPr="00A22D74">
        <w:rPr>
          <w:rFonts w:ascii="Arial" w:hAnsi="Arial" w:cs="Arial"/>
          <w:i/>
          <w:sz w:val="20"/>
          <w:szCs w:val="20"/>
        </w:rPr>
        <w:t>webinars</w:t>
      </w:r>
      <w:r w:rsidR="00D20213">
        <w:rPr>
          <w:rFonts w:ascii="Arial" w:hAnsi="Arial" w:cs="Arial"/>
          <w:i/>
          <w:sz w:val="20"/>
          <w:szCs w:val="20"/>
        </w:rPr>
        <w:t>, and online</w:t>
      </w:r>
      <w:r w:rsidRPr="00A22D74">
        <w:rPr>
          <w:rFonts w:ascii="Arial" w:hAnsi="Arial" w:cs="Arial"/>
          <w:i/>
          <w:sz w:val="20"/>
          <w:szCs w:val="20"/>
        </w:rPr>
        <w:t xml:space="preserve"> discussion groups</w:t>
      </w:r>
      <w:r w:rsidR="00401B46" w:rsidRPr="00A22D74">
        <w:rPr>
          <w:rFonts w:ascii="Arial" w:hAnsi="Arial" w:cs="Arial"/>
          <w:i/>
          <w:sz w:val="20"/>
          <w:szCs w:val="20"/>
        </w:rPr>
        <w:t>.</w:t>
      </w:r>
      <w:r w:rsidR="00D20213">
        <w:rPr>
          <w:rFonts w:ascii="Arial" w:hAnsi="Arial" w:cs="Arial"/>
          <w:i/>
          <w:sz w:val="20"/>
          <w:szCs w:val="20"/>
        </w:rPr>
        <w:t xml:space="preserve">  Online bulletin boards hosted by these groups can be uses to create ‘shared libraries’ of completed worksheets – emphasizing especially those that document strategies that lead to high performance on key </w:t>
      </w:r>
      <w:r w:rsidR="008A19EB">
        <w:rPr>
          <w:rFonts w:ascii="Arial" w:hAnsi="Arial" w:cs="Arial"/>
          <w:i/>
          <w:sz w:val="20"/>
          <w:szCs w:val="20"/>
        </w:rPr>
        <w:t xml:space="preserve">improvement </w:t>
      </w:r>
      <w:r w:rsidR="00D20213">
        <w:rPr>
          <w:rFonts w:ascii="Arial" w:hAnsi="Arial" w:cs="Arial"/>
          <w:i/>
          <w:sz w:val="20"/>
          <w:szCs w:val="20"/>
        </w:rPr>
        <w:t xml:space="preserve">targets. </w:t>
      </w:r>
    </w:p>
    <w:p w14:paraId="71AA3846" w14:textId="77777777" w:rsidR="00D664F1" w:rsidRPr="00AD43AC" w:rsidRDefault="00277874" w:rsidP="001A3E45">
      <w:pPr>
        <w:pStyle w:val="NormalWeb"/>
        <w:rPr>
          <w:rFonts w:ascii="Arial" w:hAnsi="Arial" w:cs="Arial"/>
          <w:b/>
          <w:sz w:val="20"/>
        </w:rPr>
      </w:pPr>
      <w:r w:rsidRPr="00277874">
        <w:rPr>
          <w:rFonts w:ascii="Arial" w:hAnsi="Arial" w:cs="Arial"/>
          <w:b/>
          <w:sz w:val="20"/>
        </w:rPr>
        <w:t>Example of</w:t>
      </w:r>
      <w:r w:rsidR="00603845" w:rsidRPr="00AD43AC">
        <w:rPr>
          <w:rFonts w:ascii="Arial" w:hAnsi="Arial" w:cs="Arial"/>
          <w:b/>
          <w:sz w:val="20"/>
        </w:rPr>
        <w:t xml:space="preserve"> Collaboration</w:t>
      </w:r>
      <w:r w:rsidR="009A70B8">
        <w:rPr>
          <w:rFonts w:ascii="Arial" w:hAnsi="Arial" w:cs="Arial"/>
          <w:b/>
          <w:sz w:val="20"/>
        </w:rPr>
        <w:t xml:space="preserve">: </w:t>
      </w:r>
      <w:r w:rsidR="00D311FB">
        <w:rPr>
          <w:rFonts w:ascii="Arial" w:hAnsi="Arial" w:cs="Arial"/>
          <w:b/>
          <w:sz w:val="20"/>
        </w:rPr>
        <w:t>Phases</w:t>
      </w:r>
      <w:r w:rsidR="009A70B8">
        <w:rPr>
          <w:rFonts w:ascii="Arial" w:hAnsi="Arial" w:cs="Arial"/>
          <w:b/>
          <w:sz w:val="20"/>
        </w:rPr>
        <w:t xml:space="preserve"> and Stakeholder Activities</w:t>
      </w:r>
    </w:p>
    <w:tbl>
      <w:tblPr>
        <w:tblStyle w:val="MediumShading1-Accent1"/>
        <w:tblW w:w="0" w:type="auto"/>
        <w:tblBorders>
          <w:top w:val="single" w:sz="2" w:space="0" w:color="00A1DE"/>
          <w:left w:val="single" w:sz="2" w:space="0" w:color="00A1DE"/>
          <w:bottom w:val="single" w:sz="2" w:space="0" w:color="00A1DE"/>
          <w:right w:val="single" w:sz="2" w:space="0" w:color="00A1DE"/>
          <w:insideH w:val="single" w:sz="2" w:space="0" w:color="00A1DE"/>
          <w:insideV w:val="single" w:sz="2" w:space="0" w:color="00A1DE"/>
        </w:tblBorders>
        <w:tblLook w:val="04A0" w:firstRow="1" w:lastRow="0" w:firstColumn="1" w:lastColumn="0" w:noHBand="0" w:noVBand="1"/>
      </w:tblPr>
      <w:tblGrid>
        <w:gridCol w:w="1393"/>
        <w:gridCol w:w="2759"/>
        <w:gridCol w:w="3029"/>
        <w:gridCol w:w="2395"/>
      </w:tblGrid>
      <w:tr w:rsidR="00D664F1" w:rsidRPr="008C5D5B" w14:paraId="3A703E23" w14:textId="77777777" w:rsidTr="0046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DD2C9" w14:textId="77777777" w:rsidR="00D664F1" w:rsidRPr="008C5D5B" w:rsidRDefault="00D66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CC3E84" w14:textId="77777777" w:rsidR="00D664F1" w:rsidRPr="00467395" w:rsidRDefault="00D664F1" w:rsidP="00467395">
            <w:pPr>
              <w:tabs>
                <w:tab w:val="center" w:pos="1152"/>
                <w:tab w:val="right" w:pos="23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7395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  <w:tc>
          <w:tcPr>
            <w:tcW w:w="3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870B18" w14:textId="77777777" w:rsidR="00D664F1" w:rsidRPr="00467395" w:rsidRDefault="00D664F1" w:rsidP="00467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7395">
              <w:rPr>
                <w:rFonts w:ascii="Arial" w:hAnsi="Arial" w:cs="Arial"/>
                <w:sz w:val="20"/>
                <w:szCs w:val="20"/>
              </w:rPr>
              <w:t>REC</w:t>
            </w:r>
          </w:p>
        </w:tc>
        <w:tc>
          <w:tcPr>
            <w:tcW w:w="2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C179F4" w14:textId="77777777" w:rsidR="00D664F1" w:rsidRPr="00467395" w:rsidRDefault="00D664F1" w:rsidP="00467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67395">
              <w:rPr>
                <w:rFonts w:ascii="Arial" w:hAnsi="Arial" w:cs="Arial"/>
                <w:sz w:val="20"/>
                <w:szCs w:val="20"/>
              </w:rPr>
              <w:t>Vendor</w:t>
            </w:r>
          </w:p>
        </w:tc>
      </w:tr>
      <w:tr w:rsidR="00D664F1" w:rsidRPr="008C5D5B" w14:paraId="41663AEA" w14:textId="77777777" w:rsidTr="0046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none" w:sz="0" w:space="0" w:color="auto"/>
            </w:tcBorders>
          </w:tcPr>
          <w:p w14:paraId="7F0C9CE7" w14:textId="77777777" w:rsidR="00D664F1" w:rsidRPr="003362B9" w:rsidRDefault="005C4AAE" w:rsidP="003362B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362B9">
              <w:rPr>
                <w:rFonts w:ascii="Arial" w:hAnsi="Arial" w:cs="Arial"/>
                <w:sz w:val="20"/>
                <w:szCs w:val="20"/>
              </w:rPr>
              <w:t>Initiation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21EC421B" w14:textId="77777777" w:rsidR="00C178EB" w:rsidRDefault="00A408CD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A70B8">
              <w:rPr>
                <w:rFonts w:ascii="Arial" w:hAnsi="Arial" w:cs="Arial"/>
                <w:sz w:val="20"/>
                <w:szCs w:val="20"/>
              </w:rPr>
              <w:t>oined a payer’s n</w:t>
            </w:r>
            <w:r w:rsidR="00CF443A">
              <w:rPr>
                <w:rFonts w:ascii="Arial" w:hAnsi="Arial" w:cs="Arial"/>
                <w:sz w:val="20"/>
                <w:szCs w:val="20"/>
              </w:rPr>
              <w:t>ew</w:t>
            </w:r>
            <w:r w:rsidR="00C178EB" w:rsidRPr="00C178EB">
              <w:rPr>
                <w:rFonts w:ascii="Arial" w:hAnsi="Arial" w:cs="Arial"/>
                <w:sz w:val="20"/>
                <w:szCs w:val="20"/>
              </w:rPr>
              <w:t xml:space="preserve"> pay-</w:t>
            </w:r>
            <w:r w:rsidR="00CF443A">
              <w:rPr>
                <w:rFonts w:ascii="Arial" w:hAnsi="Arial" w:cs="Arial"/>
                <w:sz w:val="20"/>
                <w:szCs w:val="20"/>
              </w:rPr>
              <w:t>for-performance program incentiviz</w:t>
            </w:r>
            <w:r w:rsidR="009A70B8">
              <w:rPr>
                <w:rFonts w:ascii="Arial" w:hAnsi="Arial" w:cs="Arial"/>
                <w:sz w:val="20"/>
                <w:szCs w:val="20"/>
              </w:rPr>
              <w:t>ing better b</w:t>
            </w:r>
            <w:r w:rsidR="00C178EB" w:rsidRPr="00C178EB">
              <w:rPr>
                <w:rFonts w:ascii="Arial" w:hAnsi="Arial" w:cs="Arial"/>
                <w:sz w:val="20"/>
                <w:szCs w:val="20"/>
              </w:rPr>
              <w:t xml:space="preserve">lood </w:t>
            </w:r>
            <w:r w:rsidR="009A70B8">
              <w:rPr>
                <w:rFonts w:ascii="Arial" w:hAnsi="Arial" w:cs="Arial"/>
                <w:sz w:val="20"/>
                <w:szCs w:val="20"/>
              </w:rPr>
              <w:t>p</w:t>
            </w:r>
            <w:r w:rsidR="00C178EB" w:rsidRPr="00C178EB">
              <w:rPr>
                <w:rFonts w:ascii="Arial" w:hAnsi="Arial" w:cs="Arial"/>
                <w:sz w:val="20"/>
                <w:szCs w:val="20"/>
              </w:rPr>
              <w:t xml:space="preserve">ressure </w:t>
            </w:r>
            <w:r w:rsidR="009A70B8">
              <w:rPr>
                <w:rFonts w:ascii="Arial" w:hAnsi="Arial" w:cs="Arial"/>
                <w:sz w:val="20"/>
                <w:szCs w:val="20"/>
              </w:rPr>
              <w:t>c</w:t>
            </w:r>
            <w:r w:rsidR="00C178EB" w:rsidRPr="00C178EB">
              <w:rPr>
                <w:rFonts w:ascii="Arial" w:hAnsi="Arial" w:cs="Arial"/>
                <w:sz w:val="20"/>
                <w:szCs w:val="20"/>
              </w:rPr>
              <w:t>ontrol</w:t>
            </w:r>
            <w:r w:rsidR="00C178EB" w:rsidRPr="008C5D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B0C6C5" w14:textId="77777777" w:rsidR="00C178EB" w:rsidRPr="00C178EB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D664F1" w:rsidRPr="008C5D5B">
              <w:rPr>
                <w:rFonts w:ascii="Arial" w:hAnsi="Arial" w:cs="Arial"/>
                <w:sz w:val="20"/>
                <w:szCs w:val="20"/>
              </w:rPr>
              <w:t xml:space="preserve">ontacted REC and asked for help with </w:t>
            </w:r>
            <w:r w:rsidR="00D311FB">
              <w:rPr>
                <w:rFonts w:ascii="Arial" w:hAnsi="Arial" w:cs="Arial"/>
                <w:sz w:val="20"/>
                <w:szCs w:val="20"/>
              </w:rPr>
              <w:t>CDS/</w:t>
            </w:r>
            <w:r w:rsidR="00D664F1" w:rsidRPr="008C5D5B">
              <w:rPr>
                <w:rFonts w:ascii="Arial" w:hAnsi="Arial" w:cs="Arial"/>
                <w:sz w:val="20"/>
                <w:szCs w:val="20"/>
              </w:rPr>
              <w:t xml:space="preserve">QI for </w:t>
            </w:r>
            <w:r w:rsidR="00D311FB">
              <w:rPr>
                <w:rFonts w:ascii="Arial" w:hAnsi="Arial" w:cs="Arial"/>
                <w:sz w:val="20"/>
                <w:szCs w:val="20"/>
              </w:rPr>
              <w:t>this</w:t>
            </w:r>
            <w:r w:rsidR="00D664F1" w:rsidRPr="008C5D5B">
              <w:rPr>
                <w:rFonts w:ascii="Arial" w:hAnsi="Arial" w:cs="Arial"/>
                <w:sz w:val="20"/>
                <w:szCs w:val="20"/>
              </w:rPr>
              <w:t xml:space="preserve"> target</w:t>
            </w:r>
          </w:p>
        </w:tc>
        <w:tc>
          <w:tcPr>
            <w:tcW w:w="3136" w:type="dxa"/>
            <w:tcBorders>
              <w:left w:val="none" w:sz="0" w:space="0" w:color="auto"/>
              <w:right w:val="none" w:sz="0" w:space="0" w:color="auto"/>
            </w:tcBorders>
          </w:tcPr>
          <w:p w14:paraId="3BC65FEA" w14:textId="77777777" w:rsidR="003A3472" w:rsidRDefault="00A408CD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="003A3472">
              <w:rPr>
                <w:rFonts w:ascii="Arial" w:hAnsi="Arial" w:cs="Arial"/>
                <w:sz w:val="20"/>
                <w:szCs w:val="20"/>
              </w:rPr>
              <w:t>et with the provider to discuss specific challenges and needs for change</w:t>
            </w:r>
          </w:p>
          <w:p w14:paraId="445A60A9" w14:textId="77777777" w:rsidR="00C178EB" w:rsidRPr="00C178EB" w:rsidRDefault="00A408CD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664F1" w:rsidRPr="008C5D5B">
              <w:rPr>
                <w:rFonts w:ascii="Arial" w:hAnsi="Arial" w:cs="Arial"/>
                <w:sz w:val="20"/>
                <w:szCs w:val="20"/>
              </w:rPr>
              <w:t xml:space="preserve">ealized that they have a lot </w:t>
            </w:r>
            <w:r w:rsidR="00D664F1" w:rsidRPr="008C5D5B">
              <w:rPr>
                <w:rFonts w:ascii="Arial" w:hAnsi="Arial" w:cs="Arial"/>
                <w:sz w:val="20"/>
                <w:szCs w:val="20"/>
              </w:rPr>
              <w:lastRenderedPageBreak/>
              <w:t>of practices that are using the same EHR ven</w:t>
            </w:r>
            <w:r w:rsidR="003A3472">
              <w:rPr>
                <w:rFonts w:ascii="Arial" w:hAnsi="Arial" w:cs="Arial"/>
                <w:sz w:val="20"/>
                <w:szCs w:val="20"/>
              </w:rPr>
              <w:t xml:space="preserve">dor that </w:t>
            </w:r>
            <w:r w:rsidR="00D311FB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3A3472">
              <w:rPr>
                <w:rFonts w:ascii="Arial" w:hAnsi="Arial" w:cs="Arial"/>
                <w:sz w:val="20"/>
                <w:szCs w:val="20"/>
              </w:rPr>
              <w:t>provider is using</w:t>
            </w:r>
            <w:r w:rsidR="00D664F1" w:rsidRPr="008C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1FB">
              <w:rPr>
                <w:rFonts w:ascii="Arial" w:hAnsi="Arial" w:cs="Arial"/>
                <w:sz w:val="20"/>
                <w:szCs w:val="20"/>
              </w:rPr>
              <w:t>and are also interested in this same QI target</w:t>
            </w:r>
          </w:p>
          <w:p w14:paraId="5A3B0644" w14:textId="77777777" w:rsidR="00D664F1" w:rsidRPr="00C178EB" w:rsidRDefault="00A408CD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A3472">
              <w:rPr>
                <w:rFonts w:ascii="Arial" w:hAnsi="Arial" w:cs="Arial"/>
                <w:sz w:val="20"/>
                <w:szCs w:val="20"/>
              </w:rPr>
              <w:t>ontacted the EHR vendor and scheduled</w:t>
            </w:r>
            <w:r w:rsidR="00C17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1FB">
              <w:rPr>
                <w:rFonts w:ascii="Arial" w:hAnsi="Arial" w:cs="Arial"/>
                <w:sz w:val="20"/>
                <w:szCs w:val="20"/>
              </w:rPr>
              <w:t xml:space="preserve">a joint </w:t>
            </w:r>
            <w:r w:rsidR="00C178EB">
              <w:rPr>
                <w:rFonts w:ascii="Arial" w:hAnsi="Arial" w:cs="Arial"/>
                <w:sz w:val="20"/>
                <w:szCs w:val="20"/>
              </w:rPr>
              <w:t xml:space="preserve">meeting with the providers </w:t>
            </w:r>
            <w:r w:rsidR="003A3472">
              <w:rPr>
                <w:rFonts w:ascii="Arial" w:hAnsi="Arial" w:cs="Arial"/>
                <w:sz w:val="20"/>
                <w:szCs w:val="20"/>
              </w:rPr>
              <w:t>that are clients of this vendor</w:t>
            </w:r>
          </w:p>
        </w:tc>
        <w:tc>
          <w:tcPr>
            <w:tcW w:w="2462" w:type="dxa"/>
            <w:tcBorders>
              <w:left w:val="none" w:sz="0" w:space="0" w:color="auto"/>
            </w:tcBorders>
          </w:tcPr>
          <w:p w14:paraId="256C347F" w14:textId="77777777" w:rsidR="003362B9" w:rsidRPr="00C178EB" w:rsidRDefault="00A408CD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3A3472">
              <w:rPr>
                <w:rFonts w:ascii="Arial" w:hAnsi="Arial" w:cs="Arial"/>
                <w:sz w:val="20"/>
                <w:szCs w:val="20"/>
              </w:rPr>
              <w:t xml:space="preserve">greed to </w:t>
            </w:r>
            <w:r w:rsidR="00161D4A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3A3472">
              <w:rPr>
                <w:rFonts w:ascii="Arial" w:hAnsi="Arial" w:cs="Arial"/>
                <w:sz w:val="20"/>
                <w:szCs w:val="20"/>
              </w:rPr>
              <w:t xml:space="preserve">the meeting </w:t>
            </w:r>
            <w:r w:rsidR="008506C1">
              <w:rPr>
                <w:rFonts w:ascii="Arial" w:hAnsi="Arial" w:cs="Arial"/>
                <w:sz w:val="20"/>
                <w:szCs w:val="20"/>
              </w:rPr>
              <w:t>to</w:t>
            </w:r>
            <w:r w:rsidR="003A3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6C1">
              <w:rPr>
                <w:rFonts w:ascii="Arial" w:hAnsi="Arial" w:cs="Arial"/>
                <w:sz w:val="20"/>
                <w:szCs w:val="20"/>
              </w:rPr>
              <w:t xml:space="preserve">learn </w:t>
            </w:r>
            <w:r w:rsidR="00161D4A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="008506C1">
              <w:rPr>
                <w:rFonts w:ascii="Arial" w:hAnsi="Arial" w:cs="Arial"/>
                <w:sz w:val="20"/>
                <w:szCs w:val="20"/>
              </w:rPr>
              <w:t>about providers’ needs</w:t>
            </w:r>
            <w:r w:rsidR="003362B9" w:rsidRPr="008C5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D4A">
              <w:rPr>
                <w:rFonts w:ascii="Arial" w:hAnsi="Arial" w:cs="Arial"/>
                <w:sz w:val="20"/>
                <w:szCs w:val="20"/>
              </w:rPr>
              <w:t xml:space="preserve">and challenges related to this target – </w:t>
            </w:r>
            <w:r w:rsidR="00161D4A">
              <w:rPr>
                <w:rFonts w:ascii="Arial" w:hAnsi="Arial" w:cs="Arial"/>
                <w:sz w:val="20"/>
                <w:szCs w:val="20"/>
              </w:rPr>
              <w:lastRenderedPageBreak/>
              <w:t xml:space="preserve">with an eye toward increasing their </w:t>
            </w:r>
            <w:r w:rsidR="008E0545">
              <w:rPr>
                <w:rFonts w:ascii="Arial" w:hAnsi="Arial" w:cs="Arial"/>
                <w:sz w:val="20"/>
                <w:szCs w:val="20"/>
              </w:rPr>
              <w:t>product/service value</w:t>
            </w:r>
            <w:r w:rsidR="00161D4A">
              <w:rPr>
                <w:rFonts w:ascii="Arial" w:hAnsi="Arial" w:cs="Arial"/>
                <w:sz w:val="20"/>
                <w:szCs w:val="20"/>
              </w:rPr>
              <w:t xml:space="preserve"> in helping providers address a broad range of QI targets</w:t>
            </w:r>
          </w:p>
          <w:p w14:paraId="4326C527" w14:textId="77777777" w:rsidR="00D664F1" w:rsidRPr="003362B9" w:rsidRDefault="00D664F1" w:rsidP="00A22D7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8EB" w:rsidRPr="008C5D5B" w14:paraId="5CADA0A2" w14:textId="77777777" w:rsidTr="00467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none" w:sz="0" w:space="0" w:color="auto"/>
            </w:tcBorders>
          </w:tcPr>
          <w:p w14:paraId="09EF035F" w14:textId="77777777" w:rsidR="00C178EB" w:rsidRPr="003362B9" w:rsidRDefault="00C178EB" w:rsidP="003362B9">
            <w:pPr>
              <w:rPr>
                <w:rFonts w:ascii="Arial" w:hAnsi="Arial" w:cs="Arial"/>
                <w:sz w:val="20"/>
                <w:szCs w:val="20"/>
              </w:rPr>
            </w:pPr>
            <w:r w:rsidRPr="003362B9">
              <w:rPr>
                <w:rFonts w:ascii="Arial" w:hAnsi="Arial" w:cs="Arial"/>
                <w:sz w:val="20"/>
                <w:szCs w:val="20"/>
              </w:rPr>
              <w:lastRenderedPageBreak/>
              <w:t>Planning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3160F741" w14:textId="77777777" w:rsidR="008C5B9D" w:rsidRPr="00E71DCE" w:rsidRDefault="008C5B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C5B9D">
              <w:rPr>
                <w:rFonts w:ascii="Arial" w:hAnsi="Arial" w:cs="Arial"/>
                <w:sz w:val="20"/>
                <w:szCs w:val="20"/>
              </w:rPr>
              <w:t>P</w:t>
            </w:r>
            <w:r w:rsidR="003362B9" w:rsidRPr="008C5B9D">
              <w:rPr>
                <w:rFonts w:ascii="Arial" w:hAnsi="Arial" w:cs="Arial"/>
                <w:sz w:val="20"/>
                <w:szCs w:val="20"/>
              </w:rPr>
              <w:t xml:space="preserve">resented </w:t>
            </w:r>
            <w:r w:rsidR="00A408CD">
              <w:rPr>
                <w:rFonts w:ascii="Arial" w:hAnsi="Arial" w:cs="Arial"/>
                <w:sz w:val="20"/>
                <w:szCs w:val="20"/>
              </w:rPr>
              <w:t>clinic’s</w:t>
            </w:r>
            <w:r w:rsidRPr="008C5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2B9" w:rsidRPr="008C5B9D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 xml:space="preserve">improvement </w:t>
            </w:r>
            <w:r w:rsidR="003362B9" w:rsidRPr="008C5B9D">
              <w:rPr>
                <w:rFonts w:ascii="Arial" w:hAnsi="Arial" w:cs="Arial"/>
                <w:sz w:val="20"/>
                <w:szCs w:val="20"/>
              </w:rPr>
              <w:t>target</w:t>
            </w:r>
            <w:r w:rsidR="00C016C3" w:rsidRPr="008C5B9D">
              <w:rPr>
                <w:rFonts w:ascii="Arial" w:hAnsi="Arial" w:cs="Arial"/>
                <w:sz w:val="20"/>
                <w:szCs w:val="20"/>
              </w:rPr>
              <w:t>: BP&lt; 140/90 in 85% of patients within 2 years (CMS eMeasure 165v1, NQF #0018, Domain= Clinical Process/ Effectiveness)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E71DCE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C016C3" w:rsidRPr="008C5B9D">
              <w:rPr>
                <w:rFonts w:ascii="Arial" w:hAnsi="Arial" w:cs="Arial"/>
                <w:sz w:val="20"/>
                <w:szCs w:val="20"/>
              </w:rPr>
              <w:t>aseline p</w:t>
            </w:r>
            <w:r w:rsidR="00A22D74" w:rsidRPr="008C5B9D">
              <w:rPr>
                <w:rFonts w:ascii="Arial" w:hAnsi="Arial" w:cs="Arial"/>
                <w:sz w:val="20"/>
                <w:szCs w:val="20"/>
              </w:rPr>
              <w:t>erformance on this measure was</w:t>
            </w:r>
            <w:r w:rsidR="00C016C3" w:rsidRPr="008C5B9D">
              <w:rPr>
                <w:rFonts w:ascii="Arial" w:hAnsi="Arial" w:cs="Arial"/>
                <w:sz w:val="20"/>
                <w:szCs w:val="20"/>
              </w:rPr>
              <w:t xml:space="preserve"> 68%</w:t>
            </w:r>
            <w:r w:rsidR="00A408C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71DCE">
              <w:rPr>
                <w:rFonts w:ascii="Arial" w:hAnsi="Arial" w:cs="Arial"/>
                <w:sz w:val="20"/>
                <w:szCs w:val="20"/>
              </w:rPr>
              <w:t>described their current strategies for BP control, including ways they use the EHR</w:t>
            </w:r>
          </w:p>
        </w:tc>
        <w:tc>
          <w:tcPr>
            <w:tcW w:w="3136" w:type="dxa"/>
            <w:tcBorders>
              <w:left w:val="none" w:sz="0" w:space="0" w:color="auto"/>
              <w:right w:val="none" w:sz="0" w:space="0" w:color="auto"/>
            </w:tcBorders>
          </w:tcPr>
          <w:p w14:paraId="6FFA44BD" w14:textId="77777777" w:rsidR="00E71DCE" w:rsidRPr="00E71DCE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71DCE">
              <w:rPr>
                <w:rFonts w:ascii="Arial" w:hAnsi="Arial" w:cs="Arial"/>
                <w:sz w:val="20"/>
                <w:szCs w:val="20"/>
              </w:rPr>
              <w:t>everaged the</w:t>
            </w:r>
            <w:r w:rsidR="00E71DCE" w:rsidRPr="00336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C33">
              <w:rPr>
                <w:rFonts w:ascii="Arial" w:hAnsi="Arial" w:cs="Arial"/>
                <w:sz w:val="20"/>
                <w:szCs w:val="20"/>
              </w:rPr>
              <w:t xml:space="preserve">CDS/QI </w:t>
            </w:r>
            <w:r w:rsidR="003362B9" w:rsidRPr="003362B9">
              <w:rPr>
                <w:rFonts w:ascii="Arial" w:hAnsi="Arial" w:cs="Arial"/>
                <w:sz w:val="20"/>
                <w:szCs w:val="20"/>
              </w:rPr>
              <w:t>resources on</w:t>
            </w:r>
            <w:r w:rsidR="003362B9">
              <w:rPr>
                <w:rFonts w:ascii="Arial" w:hAnsi="Arial" w:cs="Arial"/>
                <w:sz w:val="20"/>
                <w:szCs w:val="20"/>
              </w:rPr>
              <w:t xml:space="preserve"> HealthIT.gov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the meeting </w:t>
            </w:r>
            <w:r w:rsidR="00E71DCE">
              <w:rPr>
                <w:rFonts w:ascii="Arial" w:hAnsi="Arial" w:cs="Arial"/>
                <w:sz w:val="20"/>
                <w:szCs w:val="20"/>
              </w:rPr>
              <w:t>to present</w:t>
            </w:r>
            <w:r w:rsidR="003362B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E71DCE">
              <w:rPr>
                <w:rFonts w:ascii="Arial" w:hAnsi="Arial" w:cs="Arial"/>
                <w:sz w:val="20"/>
                <w:szCs w:val="20"/>
              </w:rPr>
              <w:t>n</w:t>
            </w:r>
            <w:r w:rsidR="00336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DCE">
              <w:rPr>
                <w:rFonts w:ascii="Arial" w:hAnsi="Arial" w:cs="Arial"/>
                <w:sz w:val="20"/>
                <w:szCs w:val="20"/>
              </w:rPr>
              <w:t xml:space="preserve">approach </w:t>
            </w:r>
            <w:r w:rsidR="003362B9">
              <w:rPr>
                <w:rFonts w:ascii="Arial" w:hAnsi="Arial" w:cs="Arial"/>
                <w:sz w:val="20"/>
                <w:szCs w:val="20"/>
              </w:rPr>
              <w:t>to analyz</w:t>
            </w:r>
            <w:r w:rsidR="00E71DCE">
              <w:rPr>
                <w:rFonts w:ascii="Arial" w:hAnsi="Arial" w:cs="Arial"/>
                <w:sz w:val="20"/>
                <w:szCs w:val="20"/>
              </w:rPr>
              <w:t>ing and improving</w:t>
            </w:r>
            <w:r w:rsidR="003362B9">
              <w:rPr>
                <w:rFonts w:ascii="Arial" w:hAnsi="Arial" w:cs="Arial"/>
                <w:sz w:val="20"/>
                <w:szCs w:val="20"/>
              </w:rPr>
              <w:t xml:space="preserve"> workflow and information flow </w:t>
            </w:r>
            <w:r w:rsidR="00E71DCE">
              <w:rPr>
                <w:rFonts w:ascii="Arial" w:hAnsi="Arial" w:cs="Arial"/>
                <w:sz w:val="20"/>
                <w:szCs w:val="20"/>
              </w:rPr>
              <w:t>relate</w:t>
            </w:r>
            <w:r>
              <w:rPr>
                <w:rFonts w:ascii="Arial" w:hAnsi="Arial" w:cs="Arial"/>
                <w:sz w:val="20"/>
                <w:szCs w:val="20"/>
              </w:rPr>
              <w:t>d to targets such as BP control</w:t>
            </w:r>
          </w:p>
          <w:p w14:paraId="6F2BF57A" w14:textId="77777777" w:rsidR="00C178EB" w:rsidRPr="003362B9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71DCE">
              <w:rPr>
                <w:rFonts w:ascii="Arial" w:hAnsi="Arial" w:cs="Arial"/>
                <w:sz w:val="20"/>
                <w:szCs w:val="20"/>
              </w:rPr>
              <w:t xml:space="preserve">dentified several other practices served by the vendor with sub-optimal BP control strategies and results </w:t>
            </w:r>
            <w:r w:rsidR="00C178EB" w:rsidRPr="003362B9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E71DCE">
              <w:rPr>
                <w:rFonts w:ascii="Arial" w:hAnsi="Arial" w:cs="Arial"/>
                <w:sz w:val="20"/>
                <w:szCs w:val="20"/>
              </w:rPr>
              <w:t xml:space="preserve">wanted to join the initial practice in using these tools in a focused </w:t>
            </w:r>
            <w:r>
              <w:rPr>
                <w:rFonts w:ascii="Arial" w:hAnsi="Arial" w:cs="Arial"/>
                <w:sz w:val="20"/>
                <w:szCs w:val="20"/>
              </w:rPr>
              <w:t>CDS/QI effort on this target</w:t>
            </w:r>
          </w:p>
        </w:tc>
        <w:tc>
          <w:tcPr>
            <w:tcW w:w="2462" w:type="dxa"/>
            <w:tcBorders>
              <w:left w:val="none" w:sz="0" w:space="0" w:color="auto"/>
            </w:tcBorders>
          </w:tcPr>
          <w:p w14:paraId="04753C0A" w14:textId="77777777" w:rsidR="003362B9" w:rsidRDefault="00A408CD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362B9">
              <w:rPr>
                <w:rFonts w:ascii="Arial" w:hAnsi="Arial" w:cs="Arial"/>
                <w:sz w:val="20"/>
                <w:szCs w:val="20"/>
              </w:rPr>
              <w:t>articipate</w:t>
            </w:r>
            <w:r w:rsidR="00D6172C">
              <w:rPr>
                <w:rFonts w:ascii="Arial" w:hAnsi="Arial" w:cs="Arial"/>
                <w:sz w:val="20"/>
                <w:szCs w:val="20"/>
              </w:rPr>
              <w:t>d</w:t>
            </w:r>
            <w:r w:rsidR="003362B9">
              <w:rPr>
                <w:rFonts w:ascii="Arial" w:hAnsi="Arial" w:cs="Arial"/>
                <w:sz w:val="20"/>
                <w:szCs w:val="20"/>
              </w:rPr>
              <w:t xml:space="preserve"> in the discussion and </w:t>
            </w:r>
            <w:r w:rsidR="00021440">
              <w:rPr>
                <w:rFonts w:ascii="Arial" w:hAnsi="Arial" w:cs="Arial"/>
                <w:sz w:val="20"/>
                <w:szCs w:val="20"/>
              </w:rPr>
              <w:t>better understood</w:t>
            </w:r>
            <w:r w:rsidR="003362B9">
              <w:rPr>
                <w:rFonts w:ascii="Arial" w:hAnsi="Arial" w:cs="Arial"/>
                <w:sz w:val="20"/>
                <w:szCs w:val="20"/>
              </w:rPr>
              <w:t xml:space="preserve"> provider challenges </w:t>
            </w:r>
            <w:r w:rsidR="00021440">
              <w:rPr>
                <w:rFonts w:ascii="Arial" w:hAnsi="Arial" w:cs="Arial"/>
                <w:sz w:val="20"/>
                <w:szCs w:val="20"/>
              </w:rPr>
              <w:t xml:space="preserve">and opportunities </w:t>
            </w:r>
            <w:r w:rsidR="00A341CB">
              <w:rPr>
                <w:rFonts w:ascii="Arial" w:hAnsi="Arial" w:cs="Arial"/>
                <w:sz w:val="20"/>
                <w:szCs w:val="20"/>
              </w:rPr>
              <w:t>regarding BP control CDS/QI efforts</w:t>
            </w:r>
          </w:p>
          <w:p w14:paraId="208D02B5" w14:textId="77777777" w:rsidR="00C178EB" w:rsidRPr="008C5D5B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341CB">
              <w:rPr>
                <w:rFonts w:ascii="Arial" w:hAnsi="Arial" w:cs="Arial"/>
                <w:sz w:val="20"/>
                <w:szCs w:val="20"/>
              </w:rPr>
              <w:t>oted some ‘quick wins’ regarding ways providers could better use their tools (e.g., registries, flowsheets, non-interruptive alerts) for BP control, and agreed to participate in more detailed, collaborative QI work with the interested providers</w:t>
            </w:r>
          </w:p>
        </w:tc>
      </w:tr>
      <w:tr w:rsidR="00C178EB" w:rsidRPr="008C5D5B" w14:paraId="041DEB55" w14:textId="77777777" w:rsidTr="0046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none" w:sz="0" w:space="0" w:color="auto"/>
            </w:tcBorders>
          </w:tcPr>
          <w:p w14:paraId="0BF8609D" w14:textId="77777777" w:rsidR="00C178EB" w:rsidRPr="003362B9" w:rsidRDefault="003362B9" w:rsidP="002C0B2C">
            <w:pPr>
              <w:rPr>
                <w:rFonts w:ascii="Arial" w:hAnsi="Arial" w:cs="Arial"/>
                <w:sz w:val="20"/>
                <w:szCs w:val="20"/>
              </w:rPr>
            </w:pPr>
            <w:r w:rsidRPr="003362B9">
              <w:rPr>
                <w:rFonts w:ascii="Arial" w:hAnsi="Arial" w:cs="Arial"/>
                <w:sz w:val="20"/>
                <w:szCs w:val="20"/>
              </w:rPr>
              <w:t>Execution</w:t>
            </w:r>
            <w:r w:rsidR="00191758">
              <w:rPr>
                <w:rFonts w:ascii="Arial" w:hAnsi="Arial" w:cs="Arial"/>
                <w:sz w:val="20"/>
                <w:szCs w:val="20"/>
              </w:rPr>
              <w:t xml:space="preserve"> Step 1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529F20E1" w14:textId="7E410A5E" w:rsidR="003362B9" w:rsidRPr="00A22D74" w:rsidRDefault="003362B9" w:rsidP="002453E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provider</w:t>
            </w:r>
            <w:r w:rsidR="00A341CB">
              <w:rPr>
                <w:rFonts w:ascii="Arial" w:hAnsi="Arial" w:cs="Arial"/>
                <w:sz w:val="20"/>
                <w:szCs w:val="20"/>
              </w:rPr>
              <w:t>s participating in the collaborative QI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convene</w:t>
            </w:r>
            <w:r w:rsidR="00D6172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A341CB">
              <w:rPr>
                <w:rFonts w:ascii="Arial" w:hAnsi="Arial" w:cs="Arial"/>
                <w:sz w:val="20"/>
                <w:szCs w:val="20"/>
              </w:rPr>
              <w:t>ir internal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 QI team</w:t>
            </w:r>
            <w:r w:rsidR="00A341C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1CB">
              <w:rPr>
                <w:rFonts w:ascii="Arial" w:hAnsi="Arial" w:cs="Arial"/>
                <w:sz w:val="20"/>
                <w:szCs w:val="20"/>
              </w:rPr>
              <w:t xml:space="preserve">– with support from the REC - to build a shared understanding of CDS/QI tools and approaches </w:t>
            </w:r>
            <w:r w:rsidR="00EE42D5" w:rsidRPr="00FD18E3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345EC" w:rsidRPr="00FD18E3">
              <w:rPr>
                <w:rFonts w:ascii="Arial" w:hAnsi="Arial" w:cs="Arial"/>
                <w:color w:val="FF0000"/>
                <w:sz w:val="20"/>
                <w:szCs w:val="20"/>
              </w:rPr>
              <w:t>http://healthit.gov/providers-professionals/clinical-decision-support-cds</w:t>
            </w:r>
            <w:r w:rsidR="002453E4" w:rsidRPr="00FD18E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A341CB" w:rsidRPr="00A408C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36" w:type="dxa"/>
            <w:tcBorders>
              <w:left w:val="none" w:sz="0" w:space="0" w:color="auto"/>
              <w:right w:val="none" w:sz="0" w:space="0" w:color="auto"/>
            </w:tcBorders>
          </w:tcPr>
          <w:p w14:paraId="3DBD3A45" w14:textId="77777777" w:rsidR="00A341CB" w:rsidRPr="00A341CB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341CB">
              <w:rPr>
                <w:rFonts w:ascii="Arial" w:hAnsi="Arial" w:cs="Arial"/>
                <w:sz w:val="20"/>
                <w:szCs w:val="20"/>
              </w:rPr>
              <w:t xml:space="preserve">rovided training (leveraging tools and resources from HIT.gov </w:t>
            </w:r>
            <w:r w:rsidR="00A341CB" w:rsidRPr="00FD18E3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345EC" w:rsidRPr="00FD18E3">
              <w:rPr>
                <w:rFonts w:ascii="Arial" w:hAnsi="Arial" w:cs="Arial"/>
                <w:color w:val="FF0000"/>
                <w:sz w:val="20"/>
                <w:szCs w:val="20"/>
              </w:rPr>
              <w:t>http://healthit.gov/providers-professionals/clinical-decision-support-cds</w:t>
            </w:r>
            <w:r w:rsidR="00A341CB" w:rsidRPr="00FD18E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A341CB" w:rsidRPr="00FD18E3">
              <w:rPr>
                <w:rFonts w:ascii="Arial" w:hAnsi="Arial" w:cs="Arial"/>
                <w:sz w:val="20"/>
                <w:szCs w:val="20"/>
              </w:rPr>
              <w:t>)</w:t>
            </w:r>
            <w:r w:rsidR="00A341CB">
              <w:rPr>
                <w:rFonts w:ascii="Arial" w:hAnsi="Arial" w:cs="Arial"/>
                <w:sz w:val="20"/>
                <w:szCs w:val="20"/>
              </w:rPr>
              <w:t xml:space="preserve"> on these tools and approaches, including </w:t>
            </w:r>
            <w:r w:rsidR="00581AFA">
              <w:rPr>
                <w:rFonts w:ascii="Arial" w:hAnsi="Arial" w:cs="Arial"/>
                <w:sz w:val="20"/>
                <w:szCs w:val="20"/>
              </w:rPr>
              <w:t xml:space="preserve">how to use </w:t>
            </w:r>
            <w:r w:rsidR="003362B9">
              <w:rPr>
                <w:rFonts w:ascii="Arial" w:hAnsi="Arial" w:cs="Arial"/>
                <w:sz w:val="20"/>
                <w:szCs w:val="20"/>
              </w:rPr>
              <w:t xml:space="preserve">the simplified ambulatory </w:t>
            </w:r>
            <w:r w:rsidR="00836DF4">
              <w:rPr>
                <w:rFonts w:ascii="Arial" w:hAnsi="Arial" w:cs="Arial"/>
                <w:sz w:val="20"/>
                <w:szCs w:val="20"/>
              </w:rPr>
              <w:t xml:space="preserve">and detailed </w:t>
            </w:r>
            <w:r w:rsidR="003362B9">
              <w:rPr>
                <w:rFonts w:ascii="Arial" w:hAnsi="Arial" w:cs="Arial"/>
                <w:sz w:val="20"/>
                <w:szCs w:val="20"/>
              </w:rPr>
              <w:t>worksheet</w:t>
            </w:r>
            <w:r w:rsidR="00836DF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F713D70" w14:textId="77777777" w:rsidR="00C178EB" w:rsidRPr="008C5D5B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341CB">
              <w:rPr>
                <w:rFonts w:ascii="Arial" w:hAnsi="Arial" w:cs="Arial"/>
                <w:sz w:val="20"/>
                <w:szCs w:val="20"/>
              </w:rPr>
              <w:t>rovided similar training for the EHR vendor implementation support and product development staff</w:t>
            </w:r>
          </w:p>
        </w:tc>
        <w:tc>
          <w:tcPr>
            <w:tcW w:w="2462" w:type="dxa"/>
            <w:tcBorders>
              <w:left w:val="none" w:sz="0" w:space="0" w:color="auto"/>
            </w:tcBorders>
          </w:tcPr>
          <w:p w14:paraId="564EB965" w14:textId="77777777" w:rsidR="00A341CB" w:rsidRPr="00A341CB" w:rsidRDefault="00A408CD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341CB">
              <w:rPr>
                <w:rFonts w:ascii="Arial" w:hAnsi="Arial" w:cs="Arial"/>
                <w:sz w:val="20"/>
                <w:szCs w:val="20"/>
              </w:rPr>
              <w:t xml:space="preserve">upported their staff and participating in this training, and considering deeply its implications for their </w:t>
            </w:r>
            <w:r>
              <w:rPr>
                <w:rFonts w:ascii="Arial" w:hAnsi="Arial" w:cs="Arial"/>
                <w:sz w:val="20"/>
                <w:szCs w:val="20"/>
              </w:rPr>
              <w:t>product development and support</w:t>
            </w:r>
          </w:p>
          <w:p w14:paraId="252B2B03" w14:textId="77777777" w:rsidR="00C178EB" w:rsidRPr="008C5D5B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341CB">
              <w:rPr>
                <w:rFonts w:ascii="Arial" w:hAnsi="Arial" w:cs="Arial"/>
                <w:sz w:val="20"/>
                <w:szCs w:val="20"/>
              </w:rPr>
              <w:t>taff used</w:t>
            </w:r>
            <w:r w:rsidR="004F2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758">
              <w:rPr>
                <w:rFonts w:ascii="Arial" w:hAnsi="Arial" w:cs="Arial"/>
                <w:sz w:val="20"/>
                <w:szCs w:val="20"/>
              </w:rPr>
              <w:t xml:space="preserve">Ambulatory CDS/QI </w:t>
            </w:r>
            <w:r w:rsidR="00A341CB">
              <w:rPr>
                <w:rFonts w:ascii="Arial" w:hAnsi="Arial" w:cs="Arial"/>
                <w:sz w:val="20"/>
                <w:szCs w:val="20"/>
              </w:rPr>
              <w:t>W</w:t>
            </w:r>
            <w:r w:rsidR="00191758">
              <w:rPr>
                <w:rFonts w:ascii="Arial" w:hAnsi="Arial" w:cs="Arial"/>
                <w:sz w:val="20"/>
                <w:szCs w:val="20"/>
              </w:rPr>
              <w:t>orksheet</w:t>
            </w:r>
            <w:r w:rsidR="00A341CB">
              <w:rPr>
                <w:rFonts w:ascii="Arial" w:hAnsi="Arial" w:cs="Arial"/>
                <w:sz w:val="20"/>
                <w:szCs w:val="20"/>
              </w:rPr>
              <w:t>s (initially simplified and then detailed)</w:t>
            </w:r>
            <w:r w:rsidR="001917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1C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F7CDF">
              <w:rPr>
                <w:rFonts w:ascii="Arial" w:hAnsi="Arial" w:cs="Arial"/>
                <w:sz w:val="20"/>
                <w:szCs w:val="20"/>
              </w:rPr>
              <w:t xml:space="preserve">begin </w:t>
            </w:r>
            <w:r w:rsidR="0020722E">
              <w:rPr>
                <w:rFonts w:ascii="Arial" w:hAnsi="Arial" w:cs="Arial"/>
                <w:sz w:val="20"/>
                <w:szCs w:val="20"/>
              </w:rPr>
              <w:t>documenting</w:t>
            </w:r>
            <w:r w:rsidR="009F7CDF">
              <w:rPr>
                <w:rFonts w:ascii="Arial" w:hAnsi="Arial" w:cs="Arial"/>
                <w:sz w:val="20"/>
                <w:szCs w:val="20"/>
              </w:rPr>
              <w:t xml:space="preserve"> specific ways their system capabilities could be </w:t>
            </w:r>
            <w:r w:rsidR="00C201E1">
              <w:rPr>
                <w:rFonts w:ascii="Arial" w:hAnsi="Arial" w:cs="Arial"/>
                <w:sz w:val="20"/>
                <w:szCs w:val="20"/>
              </w:rPr>
              <w:t>used to support optimal BP control</w:t>
            </w:r>
          </w:p>
        </w:tc>
      </w:tr>
      <w:tr w:rsidR="00D664F1" w:rsidRPr="008C5D5B" w14:paraId="58C3C6B8" w14:textId="77777777" w:rsidTr="00467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none" w:sz="0" w:space="0" w:color="auto"/>
            </w:tcBorders>
          </w:tcPr>
          <w:p w14:paraId="0AD9DC2C" w14:textId="77777777" w:rsidR="00D664F1" w:rsidRPr="00C178EB" w:rsidRDefault="00191758" w:rsidP="002C0B2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62B9">
              <w:rPr>
                <w:rFonts w:ascii="Arial" w:hAnsi="Arial" w:cs="Arial"/>
                <w:sz w:val="20"/>
                <w:szCs w:val="20"/>
              </w:rPr>
              <w:t>Execution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Step 2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62E0319D" w14:textId="77777777" w:rsidR="00D664F1" w:rsidRPr="008C5D5B" w:rsidRDefault="0043109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Participating p</w:t>
            </w:r>
            <w:r w:rsidR="00191758">
              <w:rPr>
                <w:rFonts w:ascii="Arial" w:hAnsi="Arial" w:cs="Arial"/>
                <w:sz w:val="20"/>
                <w:szCs w:val="20"/>
              </w:rPr>
              <w:t>rovider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917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DF4">
              <w:rPr>
                <w:rFonts w:ascii="Arial" w:hAnsi="Arial" w:cs="Arial"/>
                <w:sz w:val="20"/>
                <w:szCs w:val="20"/>
              </w:rPr>
              <w:t xml:space="preserve">used the simplified worksheet first with the team and then </w:t>
            </w:r>
            <w:r w:rsidR="00191758">
              <w:rPr>
                <w:rFonts w:ascii="Arial" w:hAnsi="Arial" w:cs="Arial"/>
                <w:sz w:val="20"/>
                <w:szCs w:val="20"/>
              </w:rPr>
              <w:t>complete</w:t>
            </w:r>
            <w:r w:rsidR="00836DF4">
              <w:rPr>
                <w:rFonts w:ascii="Arial" w:hAnsi="Arial" w:cs="Arial"/>
                <w:sz w:val="20"/>
                <w:szCs w:val="20"/>
              </w:rPr>
              <w:t>d</w:t>
            </w:r>
            <w:r w:rsidR="00191758">
              <w:rPr>
                <w:rFonts w:ascii="Arial" w:hAnsi="Arial" w:cs="Arial"/>
                <w:sz w:val="20"/>
                <w:szCs w:val="20"/>
              </w:rPr>
              <w:t xml:space="preserve"> the detailed ambulatory CDS/QI worksheet </w:t>
            </w:r>
            <w:r w:rsidR="00836DF4">
              <w:rPr>
                <w:rFonts w:ascii="Arial" w:hAnsi="Arial" w:cs="Arial"/>
                <w:sz w:val="20"/>
                <w:szCs w:val="20"/>
              </w:rPr>
              <w:t xml:space="preserve">in a smaller group </w:t>
            </w:r>
            <w:r w:rsidR="00191758">
              <w:rPr>
                <w:rFonts w:ascii="Arial" w:hAnsi="Arial" w:cs="Arial"/>
                <w:sz w:val="20"/>
                <w:szCs w:val="20"/>
              </w:rPr>
              <w:t>where they identif</w:t>
            </w:r>
            <w:r w:rsidR="00836DF4">
              <w:rPr>
                <w:rFonts w:ascii="Arial" w:hAnsi="Arial" w:cs="Arial"/>
                <w:sz w:val="20"/>
                <w:szCs w:val="20"/>
              </w:rPr>
              <w:t>ied</w:t>
            </w:r>
            <w:r w:rsidR="001917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optimal BP care activities, current information flows and workflows,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enhancement </w:t>
            </w:r>
            <w:r w:rsidR="00191758">
              <w:rPr>
                <w:rFonts w:ascii="Arial" w:hAnsi="Arial" w:cs="Arial"/>
                <w:sz w:val="20"/>
                <w:szCs w:val="20"/>
              </w:rPr>
              <w:t>opportunities</w:t>
            </w:r>
          </w:p>
        </w:tc>
        <w:tc>
          <w:tcPr>
            <w:tcW w:w="3136" w:type="dxa"/>
            <w:tcBorders>
              <w:left w:val="none" w:sz="0" w:space="0" w:color="auto"/>
              <w:right w:val="none" w:sz="0" w:space="0" w:color="auto"/>
            </w:tcBorders>
          </w:tcPr>
          <w:p w14:paraId="4DDC45A0" w14:textId="77777777" w:rsidR="00D664F1" w:rsidRPr="00467395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44091E" w:rsidRPr="00467395">
              <w:rPr>
                <w:rFonts w:ascii="Arial" w:hAnsi="Arial" w:cs="Arial"/>
                <w:sz w:val="20"/>
                <w:szCs w:val="20"/>
              </w:rPr>
              <w:t xml:space="preserve">ontinued </w:t>
            </w:r>
            <w:r w:rsidR="00191758" w:rsidRPr="00467395">
              <w:rPr>
                <w:rFonts w:ascii="Arial" w:hAnsi="Arial" w:cs="Arial"/>
                <w:sz w:val="20"/>
                <w:szCs w:val="20"/>
              </w:rPr>
              <w:t>provid</w:t>
            </w:r>
            <w:r w:rsidR="0044091E" w:rsidRPr="00467395">
              <w:rPr>
                <w:rFonts w:ascii="Arial" w:hAnsi="Arial" w:cs="Arial"/>
                <w:sz w:val="20"/>
                <w:szCs w:val="20"/>
              </w:rPr>
              <w:t>ing</w:t>
            </w:r>
            <w:r w:rsidR="00191758" w:rsidRPr="00467395">
              <w:rPr>
                <w:rFonts w:ascii="Arial" w:hAnsi="Arial" w:cs="Arial"/>
                <w:sz w:val="20"/>
                <w:szCs w:val="20"/>
              </w:rPr>
              <w:t xml:space="preserve"> guidance to the providers and vendors in </w:t>
            </w:r>
            <w:r w:rsidR="00510394" w:rsidRPr="00467395">
              <w:rPr>
                <w:rFonts w:ascii="Arial" w:hAnsi="Arial" w:cs="Arial"/>
                <w:sz w:val="20"/>
                <w:szCs w:val="20"/>
              </w:rPr>
              <w:t>using</w:t>
            </w:r>
            <w:r w:rsidR="00191758" w:rsidRPr="00467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394" w:rsidRPr="00467395">
              <w:rPr>
                <w:rFonts w:ascii="Arial" w:hAnsi="Arial" w:cs="Arial"/>
                <w:sz w:val="20"/>
                <w:szCs w:val="20"/>
              </w:rPr>
              <w:t xml:space="preserve">the CDS/QI </w:t>
            </w:r>
            <w:r w:rsidR="00191758" w:rsidRPr="00467395">
              <w:rPr>
                <w:rFonts w:ascii="Arial" w:hAnsi="Arial" w:cs="Arial"/>
                <w:sz w:val="20"/>
                <w:szCs w:val="20"/>
              </w:rPr>
              <w:t>tools and resources available on HealthIT.gov</w:t>
            </w:r>
            <w:r w:rsidR="00510394" w:rsidRPr="00467395">
              <w:rPr>
                <w:rFonts w:ascii="Arial" w:hAnsi="Arial" w:cs="Arial"/>
                <w:sz w:val="20"/>
                <w:szCs w:val="20"/>
              </w:rPr>
              <w:t xml:space="preserve"> for these efforts</w:t>
            </w:r>
          </w:p>
          <w:p w14:paraId="1667F30E" w14:textId="77777777" w:rsidR="00724678" w:rsidRPr="00467395" w:rsidRDefault="00A408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24678" w:rsidRPr="00467395">
              <w:rPr>
                <w:rFonts w:ascii="Arial" w:hAnsi="Arial" w:cs="Arial"/>
                <w:sz w:val="20"/>
                <w:szCs w:val="20"/>
              </w:rPr>
              <w:t xml:space="preserve">osted periodic web meetings between participating providers and the EHR vendor to discuss findings from </w:t>
            </w:r>
            <w:r w:rsidR="00724678" w:rsidRPr="00467395">
              <w:rPr>
                <w:rFonts w:ascii="Arial" w:hAnsi="Arial" w:cs="Arial"/>
                <w:sz w:val="20"/>
                <w:szCs w:val="20"/>
              </w:rPr>
              <w:lastRenderedPageBreak/>
              <w:t>workflow/information flow analyses.</w:t>
            </w:r>
          </w:p>
          <w:p w14:paraId="2CE41117" w14:textId="77777777" w:rsidR="00724678" w:rsidRPr="00467395" w:rsidRDefault="009A00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24678" w:rsidRPr="00467395">
              <w:rPr>
                <w:rFonts w:ascii="Arial" w:hAnsi="Arial" w:cs="Arial"/>
                <w:sz w:val="20"/>
                <w:szCs w:val="20"/>
              </w:rPr>
              <w:t>et up online discussion group and document sharing site where providers should share and discuss their worksheets (REC planned to include other provider clients working on BP control and using a different EHR vendor)</w:t>
            </w:r>
          </w:p>
        </w:tc>
        <w:tc>
          <w:tcPr>
            <w:tcW w:w="2462" w:type="dxa"/>
            <w:tcBorders>
              <w:left w:val="none" w:sz="0" w:space="0" w:color="auto"/>
            </w:tcBorders>
          </w:tcPr>
          <w:p w14:paraId="44707141" w14:textId="77777777" w:rsidR="00D664F1" w:rsidRDefault="009A00CA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="00191758">
              <w:rPr>
                <w:rFonts w:ascii="Arial" w:hAnsi="Arial" w:cs="Arial"/>
                <w:sz w:val="20"/>
                <w:szCs w:val="20"/>
              </w:rPr>
              <w:t>ork</w:t>
            </w:r>
            <w:r w:rsidR="0022767A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191758">
              <w:rPr>
                <w:rFonts w:ascii="Arial" w:hAnsi="Arial" w:cs="Arial"/>
                <w:sz w:val="20"/>
                <w:szCs w:val="20"/>
              </w:rPr>
              <w:t>with provider</w:t>
            </w:r>
            <w:r w:rsidR="00510394">
              <w:rPr>
                <w:rFonts w:ascii="Arial" w:hAnsi="Arial" w:cs="Arial"/>
                <w:sz w:val="20"/>
                <w:szCs w:val="20"/>
              </w:rPr>
              <w:t>s</w:t>
            </w:r>
            <w:r w:rsidR="00191758">
              <w:rPr>
                <w:rFonts w:ascii="Arial" w:hAnsi="Arial" w:cs="Arial"/>
                <w:sz w:val="20"/>
                <w:szCs w:val="20"/>
              </w:rPr>
              <w:t xml:space="preserve"> to understand </w:t>
            </w:r>
            <w:r w:rsidR="00215EA7">
              <w:rPr>
                <w:rFonts w:ascii="Arial" w:hAnsi="Arial" w:cs="Arial"/>
                <w:sz w:val="20"/>
                <w:szCs w:val="20"/>
              </w:rPr>
              <w:t xml:space="preserve">providers’ BP-related information flow and workflow needs, </w:t>
            </w:r>
            <w:r w:rsidR="00191758">
              <w:rPr>
                <w:rFonts w:ascii="Arial" w:hAnsi="Arial" w:cs="Arial"/>
                <w:sz w:val="20"/>
                <w:szCs w:val="20"/>
              </w:rPr>
              <w:t>and suggest</w:t>
            </w:r>
            <w:r w:rsidR="0022767A">
              <w:rPr>
                <w:rFonts w:ascii="Arial" w:hAnsi="Arial" w:cs="Arial"/>
                <w:sz w:val="20"/>
                <w:szCs w:val="20"/>
              </w:rPr>
              <w:t>ed</w:t>
            </w:r>
            <w:r w:rsidR="00191758">
              <w:rPr>
                <w:rFonts w:ascii="Arial" w:hAnsi="Arial" w:cs="Arial"/>
                <w:sz w:val="20"/>
                <w:szCs w:val="20"/>
              </w:rPr>
              <w:t xml:space="preserve"> concrete solutions</w:t>
            </w:r>
            <w:r w:rsidR="00A959CE">
              <w:rPr>
                <w:rFonts w:ascii="Arial" w:hAnsi="Arial" w:cs="Arial"/>
                <w:sz w:val="20"/>
                <w:szCs w:val="20"/>
              </w:rPr>
              <w:t xml:space="preserve">/opportunities for </w:t>
            </w:r>
            <w:r w:rsidR="00510394">
              <w:rPr>
                <w:rFonts w:ascii="Arial" w:hAnsi="Arial" w:cs="Arial"/>
                <w:sz w:val="20"/>
                <w:szCs w:val="20"/>
              </w:rPr>
              <w:t xml:space="preserve">better using their system capabilities </w:t>
            </w:r>
          </w:p>
          <w:p w14:paraId="28B5928C" w14:textId="77777777" w:rsidR="00191758" w:rsidRPr="008C5D5B" w:rsidRDefault="009A00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15EA7">
              <w:rPr>
                <w:rFonts w:ascii="Arial" w:hAnsi="Arial" w:cs="Arial"/>
                <w:sz w:val="20"/>
                <w:szCs w:val="20"/>
              </w:rPr>
              <w:t xml:space="preserve">oted on their own working version of </w:t>
            </w:r>
            <w:r w:rsidR="00191758" w:rsidRPr="0019175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91758" w:rsidRPr="00191758">
              <w:rPr>
                <w:rFonts w:ascii="Arial" w:hAnsi="Arial" w:cs="Arial"/>
                <w:sz w:val="20"/>
                <w:szCs w:val="20"/>
              </w:rPr>
              <w:lastRenderedPageBreak/>
              <w:t xml:space="preserve">detailed worksheet </w:t>
            </w:r>
            <w:r w:rsidR="00215EA7">
              <w:rPr>
                <w:rFonts w:ascii="Arial" w:hAnsi="Arial" w:cs="Arial"/>
                <w:sz w:val="20"/>
                <w:szCs w:val="20"/>
              </w:rPr>
              <w:t>(in the</w:t>
            </w:r>
            <w:r w:rsidR="00C55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EA7">
              <w:rPr>
                <w:rFonts w:ascii="Arial" w:hAnsi="Arial" w:cs="Arial"/>
                <w:sz w:val="20"/>
                <w:szCs w:val="20"/>
              </w:rPr>
              <w:t>‘</w:t>
            </w:r>
            <w:r w:rsidR="00A22D74">
              <w:rPr>
                <w:rFonts w:ascii="Arial" w:hAnsi="Arial" w:cs="Arial"/>
                <w:sz w:val="20"/>
                <w:szCs w:val="20"/>
              </w:rPr>
              <w:t>Potential Enhancements</w:t>
            </w:r>
            <w:r w:rsidR="00215EA7">
              <w:rPr>
                <w:rFonts w:ascii="Arial" w:hAnsi="Arial" w:cs="Arial"/>
                <w:sz w:val="20"/>
                <w:szCs w:val="20"/>
              </w:rPr>
              <w:t>’</w:t>
            </w:r>
            <w:r w:rsidR="00A22D74">
              <w:rPr>
                <w:rFonts w:ascii="Arial" w:hAnsi="Arial" w:cs="Arial"/>
                <w:sz w:val="20"/>
                <w:szCs w:val="20"/>
              </w:rPr>
              <w:t xml:space="preserve"> section</w:t>
            </w:r>
            <w:r w:rsidR="00215EA7">
              <w:rPr>
                <w:rFonts w:ascii="Arial" w:hAnsi="Arial" w:cs="Arial"/>
                <w:sz w:val="20"/>
                <w:szCs w:val="20"/>
              </w:rPr>
              <w:t>) high priority needs that the</w:t>
            </w:r>
            <w:r>
              <w:rPr>
                <w:rFonts w:ascii="Arial" w:hAnsi="Arial" w:cs="Arial"/>
                <w:sz w:val="20"/>
                <w:szCs w:val="20"/>
              </w:rPr>
              <w:t>ir system couldn’t address well</w:t>
            </w:r>
          </w:p>
        </w:tc>
      </w:tr>
      <w:tr w:rsidR="00C178EB" w:rsidRPr="008C5D5B" w14:paraId="44A287B2" w14:textId="77777777" w:rsidTr="0046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none" w:sz="0" w:space="0" w:color="auto"/>
            </w:tcBorders>
          </w:tcPr>
          <w:p w14:paraId="69AB7415" w14:textId="77777777" w:rsidR="00C178EB" w:rsidRDefault="00191758" w:rsidP="002C0B2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362B9">
              <w:rPr>
                <w:rFonts w:ascii="Arial" w:hAnsi="Arial" w:cs="Arial"/>
                <w:sz w:val="20"/>
                <w:szCs w:val="20"/>
              </w:rPr>
              <w:lastRenderedPageBreak/>
              <w:t>Execution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Step 3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71913167" w14:textId="77777777" w:rsidR="006D15F1" w:rsidRPr="006D15F1" w:rsidRDefault="0019175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Prioritized </w:t>
            </w:r>
            <w:r w:rsidR="00724678">
              <w:rPr>
                <w:rFonts w:ascii="Arial" w:hAnsi="Arial" w:cs="Arial"/>
                <w:sz w:val="20"/>
                <w:szCs w:val="20"/>
              </w:rPr>
              <w:t xml:space="preserve">potential workflow/information flow </w:t>
            </w:r>
            <w:r>
              <w:rPr>
                <w:rFonts w:ascii="Arial" w:hAnsi="Arial" w:cs="Arial"/>
                <w:sz w:val="20"/>
                <w:szCs w:val="20"/>
              </w:rPr>
              <w:t xml:space="preserve">enhancements </w:t>
            </w:r>
            <w:r w:rsidR="00724678">
              <w:rPr>
                <w:rFonts w:ascii="Arial" w:hAnsi="Arial" w:cs="Arial"/>
                <w:sz w:val="20"/>
                <w:szCs w:val="20"/>
              </w:rPr>
              <w:t>they had identified in collaboration with the REC and the EHR vendor, and implemented selected</w:t>
            </w:r>
            <w:r w:rsidR="00B82B09">
              <w:rPr>
                <w:rFonts w:ascii="Arial" w:hAnsi="Arial" w:cs="Arial"/>
                <w:sz w:val="20"/>
                <w:szCs w:val="20"/>
              </w:rPr>
              <w:t xml:space="preserve"> enhancement</w:t>
            </w:r>
            <w:r w:rsidR="000F76C0">
              <w:rPr>
                <w:rFonts w:ascii="Arial" w:hAnsi="Arial" w:cs="Arial"/>
                <w:sz w:val="20"/>
                <w:szCs w:val="20"/>
              </w:rPr>
              <w:t>s</w:t>
            </w:r>
            <w:r w:rsidR="00B82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678">
              <w:rPr>
                <w:rFonts w:ascii="Arial" w:hAnsi="Arial" w:cs="Arial"/>
                <w:sz w:val="20"/>
                <w:szCs w:val="20"/>
              </w:rPr>
              <w:t>(i.e., those requiring relatively modest effort with potential for high QI return)</w:t>
            </w:r>
          </w:p>
        </w:tc>
        <w:tc>
          <w:tcPr>
            <w:tcW w:w="3136" w:type="dxa"/>
            <w:tcBorders>
              <w:left w:val="none" w:sz="0" w:space="0" w:color="auto"/>
              <w:right w:val="none" w:sz="0" w:space="0" w:color="auto"/>
            </w:tcBorders>
          </w:tcPr>
          <w:p w14:paraId="6A212C35" w14:textId="77777777" w:rsidR="005E5B36" w:rsidRPr="00467395" w:rsidRDefault="009A00CA" w:rsidP="005E5B3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25DD2" w:rsidRPr="00467395">
              <w:rPr>
                <w:rFonts w:ascii="Arial" w:hAnsi="Arial" w:cs="Arial"/>
                <w:sz w:val="20"/>
                <w:szCs w:val="20"/>
              </w:rPr>
              <w:t>ontinued support for participating providers/vendors as outlined above, and began reaching out to other providers (and their EHR vendors</w:t>
            </w:r>
            <w:r>
              <w:rPr>
                <w:rFonts w:ascii="Arial" w:hAnsi="Arial" w:cs="Arial"/>
                <w:sz w:val="20"/>
                <w:szCs w:val="20"/>
              </w:rPr>
              <w:t>) about joining this initiative</w:t>
            </w:r>
          </w:p>
          <w:p w14:paraId="15A9EDC2" w14:textId="77777777" w:rsidR="00C178EB" w:rsidRPr="00467395" w:rsidRDefault="009A00CA" w:rsidP="005E5B3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25DD2" w:rsidRPr="00467395">
              <w:rPr>
                <w:rFonts w:ascii="Arial" w:hAnsi="Arial" w:cs="Arial"/>
                <w:sz w:val="20"/>
                <w:szCs w:val="20"/>
              </w:rPr>
              <w:t>egan considering expanding this effort to cover other high priority improvement targets of interest to their client base</w:t>
            </w:r>
          </w:p>
        </w:tc>
        <w:tc>
          <w:tcPr>
            <w:tcW w:w="2462" w:type="dxa"/>
            <w:tcBorders>
              <w:left w:val="none" w:sz="0" w:space="0" w:color="auto"/>
            </w:tcBorders>
          </w:tcPr>
          <w:p w14:paraId="3312F2A9" w14:textId="77777777" w:rsidR="00A25DD2" w:rsidRPr="00A25DD2" w:rsidRDefault="009A00CA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15F1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A25DD2">
              <w:rPr>
                <w:rFonts w:ascii="Arial" w:hAnsi="Arial" w:cs="Arial"/>
                <w:sz w:val="20"/>
                <w:szCs w:val="20"/>
              </w:rPr>
              <w:t xml:space="preserve">continued </w:t>
            </w:r>
            <w:r w:rsidR="006D15F1">
              <w:rPr>
                <w:rFonts w:ascii="Arial" w:hAnsi="Arial" w:cs="Arial"/>
                <w:sz w:val="20"/>
                <w:szCs w:val="20"/>
              </w:rPr>
              <w:t>help</w:t>
            </w:r>
            <w:r w:rsidR="00FF6A6D">
              <w:rPr>
                <w:rFonts w:ascii="Arial" w:hAnsi="Arial" w:cs="Arial"/>
                <w:sz w:val="20"/>
                <w:szCs w:val="20"/>
              </w:rPr>
              <w:t>ing</w:t>
            </w:r>
            <w:r w:rsidR="00A25DD2">
              <w:rPr>
                <w:rFonts w:ascii="Arial" w:hAnsi="Arial" w:cs="Arial"/>
                <w:sz w:val="20"/>
                <w:szCs w:val="20"/>
              </w:rPr>
              <w:t xml:space="preserve"> providers</w:t>
            </w:r>
            <w:r w:rsidR="006D15F1">
              <w:rPr>
                <w:rFonts w:ascii="Arial" w:hAnsi="Arial" w:cs="Arial"/>
                <w:sz w:val="20"/>
                <w:szCs w:val="20"/>
              </w:rPr>
              <w:t xml:space="preserve"> (e.g., through trai</w:t>
            </w:r>
            <w:r>
              <w:rPr>
                <w:rFonts w:ascii="Arial" w:hAnsi="Arial" w:cs="Arial"/>
                <w:sz w:val="20"/>
                <w:szCs w:val="20"/>
              </w:rPr>
              <w:t>ning and configuration support) to optimize</w:t>
            </w:r>
            <w:r w:rsidR="00A25DD2">
              <w:rPr>
                <w:rFonts w:ascii="Arial" w:hAnsi="Arial" w:cs="Arial"/>
                <w:sz w:val="20"/>
                <w:szCs w:val="20"/>
              </w:rPr>
              <w:t xml:space="preserve"> the use of </w:t>
            </w:r>
            <w:r w:rsidR="00A25DD2" w:rsidRPr="009A00CA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6D15F1" w:rsidRPr="009A00CA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sz w:val="20"/>
                <w:szCs w:val="20"/>
              </w:rPr>
              <w:t>tools for BP control</w:t>
            </w:r>
          </w:p>
          <w:p w14:paraId="78F4064C" w14:textId="77777777" w:rsidR="00B82B09" w:rsidRPr="00670A3C" w:rsidRDefault="009A00CA" w:rsidP="00670A3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A00CA">
              <w:rPr>
                <w:rFonts w:ascii="Arial" w:hAnsi="Arial" w:cs="Arial"/>
                <w:sz w:val="20"/>
                <w:szCs w:val="20"/>
              </w:rPr>
              <w:t>B</w:t>
            </w:r>
            <w:r w:rsidR="006D15F1" w:rsidRPr="009A00CA">
              <w:rPr>
                <w:rFonts w:ascii="Arial" w:hAnsi="Arial" w:cs="Arial"/>
                <w:sz w:val="20"/>
                <w:szCs w:val="20"/>
              </w:rPr>
              <w:t xml:space="preserve">egan prioritizing with clients </w:t>
            </w:r>
            <w:r w:rsidR="00A201C8" w:rsidRPr="009A00CA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6D15F1" w:rsidRPr="009A00CA">
              <w:rPr>
                <w:rFonts w:ascii="Arial" w:hAnsi="Arial" w:cs="Arial"/>
                <w:sz w:val="20"/>
                <w:szCs w:val="20"/>
              </w:rPr>
              <w:t>system</w:t>
            </w:r>
            <w:r w:rsidR="00B82B09" w:rsidRPr="009A00CA">
              <w:rPr>
                <w:rFonts w:ascii="Arial" w:hAnsi="Arial" w:cs="Arial"/>
                <w:sz w:val="20"/>
                <w:szCs w:val="20"/>
              </w:rPr>
              <w:t xml:space="preserve"> enhancements</w:t>
            </w:r>
            <w:r w:rsidR="006D15F1" w:rsidRPr="009A00CA">
              <w:rPr>
                <w:rFonts w:ascii="Arial" w:hAnsi="Arial" w:cs="Arial"/>
                <w:sz w:val="20"/>
                <w:szCs w:val="20"/>
              </w:rPr>
              <w:t xml:space="preserve"> that would most support their BP control efforts</w:t>
            </w:r>
          </w:p>
        </w:tc>
      </w:tr>
      <w:tr w:rsidR="00B82B09" w:rsidRPr="008C5D5B" w14:paraId="5243A10C" w14:textId="77777777" w:rsidTr="00467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none" w:sz="0" w:space="0" w:color="auto"/>
            </w:tcBorders>
          </w:tcPr>
          <w:p w14:paraId="2A3C9BB2" w14:textId="77777777" w:rsidR="00B82B09" w:rsidRPr="003362B9" w:rsidRDefault="00B82B09" w:rsidP="00670A3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</w:t>
            </w:r>
            <w:r w:rsidR="000F76C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D15F1">
              <w:rPr>
                <w:rFonts w:ascii="Arial" w:hAnsi="Arial" w:cs="Arial"/>
                <w:sz w:val="20"/>
                <w:szCs w:val="20"/>
              </w:rPr>
              <w:t>Spread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722DC1F2" w14:textId="77777777" w:rsidR="00B82B09" w:rsidRDefault="009A00CA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D15F1">
              <w:rPr>
                <w:rFonts w:ascii="Arial" w:hAnsi="Arial" w:cs="Arial"/>
                <w:sz w:val="20"/>
                <w:szCs w:val="20"/>
              </w:rPr>
              <w:t xml:space="preserve">nalyzed results from </w:t>
            </w:r>
            <w:r w:rsidR="006F400D">
              <w:rPr>
                <w:rFonts w:ascii="Arial" w:hAnsi="Arial" w:cs="Arial"/>
                <w:sz w:val="20"/>
                <w:szCs w:val="20"/>
              </w:rPr>
              <w:t xml:space="preserve">enhancements and adjusted </w:t>
            </w:r>
            <w:r w:rsidR="006D15F1">
              <w:rPr>
                <w:rFonts w:ascii="Arial" w:hAnsi="Arial" w:cs="Arial"/>
                <w:sz w:val="20"/>
                <w:szCs w:val="20"/>
              </w:rPr>
              <w:t>implementation to optimize positive effects and address unanticipated problems</w:t>
            </w:r>
          </w:p>
          <w:p w14:paraId="6076494A" w14:textId="77777777" w:rsidR="006F400D" w:rsidRDefault="009A00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A5E07">
              <w:rPr>
                <w:rFonts w:ascii="Arial" w:hAnsi="Arial" w:cs="Arial"/>
                <w:sz w:val="20"/>
                <w:szCs w:val="20"/>
              </w:rPr>
              <w:t>onsidered implications of their BP control CDS/QI efforts and results in addressing other high priority targets</w:t>
            </w:r>
          </w:p>
        </w:tc>
        <w:tc>
          <w:tcPr>
            <w:tcW w:w="3136" w:type="dxa"/>
            <w:tcBorders>
              <w:left w:val="none" w:sz="0" w:space="0" w:color="auto"/>
              <w:right w:val="none" w:sz="0" w:space="0" w:color="auto"/>
            </w:tcBorders>
          </w:tcPr>
          <w:p w14:paraId="34E676C6" w14:textId="77777777" w:rsidR="00B82B09" w:rsidRPr="00467395" w:rsidRDefault="009A00CA" w:rsidP="00A22D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93E17" w:rsidRPr="00467395">
              <w:rPr>
                <w:rFonts w:ascii="Arial" w:hAnsi="Arial" w:cs="Arial"/>
                <w:sz w:val="20"/>
                <w:szCs w:val="20"/>
              </w:rPr>
              <w:t xml:space="preserve">ompiled lessons learned and developed a process </w:t>
            </w:r>
            <w:r w:rsidR="00FA5E07" w:rsidRPr="00467395">
              <w:rPr>
                <w:rFonts w:ascii="Arial" w:hAnsi="Arial" w:cs="Arial"/>
                <w:sz w:val="20"/>
                <w:szCs w:val="20"/>
              </w:rPr>
              <w:t xml:space="preserve">and sustainable business model </w:t>
            </w:r>
            <w:r w:rsidR="00893E17" w:rsidRPr="00467395">
              <w:rPr>
                <w:rFonts w:ascii="Arial" w:hAnsi="Arial" w:cs="Arial"/>
                <w:sz w:val="20"/>
                <w:szCs w:val="20"/>
              </w:rPr>
              <w:t xml:space="preserve">for guiding other providers </w:t>
            </w:r>
            <w:r w:rsidR="00FA5E07" w:rsidRPr="00467395">
              <w:rPr>
                <w:rFonts w:ascii="Arial" w:hAnsi="Arial" w:cs="Arial"/>
                <w:sz w:val="20"/>
                <w:szCs w:val="20"/>
              </w:rPr>
              <w:t>– and other EHR vendors – in addressing</w:t>
            </w:r>
            <w:r w:rsidR="00893E17" w:rsidRPr="00467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E07" w:rsidRPr="00467395">
              <w:rPr>
                <w:rFonts w:ascii="Arial" w:hAnsi="Arial" w:cs="Arial"/>
                <w:sz w:val="20"/>
                <w:szCs w:val="20"/>
              </w:rPr>
              <w:t>BP control</w:t>
            </w:r>
          </w:p>
          <w:p w14:paraId="08674A12" w14:textId="77777777" w:rsidR="00893E17" w:rsidRPr="00467395" w:rsidRDefault="009A00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A5E07" w:rsidRPr="00467395">
              <w:rPr>
                <w:rFonts w:ascii="Arial" w:hAnsi="Arial" w:cs="Arial"/>
                <w:sz w:val="20"/>
                <w:szCs w:val="20"/>
              </w:rPr>
              <w:t xml:space="preserve">egan exploring needs and related solutions for addressing </w:t>
            </w:r>
            <w:r w:rsidR="00893E17" w:rsidRPr="0046739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A5E07" w:rsidRPr="00467395">
              <w:rPr>
                <w:rFonts w:ascii="Arial" w:hAnsi="Arial" w:cs="Arial"/>
                <w:sz w:val="20"/>
                <w:szCs w:val="20"/>
              </w:rPr>
              <w:t>improvement targets</w:t>
            </w:r>
            <w:r w:rsidR="00893E17" w:rsidRPr="00467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E07" w:rsidRPr="00467395">
              <w:rPr>
                <w:rFonts w:ascii="Arial" w:hAnsi="Arial" w:cs="Arial"/>
                <w:sz w:val="20"/>
                <w:szCs w:val="20"/>
              </w:rPr>
              <w:t>in collaboration with key partners</w:t>
            </w:r>
          </w:p>
        </w:tc>
        <w:tc>
          <w:tcPr>
            <w:tcW w:w="2462" w:type="dxa"/>
            <w:tcBorders>
              <w:left w:val="none" w:sz="0" w:space="0" w:color="auto"/>
            </w:tcBorders>
          </w:tcPr>
          <w:p w14:paraId="7D915A98" w14:textId="77777777" w:rsidR="00FF6A6D" w:rsidRPr="00FF6A6D" w:rsidRDefault="009A00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F6A6D">
              <w:rPr>
                <w:rFonts w:ascii="Arial" w:hAnsi="Arial" w:cs="Arial"/>
                <w:sz w:val="20"/>
                <w:szCs w:val="20"/>
              </w:rPr>
              <w:t>nhanced its training materials and other client support efforts (e.g., shared tool libraries and discussion forums for clients) with key insights and approaches glea</w:t>
            </w:r>
            <w:r>
              <w:rPr>
                <w:rFonts w:ascii="Arial" w:hAnsi="Arial" w:cs="Arial"/>
                <w:sz w:val="20"/>
                <w:szCs w:val="20"/>
              </w:rPr>
              <w:t>ned from the BP control project</w:t>
            </w:r>
          </w:p>
          <w:p w14:paraId="4C4D730D" w14:textId="77777777" w:rsidR="00B82B09" w:rsidRDefault="009A00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99" w:hanging="18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F6A6D">
              <w:rPr>
                <w:rFonts w:ascii="Arial" w:hAnsi="Arial" w:cs="Arial"/>
                <w:sz w:val="20"/>
                <w:szCs w:val="20"/>
              </w:rPr>
              <w:t>egan implementing and evaluating the high priority BP control-related system enhancements, after considering which would have broad value across many different targets</w:t>
            </w:r>
          </w:p>
        </w:tc>
      </w:tr>
    </w:tbl>
    <w:p w14:paraId="078635B6" w14:textId="77777777" w:rsidR="00CE5E30" w:rsidRDefault="00CE5E30"/>
    <w:sectPr w:rsidR="00CE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D61"/>
    <w:multiLevelType w:val="hybridMultilevel"/>
    <w:tmpl w:val="7D9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A7864"/>
    <w:multiLevelType w:val="hybridMultilevel"/>
    <w:tmpl w:val="2E94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454"/>
    <w:multiLevelType w:val="hybridMultilevel"/>
    <w:tmpl w:val="2570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E3CBF"/>
    <w:multiLevelType w:val="hybridMultilevel"/>
    <w:tmpl w:val="545E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4411"/>
    <w:multiLevelType w:val="hybridMultilevel"/>
    <w:tmpl w:val="331C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66CE4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F1"/>
    <w:rsid w:val="000065CA"/>
    <w:rsid w:val="00021440"/>
    <w:rsid w:val="00052CEE"/>
    <w:rsid w:val="00091C43"/>
    <w:rsid w:val="000E5345"/>
    <w:rsid w:val="000F76C0"/>
    <w:rsid w:val="0014722B"/>
    <w:rsid w:val="00161D4A"/>
    <w:rsid w:val="00167E21"/>
    <w:rsid w:val="00191758"/>
    <w:rsid w:val="001A3E45"/>
    <w:rsid w:val="001B7182"/>
    <w:rsid w:val="001D285F"/>
    <w:rsid w:val="0020722E"/>
    <w:rsid w:val="00215EA7"/>
    <w:rsid w:val="00216E5B"/>
    <w:rsid w:val="0022767A"/>
    <w:rsid w:val="002453E4"/>
    <w:rsid w:val="00277874"/>
    <w:rsid w:val="00285AB5"/>
    <w:rsid w:val="0029330E"/>
    <w:rsid w:val="002A242A"/>
    <w:rsid w:val="002B3ECA"/>
    <w:rsid w:val="002C0B2C"/>
    <w:rsid w:val="002F1A95"/>
    <w:rsid w:val="002F30D1"/>
    <w:rsid w:val="00330AB8"/>
    <w:rsid w:val="003362B9"/>
    <w:rsid w:val="0035126D"/>
    <w:rsid w:val="003A3472"/>
    <w:rsid w:val="003A5A6C"/>
    <w:rsid w:val="003B66ED"/>
    <w:rsid w:val="00400AFF"/>
    <w:rsid w:val="00401B46"/>
    <w:rsid w:val="00403865"/>
    <w:rsid w:val="00431095"/>
    <w:rsid w:val="0044091E"/>
    <w:rsid w:val="00446537"/>
    <w:rsid w:val="00467395"/>
    <w:rsid w:val="004B625A"/>
    <w:rsid w:val="004E089B"/>
    <w:rsid w:val="004F2B07"/>
    <w:rsid w:val="00510394"/>
    <w:rsid w:val="0051114B"/>
    <w:rsid w:val="00512416"/>
    <w:rsid w:val="00581AFA"/>
    <w:rsid w:val="005B1EF9"/>
    <w:rsid w:val="005C4AAE"/>
    <w:rsid w:val="005E5B36"/>
    <w:rsid w:val="00603845"/>
    <w:rsid w:val="00670A3C"/>
    <w:rsid w:val="00674C33"/>
    <w:rsid w:val="006B3795"/>
    <w:rsid w:val="006D15F1"/>
    <w:rsid w:val="006F400D"/>
    <w:rsid w:val="007173B6"/>
    <w:rsid w:val="00724678"/>
    <w:rsid w:val="007707AC"/>
    <w:rsid w:val="00787A59"/>
    <w:rsid w:val="008345EC"/>
    <w:rsid w:val="00836DF4"/>
    <w:rsid w:val="008506C1"/>
    <w:rsid w:val="00893E17"/>
    <w:rsid w:val="008A19EB"/>
    <w:rsid w:val="008A7A96"/>
    <w:rsid w:val="008B2613"/>
    <w:rsid w:val="008C5B9D"/>
    <w:rsid w:val="008C5D5B"/>
    <w:rsid w:val="008E0545"/>
    <w:rsid w:val="008F2849"/>
    <w:rsid w:val="009325CA"/>
    <w:rsid w:val="00984F6D"/>
    <w:rsid w:val="00987302"/>
    <w:rsid w:val="009A00CA"/>
    <w:rsid w:val="009A4765"/>
    <w:rsid w:val="009A6D5F"/>
    <w:rsid w:val="009A70B8"/>
    <w:rsid w:val="009F7CDF"/>
    <w:rsid w:val="00A201C8"/>
    <w:rsid w:val="00A22D74"/>
    <w:rsid w:val="00A25DD2"/>
    <w:rsid w:val="00A325DF"/>
    <w:rsid w:val="00A341CB"/>
    <w:rsid w:val="00A408CD"/>
    <w:rsid w:val="00A80FD3"/>
    <w:rsid w:val="00A959CE"/>
    <w:rsid w:val="00A97625"/>
    <w:rsid w:val="00AB4C9A"/>
    <w:rsid w:val="00AD43AC"/>
    <w:rsid w:val="00B00254"/>
    <w:rsid w:val="00B0463B"/>
    <w:rsid w:val="00B82B09"/>
    <w:rsid w:val="00C016C3"/>
    <w:rsid w:val="00C10B5D"/>
    <w:rsid w:val="00C178EB"/>
    <w:rsid w:val="00C201E1"/>
    <w:rsid w:val="00C37899"/>
    <w:rsid w:val="00C556BB"/>
    <w:rsid w:val="00C67A39"/>
    <w:rsid w:val="00CC35A9"/>
    <w:rsid w:val="00CE5E30"/>
    <w:rsid w:val="00CF443A"/>
    <w:rsid w:val="00D06894"/>
    <w:rsid w:val="00D20213"/>
    <w:rsid w:val="00D311FB"/>
    <w:rsid w:val="00D47D49"/>
    <w:rsid w:val="00D47D52"/>
    <w:rsid w:val="00D6172C"/>
    <w:rsid w:val="00D664F1"/>
    <w:rsid w:val="00D8490D"/>
    <w:rsid w:val="00DD558B"/>
    <w:rsid w:val="00E0483A"/>
    <w:rsid w:val="00E27338"/>
    <w:rsid w:val="00E71DCE"/>
    <w:rsid w:val="00EB08AC"/>
    <w:rsid w:val="00EC36E6"/>
    <w:rsid w:val="00EE42D5"/>
    <w:rsid w:val="00F11902"/>
    <w:rsid w:val="00FA5E07"/>
    <w:rsid w:val="00FD18E3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0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4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4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B4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B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4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4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5D5B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3362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902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902"/>
    <w:rPr>
      <w:rFonts w:eastAsiaTheme="minorEastAsia"/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467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4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4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B4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B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4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4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5D5B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3362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902"/>
    <w:pPr>
      <w:spacing w:after="20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902"/>
    <w:rPr>
      <w:rFonts w:eastAsiaTheme="minorEastAsia"/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467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cdsforpiimperativespubli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1303</Words>
  <Characters>7433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Olga</dc:creator>
  <cp:lastModifiedBy>Qing Qu</cp:lastModifiedBy>
  <cp:revision>15</cp:revision>
  <dcterms:created xsi:type="dcterms:W3CDTF">2013-09-04T21:22:00Z</dcterms:created>
  <dcterms:modified xsi:type="dcterms:W3CDTF">2014-08-12T19:53:00Z</dcterms:modified>
</cp:coreProperties>
</file>