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A21CDD" w:rsidP="00DB75AB">
      <w:pPr>
        <w:pStyle w:val="DocTitle"/>
        <w:rPr>
          <w:color w:val="1F497D" w:themeColor="text2"/>
        </w:rPr>
      </w:pPr>
      <w:r>
        <w:rPr>
          <w:color w:val="1F497D" w:themeColor="text2"/>
        </w:rPr>
        <w:t>Transition</w:t>
      </w:r>
      <w:r w:rsidR="00CF1D88">
        <w:rPr>
          <w:color w:val="1F497D" w:themeColor="text2"/>
        </w:rPr>
        <w:t xml:space="preserve"> of Care to a </w:t>
      </w:r>
      <w:r>
        <w:rPr>
          <w:color w:val="1F497D" w:themeColor="text2"/>
        </w:rPr>
        <w:t xml:space="preserve">New Provider </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5D4BD7" w:rsidRDefault="001F17F7" w:rsidP="00D76AB6">
      <w:pPr>
        <w:spacing w:after="640"/>
      </w:pPr>
      <w:r w:rsidRPr="001F17F7">
        <w:rPr>
          <w:sz w:val="22"/>
          <w:szCs w:val="22"/>
        </w:rPr>
        <w:t>Office of Science and Technology (OST)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bookmarkStart w:id="0" w:name="_GoBack"/>
      <w:r>
        <w:rPr>
          <w:color w:val="808080" w:themeColor="background1" w:themeShade="80"/>
          <w:sz w:val="14"/>
          <w:szCs w:val="14"/>
        </w:rPr>
        <w:t xml:space="preserve">May 31, 2012 </w:t>
      </w:r>
      <w:bookmarkEnd w:id="0"/>
      <w:r>
        <w:rPr>
          <w:color w:val="808080" w:themeColor="background1" w:themeShade="80"/>
          <w:sz w:val="14"/>
          <w:szCs w:val="14"/>
        </w:rPr>
        <w:t>•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5A098A" w:rsidRPr="007F3FDB" w:rsidRDefault="005A098A" w:rsidP="005A098A">
      <w:pPr>
        <w:pStyle w:val="TOCHeading"/>
      </w:pPr>
      <w:bookmarkStart w:id="1" w:name="NationalLearningConsortium"/>
      <w:bookmarkStart w:id="2" w:name="_Toc304469819"/>
      <w:bookmarkStart w:id="3" w:name="_Toc304495386"/>
      <w:bookmarkStart w:id="4" w:name="_Toc296551904"/>
      <w:bookmarkStart w:id="5" w:name="_Toc304469895"/>
      <w:bookmarkStart w:id="6" w:name="_Toc304495456"/>
      <w:bookmarkEnd w:id="1"/>
      <w:r w:rsidRPr="007F3FDB">
        <w:lastRenderedPageBreak/>
        <w:t xml:space="preserve">National Learning Consortium </w:t>
      </w:r>
    </w:p>
    <w:p w:rsidR="005A098A" w:rsidRPr="007F3FDB" w:rsidRDefault="005A098A" w:rsidP="005A098A">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5A098A" w:rsidRPr="007F3FDB" w:rsidRDefault="005A098A" w:rsidP="005A098A">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w:t>
      </w:r>
      <w:proofErr w:type="spellStart"/>
      <w:r w:rsidRPr="007F3FDB">
        <w:t>CoPs</w:t>
      </w:r>
      <w:proofErr w:type="spellEnd"/>
      <w:r w:rsidRPr="007F3FDB">
        <w:t xml:space="preserve">). </w:t>
      </w:r>
    </w:p>
    <w:p w:rsidR="005A098A" w:rsidRPr="007F3FDB" w:rsidRDefault="005A098A" w:rsidP="005A098A">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5A098A" w:rsidRPr="007F3FDB" w:rsidRDefault="005A098A" w:rsidP="005A098A">
      <w:pPr>
        <w:pStyle w:val="TOCHeading"/>
      </w:pPr>
      <w:bookmarkStart w:id="7" w:name="DescriptionInstructions"/>
      <w:r w:rsidRPr="007F3FDB">
        <w:t xml:space="preserve">Description &amp; Instructions </w:t>
      </w:r>
    </w:p>
    <w:bookmarkEnd w:id="7"/>
    <w:p w:rsidR="00CF1D88" w:rsidRDefault="00A21CDD" w:rsidP="00CF1D88">
      <w:pPr>
        <w:spacing w:before="180" w:after="120" w:line="280" w:lineRule="atLeast"/>
      </w:pPr>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CF1D88">
        <w:t>Meaningful Use Menu Measure 8 – Transition of Care</w:t>
      </w:r>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w:t>
      </w:r>
      <w:proofErr w:type="spellStart"/>
      <w:r>
        <w:t>NwHIN</w:t>
      </w:r>
      <w:proofErr w:type="spellEnd"/>
      <w:r>
        <w:t>)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6F2773" w:rsidRPr="007F3FDB" w:rsidRDefault="006F2773" w:rsidP="006F2773">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5A098A" w:rsidRPr="007F3FDB" w:rsidRDefault="005A098A" w:rsidP="005A098A">
      <w:pPr>
        <w:pStyle w:val="TOCHeading"/>
        <w:rPr>
          <w:szCs w:val="40"/>
        </w:rPr>
      </w:pPr>
      <w:bookmarkStart w:id="8" w:name="Contents"/>
      <w:r w:rsidRPr="007F3FDB">
        <w:lastRenderedPageBreak/>
        <w:t>Table of Contents</w:t>
      </w:r>
    </w:p>
    <w:bookmarkEnd w:id="8"/>
    <w:p w:rsidR="00E65DA9"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552376" w:history="1">
        <w:r w:rsidR="00E65DA9" w:rsidRPr="002111E5">
          <w:rPr>
            <w:rStyle w:val="Hyperlink"/>
          </w:rPr>
          <w:t>1</w:t>
        </w:r>
        <w:r w:rsidR="00E65DA9">
          <w:rPr>
            <w:rFonts w:asciiTheme="minorHAnsi" w:eastAsiaTheme="minorEastAsia" w:hAnsiTheme="minorHAnsi" w:cstheme="minorBidi"/>
            <w:sz w:val="22"/>
            <w:szCs w:val="22"/>
          </w:rPr>
          <w:tab/>
        </w:r>
        <w:r w:rsidR="00E65DA9" w:rsidRPr="002111E5">
          <w:rPr>
            <w:rStyle w:val="Hyperlink"/>
          </w:rPr>
          <w:t>Transition of Care to a New Provider</w:t>
        </w:r>
        <w:r w:rsidR="00E65DA9">
          <w:rPr>
            <w:webHidden/>
          </w:rPr>
          <w:tab/>
        </w:r>
        <w:r w:rsidR="00E65DA9">
          <w:rPr>
            <w:webHidden/>
          </w:rPr>
          <w:fldChar w:fldCharType="begin"/>
        </w:r>
        <w:r w:rsidR="00E65DA9">
          <w:rPr>
            <w:webHidden/>
          </w:rPr>
          <w:instrText xml:space="preserve"> PAGEREF _Toc325552376 \h </w:instrText>
        </w:r>
        <w:r w:rsidR="00E65DA9">
          <w:rPr>
            <w:webHidden/>
          </w:rPr>
        </w:r>
        <w:r w:rsidR="00E65DA9">
          <w:rPr>
            <w:webHidden/>
          </w:rPr>
          <w:fldChar w:fldCharType="separate"/>
        </w:r>
        <w:r w:rsidR="00E65DA9">
          <w:rPr>
            <w:webHidden/>
          </w:rPr>
          <w:t>1</w:t>
        </w:r>
        <w:r w:rsidR="00E65DA9">
          <w:rPr>
            <w:webHidden/>
          </w:rPr>
          <w:fldChar w:fldCharType="end"/>
        </w:r>
      </w:hyperlink>
    </w:p>
    <w:p w:rsidR="00E65DA9" w:rsidRDefault="00D25A93">
      <w:pPr>
        <w:pStyle w:val="TOC2"/>
        <w:rPr>
          <w:rFonts w:asciiTheme="minorHAnsi" w:eastAsiaTheme="minorEastAsia" w:hAnsiTheme="minorHAnsi" w:cstheme="minorBidi"/>
          <w:sz w:val="22"/>
          <w:szCs w:val="22"/>
        </w:rPr>
      </w:pPr>
      <w:hyperlink w:anchor="_Toc325552377" w:history="1">
        <w:r w:rsidR="00E65DA9" w:rsidRPr="002111E5">
          <w:rPr>
            <w:rStyle w:val="Hyperlink"/>
          </w:rPr>
          <w:t>1.1</w:t>
        </w:r>
        <w:r w:rsidR="00E65DA9">
          <w:rPr>
            <w:rFonts w:asciiTheme="minorHAnsi" w:eastAsiaTheme="minorEastAsia" w:hAnsiTheme="minorHAnsi" w:cstheme="minorBidi"/>
            <w:sz w:val="22"/>
            <w:szCs w:val="22"/>
          </w:rPr>
          <w:tab/>
        </w:r>
        <w:r w:rsidR="00E65DA9" w:rsidRPr="002111E5">
          <w:rPr>
            <w:rStyle w:val="Hyperlink"/>
          </w:rPr>
          <w:t>Common workflow steps for this scenario</w:t>
        </w:r>
        <w:r w:rsidR="00E65DA9">
          <w:rPr>
            <w:webHidden/>
          </w:rPr>
          <w:tab/>
        </w:r>
        <w:r w:rsidR="00E65DA9">
          <w:rPr>
            <w:webHidden/>
          </w:rPr>
          <w:fldChar w:fldCharType="begin"/>
        </w:r>
        <w:r w:rsidR="00E65DA9">
          <w:rPr>
            <w:webHidden/>
          </w:rPr>
          <w:instrText xml:space="preserve"> PAGEREF _Toc325552377 \h </w:instrText>
        </w:r>
        <w:r w:rsidR="00E65DA9">
          <w:rPr>
            <w:webHidden/>
          </w:rPr>
        </w:r>
        <w:r w:rsidR="00E65DA9">
          <w:rPr>
            <w:webHidden/>
          </w:rPr>
          <w:fldChar w:fldCharType="separate"/>
        </w:r>
        <w:r w:rsidR="00E65DA9">
          <w:rPr>
            <w:webHidden/>
          </w:rPr>
          <w:t>2</w:t>
        </w:r>
        <w:r w:rsidR="00E65DA9">
          <w:rPr>
            <w:webHidden/>
          </w:rPr>
          <w:fldChar w:fldCharType="end"/>
        </w:r>
      </w:hyperlink>
    </w:p>
    <w:p w:rsidR="00E65DA9" w:rsidRDefault="00D25A93">
      <w:pPr>
        <w:pStyle w:val="TOC2"/>
        <w:rPr>
          <w:rFonts w:asciiTheme="minorHAnsi" w:eastAsiaTheme="minorEastAsia" w:hAnsiTheme="minorHAnsi" w:cstheme="minorBidi"/>
          <w:sz w:val="22"/>
          <w:szCs w:val="22"/>
        </w:rPr>
      </w:pPr>
      <w:hyperlink w:anchor="_Toc325552378" w:history="1">
        <w:r w:rsidR="00E65DA9" w:rsidRPr="002111E5">
          <w:rPr>
            <w:rStyle w:val="Hyperlink"/>
          </w:rPr>
          <w:t>1.2</w:t>
        </w:r>
        <w:r w:rsidR="00E65DA9">
          <w:rPr>
            <w:rFonts w:asciiTheme="minorHAnsi" w:eastAsiaTheme="minorEastAsia" w:hAnsiTheme="minorHAnsi" w:cstheme="minorBidi"/>
            <w:sz w:val="22"/>
            <w:szCs w:val="22"/>
          </w:rPr>
          <w:tab/>
        </w:r>
        <w:r w:rsidR="00E65DA9" w:rsidRPr="002111E5">
          <w:rPr>
            <w:rStyle w:val="Hyperlink"/>
          </w:rPr>
          <w:t>NwHIN 1.0 specifications and resources recommended for this scenario</w:t>
        </w:r>
        <w:r w:rsidR="00E65DA9">
          <w:rPr>
            <w:webHidden/>
          </w:rPr>
          <w:tab/>
        </w:r>
        <w:r w:rsidR="00E65DA9">
          <w:rPr>
            <w:webHidden/>
          </w:rPr>
          <w:fldChar w:fldCharType="begin"/>
        </w:r>
        <w:r w:rsidR="00E65DA9">
          <w:rPr>
            <w:webHidden/>
          </w:rPr>
          <w:instrText xml:space="preserve"> PAGEREF _Toc325552378 \h </w:instrText>
        </w:r>
        <w:r w:rsidR="00E65DA9">
          <w:rPr>
            <w:webHidden/>
          </w:rPr>
        </w:r>
        <w:r w:rsidR="00E65DA9">
          <w:rPr>
            <w:webHidden/>
          </w:rPr>
          <w:fldChar w:fldCharType="separate"/>
        </w:r>
        <w:r w:rsidR="00E65DA9">
          <w:rPr>
            <w:webHidden/>
          </w:rPr>
          <w:t>2</w:t>
        </w:r>
        <w:r w:rsidR="00E65DA9">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2"/>
      <w:bookmarkEnd w:id="3"/>
    </w:p>
    <w:p w:rsidR="008C13A0" w:rsidRDefault="00CF1D88" w:rsidP="008C13A0">
      <w:pPr>
        <w:pStyle w:val="Heading1"/>
        <w:ind w:left="522" w:hanging="522"/>
      </w:pPr>
      <w:bookmarkStart w:id="9" w:name="OneTransitionofCaretoNewProvider"/>
      <w:bookmarkStart w:id="10" w:name="_Toc325552376"/>
      <w:bookmarkEnd w:id="9"/>
      <w:r>
        <w:lastRenderedPageBreak/>
        <w:t>Transition of Care</w:t>
      </w:r>
      <w:r w:rsidR="00A21CDD" w:rsidRPr="00A21CDD">
        <w:t xml:space="preserve"> to a New Provider</w:t>
      </w:r>
      <w:bookmarkEnd w:id="10"/>
    </w:p>
    <w:p w:rsidR="00A21CDD" w:rsidRDefault="00A21CDD" w:rsidP="008C13A0">
      <w:pPr>
        <w:pStyle w:val="BodyText"/>
      </w:pPr>
      <w:r w:rsidRPr="00413EBE">
        <w:rPr>
          <w:rStyle w:val="SubtleEmphasis"/>
          <w:i w:val="0"/>
          <w:color w:val="auto"/>
        </w:rPr>
        <w:t>An emergency department physician sends a continuity of care document for a patient to her primary care physician:</w:t>
      </w:r>
      <w:r w:rsidRPr="00413EBE">
        <w:rPr>
          <w:rStyle w:val="SubtleEmphasis"/>
          <w:color w:val="auto"/>
        </w:rPr>
        <w:t xml:space="preserve"> </w:t>
      </w:r>
      <w:r w:rsidRPr="0081629C">
        <w:rPr>
          <w:rFonts w:ascii="Times New Roman" w:eastAsiaTheme="minorEastAsia" w:hAnsi="Times New Roman" w:cs="Times New Roman"/>
          <w:noProof/>
          <w:sz w:val="24"/>
          <w:szCs w:val="24"/>
        </w:rPr>
        <w:drawing>
          <wp:inline distT="0" distB="0" distL="0" distR="0" wp14:anchorId="298916F7" wp14:editId="0B42BAE8">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292642" w:rsidRDefault="00A21CDD" w:rsidP="00292642">
      <w:pPr>
        <w:pStyle w:val="BodyText"/>
      </w:pPr>
      <w:r w:rsidRPr="00A21CDD">
        <w:t>A patient on vacation in Colorado visits an emergency department (ED) physician after injuring her arm in a biking accident. The ED physician orders x-rays and determines that the patient has fractured her arm. He sets the arm in a cast, prescribes pain medication, and requests that the patient visit her primary care physician in two weeks for a follow-up visit. Ahead of the follow-up visit, the ED physician electronically sends a Continuity of Care Document (CCD) to the patient’s primary care physician.</w:t>
      </w:r>
    </w:p>
    <w:p w:rsidR="00292642" w:rsidRDefault="00292642" w:rsidP="00292642">
      <w:pPr>
        <w:pStyle w:val="BodyText"/>
      </w:pPr>
    </w:p>
    <w:p w:rsidR="00292642" w:rsidRPr="00292642" w:rsidRDefault="00292642" w:rsidP="00292642">
      <w:pPr>
        <w:pStyle w:val="BodyText"/>
      </w:pPr>
      <w:r w:rsidRPr="00ED5CC8">
        <w:rPr>
          <w:b/>
          <w:color w:val="1F497D" w:themeColor="text2"/>
          <w:sz w:val="22"/>
          <w:szCs w:val="22"/>
        </w:rPr>
        <w:t>Meaningful Use</w:t>
      </w:r>
      <w:r>
        <w:rPr>
          <w:b/>
          <w:color w:val="1F497D" w:themeColor="text2"/>
          <w:sz w:val="22"/>
          <w:szCs w:val="22"/>
        </w:rPr>
        <w:t xml:space="preserve"> Stage 1 Objectives related to</w:t>
      </w:r>
      <w:r w:rsidRPr="0081629C">
        <w:rPr>
          <w:b/>
          <w:bCs/>
          <w:color w:val="1F497D" w:themeColor="text2"/>
          <w:kern w:val="24"/>
          <w:sz w:val="22"/>
          <w:szCs w:val="22"/>
        </w:rPr>
        <w:t xml:space="preserve"> transitions of care: </w:t>
      </w:r>
      <w:r w:rsidRPr="0081629C">
        <w:rPr>
          <w:bCs/>
          <w:color w:val="1F497D" w:themeColor="text2"/>
          <w:kern w:val="24"/>
          <w:sz w:val="22"/>
          <w:szCs w:val="22"/>
        </w:rPr>
        <w:t xml:space="preserve">The EP, eligible hospital or CAH who transitions or refers their patient to another setting of care or provider of care should provide a summary care record for each transition of care or referral. </w:t>
      </w:r>
      <w:r w:rsidRPr="0081629C">
        <w:rPr>
          <w:bCs/>
          <w:i/>
          <w:color w:val="1F497D" w:themeColor="text2"/>
          <w:kern w:val="24"/>
          <w:sz w:val="22"/>
          <w:szCs w:val="22"/>
        </w:rPr>
        <w:t>(Meaningful Use Menu Set Measure 8 for EPs, Meaningful Use Menu Set Measure 7 for EH/CAHs)</w:t>
      </w:r>
    </w:p>
    <w:p w:rsidR="00525331" w:rsidRDefault="00525331" w:rsidP="00137AC9">
      <w:pPr>
        <w:tabs>
          <w:tab w:val="left" w:pos="90"/>
        </w:tabs>
        <w:ind w:left="90" w:right="42"/>
      </w:pPr>
    </w:p>
    <w:p w:rsidR="00916EEE" w:rsidRDefault="00916EEE">
      <w:pPr>
        <w:spacing w:after="200" w:line="276" w:lineRule="auto"/>
        <w:rPr>
          <w:rFonts w:eastAsiaTheme="majorEastAsia"/>
          <w:b/>
          <w:caps/>
          <w:color w:val="056DB1"/>
          <w:sz w:val="26"/>
          <w:szCs w:val="30"/>
        </w:rPr>
      </w:pPr>
      <w:r>
        <w:br w:type="page"/>
      </w:r>
    </w:p>
    <w:p w:rsidR="005A098A" w:rsidRPr="007F3FDB" w:rsidRDefault="005A098A" w:rsidP="005A098A">
      <w:pPr>
        <w:pStyle w:val="Heading2"/>
        <w:spacing w:before="960"/>
      </w:pPr>
      <w:bookmarkStart w:id="11" w:name="OnePointOneCommonWorkflowSteps"/>
      <w:r w:rsidRPr="007F3FDB">
        <w:lastRenderedPageBreak/>
        <w:t>Common workflow steps for this scenario</w:t>
      </w:r>
    </w:p>
    <w:bookmarkEnd w:id="11"/>
    <w:p w:rsidR="00CF1D88" w:rsidRDefault="00A21CDD" w:rsidP="005A098A">
      <w:pPr>
        <w:pStyle w:val="ListNumber"/>
        <w:numPr>
          <w:ilvl w:val="0"/>
          <w:numId w:val="15"/>
        </w:numPr>
        <w:spacing w:after="120"/>
        <w:contextualSpacing w:val="0"/>
      </w:pPr>
      <w:r w:rsidRPr="00A21CDD">
        <w:t xml:space="preserve">The ED physician extracts a Continuity of Care Document (CCD) for the patient from his EHR, which has been properly formatted according to the HL7 CDA Release 2 CCD standard using ICD-9-CM, Logistical Observation Identifiers names and Codes (LOINC) 2.38, </w:t>
      </w:r>
      <w:proofErr w:type="spellStart"/>
      <w:r w:rsidRPr="00A21CDD">
        <w:t>RxNorm</w:t>
      </w:r>
      <w:proofErr w:type="spellEnd"/>
      <w:r w:rsidRPr="00A21CDD">
        <w:t xml:space="preserve">, and Systemized Nomenclature of Medical--Clinical Terms (SNOMED-CT). He then authors a </w:t>
      </w:r>
      <w:proofErr w:type="gramStart"/>
      <w:r w:rsidRPr="00A21CDD">
        <w:t>Direct</w:t>
      </w:r>
      <w:proofErr w:type="gramEnd"/>
      <w:r w:rsidRPr="00A21CDD">
        <w:t xml:space="preserve"> message and attaches the CCD. In order to select the patient’s primary care physician as the recipient, the ED physician accesses a search dialogue in the HISP's user interface, which queries a Provider Directory (adhering to the Certificate Discovery for Direct specification) for the right Direct address.</w:t>
      </w:r>
      <w:bookmarkStart w:id="12" w:name="_Ref307305814"/>
      <w:bookmarkStart w:id="13" w:name="_Toc322449466"/>
      <w:bookmarkEnd w:id="4"/>
      <w:bookmarkEnd w:id="5"/>
      <w:bookmarkEnd w:id="6"/>
    </w:p>
    <w:p w:rsidR="00CF1D88" w:rsidRDefault="00A21CDD" w:rsidP="005A098A">
      <w:pPr>
        <w:pStyle w:val="ListNumber"/>
        <w:numPr>
          <w:ilvl w:val="0"/>
          <w:numId w:val="15"/>
        </w:numPr>
        <w:spacing w:after="120"/>
        <w:contextualSpacing w:val="0"/>
      </w:pPr>
      <w:r w:rsidRPr="00A21CDD">
        <w:t xml:space="preserve">When the ED physician sends the message, it passes through the hospital’s Health Information Service Provider (HISP), a contracted brokering agent responsible for the management of security and transport for directed exchange. As it passes through the HISP, the message is encrypted using the x.509 Certificate associated with the primary care physician, and is delivered to the primary care physician’s </w:t>
      </w:r>
      <w:proofErr w:type="gramStart"/>
      <w:r w:rsidRPr="00A21CDD">
        <w:t>Direct</w:t>
      </w:r>
      <w:proofErr w:type="gramEnd"/>
      <w:r w:rsidRPr="00A21CDD">
        <w:t xml:space="preserve"> address in accordance with the Applicability Statement for Secure Health Transport.</w:t>
      </w:r>
      <w:bookmarkEnd w:id="12"/>
      <w:bookmarkEnd w:id="13"/>
    </w:p>
    <w:p w:rsidR="00CF1D88" w:rsidRDefault="00CF1D88" w:rsidP="005A098A">
      <w:pPr>
        <w:pStyle w:val="ListNumber"/>
        <w:numPr>
          <w:ilvl w:val="0"/>
          <w:numId w:val="15"/>
        </w:numPr>
        <w:spacing w:after="120"/>
        <w:contextualSpacing w:val="0"/>
      </w:pPr>
      <w:r>
        <w:t>Th</w:t>
      </w:r>
      <w:r w:rsidRPr="00CF1D88">
        <w:t>e primary care physician’s HISP decrypts the message and routes it to the primary care physician.</w:t>
      </w:r>
    </w:p>
    <w:p w:rsidR="00F240F4" w:rsidRDefault="00CF1D88" w:rsidP="00F240F4">
      <w:pPr>
        <w:pStyle w:val="ListNumber"/>
        <w:numPr>
          <w:ilvl w:val="0"/>
          <w:numId w:val="15"/>
        </w:numPr>
        <w:spacing w:after="120"/>
        <w:contextualSpacing w:val="0"/>
      </w:pPr>
      <w:r w:rsidRPr="00CF1D88">
        <w:t xml:space="preserve">The primary care physician uses the HISP’s user interface to access the CCD in his </w:t>
      </w:r>
      <w:proofErr w:type="gramStart"/>
      <w:r w:rsidRPr="00CF1D88">
        <w:t>Direct</w:t>
      </w:r>
      <w:proofErr w:type="gramEnd"/>
      <w:r w:rsidRPr="00CF1D88">
        <w:t xml:space="preserve"> inbox.</w:t>
      </w:r>
    </w:p>
    <w:p w:rsidR="005A098A" w:rsidRPr="007F3FDB" w:rsidRDefault="005A098A" w:rsidP="005A098A">
      <w:pPr>
        <w:pStyle w:val="Heading2"/>
      </w:pPr>
      <w:bookmarkStart w:id="14" w:name="_Toc325626044"/>
      <w:bookmarkStart w:id="15" w:name="OnePointTwoNWHINSPecifications"/>
      <w:r w:rsidRPr="007F3FDB">
        <w:t>NwHIN 1.0 specifications and resources recommended for this scenario</w:t>
      </w:r>
      <w:bookmarkEnd w:id="14"/>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6" w:name="ColumnTitle"/>
            <w:bookmarkEnd w:id="15"/>
            <w:bookmarkEnd w:id="16"/>
            <w:r>
              <w:t>Specifications</w:t>
            </w:r>
          </w:p>
        </w:tc>
        <w:tc>
          <w:tcPr>
            <w:tcW w:w="6362" w:type="dxa"/>
          </w:tcPr>
          <w:p w:rsidR="00AE1BD8" w:rsidRDefault="00AE1BD8" w:rsidP="00A554CD">
            <w:pPr>
              <w:pStyle w:val="TableHeading"/>
            </w:pPr>
            <w:r>
              <w:t>Resources</w:t>
            </w:r>
          </w:p>
        </w:tc>
      </w:tr>
      <w:tr w:rsidR="00AE1BD8" w:rsidTr="00916EEE">
        <w:tc>
          <w:tcPr>
            <w:tcW w:w="3658" w:type="dxa"/>
          </w:tcPr>
          <w:p w:rsidR="00AE1BD8" w:rsidRDefault="00AE1BD8" w:rsidP="00AE1BD8">
            <w:pPr>
              <w:pStyle w:val="TableSubheading"/>
            </w:pPr>
            <w:r>
              <w:t>Content Structure</w:t>
            </w:r>
          </w:p>
          <w:p w:rsidR="00AE1BD8" w:rsidRPr="00AE1BD8" w:rsidRDefault="00AE1BD8" w:rsidP="00916EEE">
            <w:pPr>
              <w:pStyle w:val="TableText"/>
            </w:pPr>
            <w:r w:rsidRPr="00AE1BD8">
              <w:t>Guidance that specifies how to structure health information to ensure proper exchange</w:t>
            </w:r>
          </w:p>
        </w:tc>
        <w:tc>
          <w:tcPr>
            <w:tcW w:w="6362" w:type="dxa"/>
          </w:tcPr>
          <w:p w:rsidR="00AE1BD8" w:rsidRPr="00916EEE" w:rsidRDefault="00D25A93" w:rsidP="00F240F4">
            <w:pPr>
              <w:pStyle w:val="TableBullet"/>
            </w:pPr>
            <w:hyperlink r:id="rId22" w:history="1">
              <w:r w:rsidR="00AE1BD8" w:rsidRPr="00916EEE">
                <w:rPr>
                  <w:rStyle w:val="Hyperlink"/>
                  <w:color w:val="548DD4" w:themeColor="text2" w:themeTint="99"/>
                  <w:kern w:val="24"/>
                  <w:szCs w:val="20"/>
                </w:rPr>
                <w:t>HL7 CDA Release 2 CCD</w:t>
              </w:r>
            </w:hyperlink>
          </w:p>
        </w:tc>
      </w:tr>
      <w:tr w:rsidR="00AE1BD8" w:rsidTr="00916EEE">
        <w:trPr>
          <w:cnfStyle w:val="000000010000" w:firstRow="0" w:lastRow="0" w:firstColumn="0" w:lastColumn="0" w:oddVBand="0" w:evenVBand="0" w:oddHBand="0" w:evenHBand="1" w:firstRowFirstColumn="0" w:firstRowLastColumn="0" w:lastRowFirstColumn="0" w:lastRowLastColumn="0"/>
        </w:trPr>
        <w:tc>
          <w:tcPr>
            <w:tcW w:w="3658" w:type="dxa"/>
          </w:tcPr>
          <w:p w:rsidR="00AE1BD8" w:rsidRDefault="00AE1BD8" w:rsidP="00916EEE">
            <w:pPr>
              <w:pStyle w:val="TableSubheading"/>
            </w:pPr>
            <w:r w:rsidRPr="001369CF">
              <w:t>Vocabulary &amp; Code Sets</w:t>
            </w:r>
          </w:p>
          <w:p w:rsidR="00AE1BD8" w:rsidRPr="00916EEE" w:rsidRDefault="00AE1BD8" w:rsidP="00916EEE">
            <w:pPr>
              <w:pStyle w:val="TableText"/>
            </w:pPr>
            <w:r w:rsidRPr="00916EEE">
              <w:t>Specifications that identify common naming conventions necessary for proper health information exchange</w:t>
            </w:r>
          </w:p>
        </w:tc>
        <w:tc>
          <w:tcPr>
            <w:tcW w:w="6362" w:type="dxa"/>
          </w:tcPr>
          <w:p w:rsidR="00AE1BD8" w:rsidRPr="00916EEE" w:rsidRDefault="00D25A93" w:rsidP="00F240F4">
            <w:pPr>
              <w:pStyle w:val="TableBullet"/>
              <w:rPr>
                <w:rStyle w:val="Hyperlink"/>
                <w:color w:val="auto"/>
                <w:u w:val="none"/>
              </w:rPr>
            </w:pPr>
            <w:hyperlink r:id="rId23" w:history="1">
              <w:r w:rsidR="00AE1BD8" w:rsidRPr="00916EEE">
                <w:rPr>
                  <w:rStyle w:val="Hyperlink"/>
                  <w:color w:val="548DD4" w:themeColor="text2" w:themeTint="99"/>
                  <w:kern w:val="24"/>
                  <w:szCs w:val="20"/>
                </w:rPr>
                <w:t>ICD-9-CM</w:t>
              </w:r>
            </w:hyperlink>
          </w:p>
          <w:p w:rsidR="00AE1BD8" w:rsidRPr="00916EEE" w:rsidRDefault="00D25A93" w:rsidP="00F240F4">
            <w:pPr>
              <w:pStyle w:val="TableBullet"/>
              <w:rPr>
                <w:rStyle w:val="Hyperlink"/>
                <w:color w:val="auto"/>
                <w:u w:val="none"/>
              </w:rPr>
            </w:pPr>
            <w:hyperlink r:id="rId24" w:history="1">
              <w:r w:rsidR="00AE1BD8" w:rsidRPr="00916EEE">
                <w:rPr>
                  <w:rStyle w:val="Hyperlink"/>
                  <w:color w:val="548DD4" w:themeColor="text2" w:themeTint="99"/>
                  <w:kern w:val="24"/>
                  <w:szCs w:val="20"/>
                </w:rPr>
                <w:t>Logistical Observation Identifiers names and Codes (LOINC) 2.38</w:t>
              </w:r>
            </w:hyperlink>
          </w:p>
          <w:p w:rsidR="00AE1BD8" w:rsidRPr="00916EEE" w:rsidRDefault="00D25A93" w:rsidP="00F240F4">
            <w:pPr>
              <w:pStyle w:val="TableBullet"/>
              <w:rPr>
                <w:rStyle w:val="Hyperlink"/>
                <w:color w:val="auto"/>
                <w:u w:val="none"/>
              </w:rPr>
            </w:pPr>
            <w:hyperlink r:id="rId25" w:history="1">
              <w:proofErr w:type="spellStart"/>
              <w:r w:rsidR="00AE1BD8" w:rsidRPr="00916EEE">
                <w:rPr>
                  <w:rStyle w:val="Hyperlink"/>
                  <w:color w:val="548DD4" w:themeColor="text2" w:themeTint="99"/>
                  <w:kern w:val="24"/>
                  <w:szCs w:val="20"/>
                </w:rPr>
                <w:t>RxNorm</w:t>
              </w:r>
              <w:proofErr w:type="spellEnd"/>
            </w:hyperlink>
          </w:p>
          <w:p w:rsidR="00AE1BD8" w:rsidRPr="00916EEE" w:rsidRDefault="00D25A93" w:rsidP="00F240F4">
            <w:pPr>
              <w:pStyle w:val="TableBullet"/>
            </w:pPr>
            <w:hyperlink r:id="rId26" w:history="1">
              <w:r w:rsidR="00AE1BD8" w:rsidRPr="00916EEE">
                <w:rPr>
                  <w:rStyle w:val="Hyperlink"/>
                  <w:color w:val="548DD4" w:themeColor="text2" w:themeTint="99"/>
                  <w:kern w:val="24"/>
                  <w:szCs w:val="20"/>
                </w:rPr>
                <w:t>Systematized Nomenclature of Medicine--Clinical Terms (SNOMED-CT)</w:t>
              </w:r>
            </w:hyperlink>
          </w:p>
        </w:tc>
      </w:tr>
      <w:tr w:rsidR="00916EEE" w:rsidTr="00916EEE">
        <w:tc>
          <w:tcPr>
            <w:tcW w:w="3658" w:type="dxa"/>
          </w:tcPr>
          <w:p w:rsidR="00916EEE" w:rsidRDefault="00916EEE" w:rsidP="00916EEE">
            <w:pPr>
              <w:pStyle w:val="TableSubheading"/>
            </w:pPr>
            <w:r>
              <w:t>Transport and Security</w:t>
            </w:r>
          </w:p>
          <w:p w:rsidR="00916EEE" w:rsidRPr="00916EEE" w:rsidRDefault="00916EEE" w:rsidP="00916EEE">
            <w:pPr>
              <w:pStyle w:val="TableText"/>
            </w:pPr>
            <w:r w:rsidRPr="00916EEE">
              <w:t>Mechanisms and processes that safely exchange health information over the Internet</w:t>
            </w:r>
          </w:p>
        </w:tc>
        <w:tc>
          <w:tcPr>
            <w:tcW w:w="6362" w:type="dxa"/>
          </w:tcPr>
          <w:p w:rsidR="00916EEE" w:rsidRPr="00916EEE" w:rsidRDefault="00D25A93" w:rsidP="00F240F4">
            <w:pPr>
              <w:pStyle w:val="TableBullet"/>
              <w:rPr>
                <w:rStyle w:val="Hyperlink"/>
                <w:color w:val="auto"/>
                <w:u w:val="none"/>
              </w:rPr>
            </w:pPr>
            <w:hyperlink r:id="rId27" w:history="1">
              <w:r w:rsidR="00916EEE" w:rsidRPr="00916EEE">
                <w:rPr>
                  <w:rStyle w:val="Hyperlink"/>
                  <w:color w:val="548DD4" w:themeColor="text2" w:themeTint="99"/>
                  <w:kern w:val="24"/>
                  <w:szCs w:val="20"/>
                </w:rPr>
                <w:t>Certificate Discovery using Domain Name System (DNS) and Lightweight Directory Access Protocol (LDAP)</w:t>
              </w:r>
            </w:hyperlink>
          </w:p>
          <w:p w:rsidR="00916EEE" w:rsidRPr="00916EEE" w:rsidRDefault="00D25A93" w:rsidP="00F240F4">
            <w:pPr>
              <w:pStyle w:val="TableBullet"/>
              <w:rPr>
                <w:rStyle w:val="Hyperlink"/>
                <w:color w:val="auto"/>
                <w:u w:val="none"/>
              </w:rPr>
            </w:pPr>
            <w:hyperlink r:id="rId28" w:history="1">
              <w:r w:rsidR="00916EEE" w:rsidRPr="00916EEE">
                <w:rPr>
                  <w:rStyle w:val="Hyperlink"/>
                  <w:color w:val="548DD4" w:themeColor="text2" w:themeTint="99"/>
                  <w:kern w:val="24"/>
                  <w:szCs w:val="20"/>
                </w:rPr>
                <w:t>Applicability Statement for Secure Health Transport</w:t>
              </w:r>
            </w:hyperlink>
          </w:p>
          <w:p w:rsidR="00916EEE" w:rsidRPr="00916EEE" w:rsidRDefault="00D25A93" w:rsidP="00F240F4">
            <w:pPr>
              <w:pStyle w:val="TableBullet"/>
            </w:pPr>
            <w:hyperlink r:id="rId29" w:history="1">
              <w:r w:rsidR="00916EEE" w:rsidRPr="00916EEE">
                <w:rPr>
                  <w:rStyle w:val="Hyperlink"/>
                  <w:color w:val="548DD4" w:themeColor="text2" w:themeTint="99"/>
                  <w:kern w:val="24"/>
                  <w:szCs w:val="20"/>
                </w:rPr>
                <w:t>x.509 for Certificates</w:t>
              </w:r>
            </w:hyperlink>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A93" w:rsidRDefault="00D25A93" w:rsidP="00B76348">
      <w:r>
        <w:separator/>
      </w:r>
    </w:p>
  </w:endnote>
  <w:endnote w:type="continuationSeparator" w:id="0">
    <w:p w:rsidR="00D25A93" w:rsidRDefault="00D25A93"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FC5933">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A93" w:rsidRDefault="00D25A93" w:rsidP="00B76348">
      <w:r>
        <w:separator/>
      </w:r>
    </w:p>
  </w:footnote>
  <w:footnote w:type="continuationSeparator" w:id="0">
    <w:p w:rsidR="00D25A93" w:rsidRDefault="00D25A93"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7D62FD0B" wp14:editId="59928203">
          <wp:simplePos x="0" y="0"/>
          <wp:positionH relativeFrom="column">
            <wp:posOffset>-952500</wp:posOffset>
          </wp:positionH>
          <wp:positionV relativeFrom="paragraph">
            <wp:posOffset>-457200</wp:posOffset>
          </wp:positionV>
          <wp:extent cx="8077200" cy="1828800"/>
          <wp:effectExtent l="0" t="0" r="0" b="0"/>
          <wp:wrapNone/>
          <wp:docPr id="5" name="Picture 5"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4928009" wp14:editId="6346B607">
          <wp:extent cx="2688336" cy="384048"/>
          <wp:effectExtent l="0" t="0" r="0" b="0"/>
          <wp:docPr id="8" name="Picture 8"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8331E"/>
    <w:rsid w:val="000B7FC5"/>
    <w:rsid w:val="000C62CC"/>
    <w:rsid w:val="000F79D1"/>
    <w:rsid w:val="00110416"/>
    <w:rsid w:val="00137AC9"/>
    <w:rsid w:val="00171FB8"/>
    <w:rsid w:val="00174B47"/>
    <w:rsid w:val="00186908"/>
    <w:rsid w:val="001A7C51"/>
    <w:rsid w:val="001B4BA7"/>
    <w:rsid w:val="001C2FB7"/>
    <w:rsid w:val="001D3A8D"/>
    <w:rsid w:val="001E452F"/>
    <w:rsid w:val="001F17F7"/>
    <w:rsid w:val="001F64C3"/>
    <w:rsid w:val="00200A11"/>
    <w:rsid w:val="00206554"/>
    <w:rsid w:val="002100A3"/>
    <w:rsid w:val="0022735E"/>
    <w:rsid w:val="00237915"/>
    <w:rsid w:val="00245321"/>
    <w:rsid w:val="00246479"/>
    <w:rsid w:val="00246EC4"/>
    <w:rsid w:val="00246EEE"/>
    <w:rsid w:val="00256AEC"/>
    <w:rsid w:val="00262C0F"/>
    <w:rsid w:val="00292642"/>
    <w:rsid w:val="00292842"/>
    <w:rsid w:val="00293EFD"/>
    <w:rsid w:val="002A2A86"/>
    <w:rsid w:val="002B29E7"/>
    <w:rsid w:val="002B6135"/>
    <w:rsid w:val="002B64BE"/>
    <w:rsid w:val="002D0BA1"/>
    <w:rsid w:val="002E23BA"/>
    <w:rsid w:val="002E3D3E"/>
    <w:rsid w:val="002F2477"/>
    <w:rsid w:val="002F6090"/>
    <w:rsid w:val="00301824"/>
    <w:rsid w:val="00305D82"/>
    <w:rsid w:val="00322B91"/>
    <w:rsid w:val="00326035"/>
    <w:rsid w:val="00330503"/>
    <w:rsid w:val="003325D2"/>
    <w:rsid w:val="00355630"/>
    <w:rsid w:val="00374E09"/>
    <w:rsid w:val="003960D8"/>
    <w:rsid w:val="003A063A"/>
    <w:rsid w:val="003B2DDD"/>
    <w:rsid w:val="003C0F05"/>
    <w:rsid w:val="003C43A2"/>
    <w:rsid w:val="003C4C3D"/>
    <w:rsid w:val="003D3100"/>
    <w:rsid w:val="003E5083"/>
    <w:rsid w:val="003F553D"/>
    <w:rsid w:val="0041141E"/>
    <w:rsid w:val="00413EBE"/>
    <w:rsid w:val="004527F5"/>
    <w:rsid w:val="00461CE0"/>
    <w:rsid w:val="0046321B"/>
    <w:rsid w:val="00476E77"/>
    <w:rsid w:val="00497D58"/>
    <w:rsid w:val="00497EA5"/>
    <w:rsid w:val="004B50E2"/>
    <w:rsid w:val="004D2903"/>
    <w:rsid w:val="004D331F"/>
    <w:rsid w:val="004F1144"/>
    <w:rsid w:val="00505FE5"/>
    <w:rsid w:val="0051307E"/>
    <w:rsid w:val="00525331"/>
    <w:rsid w:val="00542E15"/>
    <w:rsid w:val="00550840"/>
    <w:rsid w:val="00560238"/>
    <w:rsid w:val="00565E16"/>
    <w:rsid w:val="005A0085"/>
    <w:rsid w:val="005A098A"/>
    <w:rsid w:val="005B5966"/>
    <w:rsid w:val="005C1F17"/>
    <w:rsid w:val="005C5D5F"/>
    <w:rsid w:val="005D1899"/>
    <w:rsid w:val="005D4BD7"/>
    <w:rsid w:val="005E20D0"/>
    <w:rsid w:val="005E771F"/>
    <w:rsid w:val="00605EBD"/>
    <w:rsid w:val="006067B8"/>
    <w:rsid w:val="00610E69"/>
    <w:rsid w:val="00614330"/>
    <w:rsid w:val="00633585"/>
    <w:rsid w:val="00637C99"/>
    <w:rsid w:val="00642DF4"/>
    <w:rsid w:val="00647D3A"/>
    <w:rsid w:val="006611B1"/>
    <w:rsid w:val="00661DDC"/>
    <w:rsid w:val="0066681F"/>
    <w:rsid w:val="00674088"/>
    <w:rsid w:val="00685184"/>
    <w:rsid w:val="00695E9B"/>
    <w:rsid w:val="006A2FD6"/>
    <w:rsid w:val="006B16E5"/>
    <w:rsid w:val="006B416A"/>
    <w:rsid w:val="006C1AEF"/>
    <w:rsid w:val="006C70A4"/>
    <w:rsid w:val="006C7FA8"/>
    <w:rsid w:val="006D0882"/>
    <w:rsid w:val="006E0102"/>
    <w:rsid w:val="006E6585"/>
    <w:rsid w:val="006F2773"/>
    <w:rsid w:val="0072000C"/>
    <w:rsid w:val="0072124D"/>
    <w:rsid w:val="0072403E"/>
    <w:rsid w:val="00724C73"/>
    <w:rsid w:val="007344D0"/>
    <w:rsid w:val="007350FF"/>
    <w:rsid w:val="00750DE8"/>
    <w:rsid w:val="007516B3"/>
    <w:rsid w:val="00760C12"/>
    <w:rsid w:val="00765469"/>
    <w:rsid w:val="007904EE"/>
    <w:rsid w:val="007A09A6"/>
    <w:rsid w:val="007A5F81"/>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16EEE"/>
    <w:rsid w:val="00921D02"/>
    <w:rsid w:val="00932BA2"/>
    <w:rsid w:val="00946781"/>
    <w:rsid w:val="00946916"/>
    <w:rsid w:val="00951E3E"/>
    <w:rsid w:val="009555E4"/>
    <w:rsid w:val="0096023D"/>
    <w:rsid w:val="00961FCA"/>
    <w:rsid w:val="00962107"/>
    <w:rsid w:val="009651A7"/>
    <w:rsid w:val="0097766E"/>
    <w:rsid w:val="00987BBA"/>
    <w:rsid w:val="00995155"/>
    <w:rsid w:val="009A6DED"/>
    <w:rsid w:val="009A6F4A"/>
    <w:rsid w:val="009B7E53"/>
    <w:rsid w:val="00A10D87"/>
    <w:rsid w:val="00A2135B"/>
    <w:rsid w:val="00A21CDD"/>
    <w:rsid w:val="00A21EBE"/>
    <w:rsid w:val="00A324E2"/>
    <w:rsid w:val="00A454F0"/>
    <w:rsid w:val="00A55141"/>
    <w:rsid w:val="00A56F0D"/>
    <w:rsid w:val="00A6108C"/>
    <w:rsid w:val="00A704D0"/>
    <w:rsid w:val="00A74859"/>
    <w:rsid w:val="00A832F5"/>
    <w:rsid w:val="00AA0D4E"/>
    <w:rsid w:val="00AA12F8"/>
    <w:rsid w:val="00AA7D15"/>
    <w:rsid w:val="00AB07DD"/>
    <w:rsid w:val="00AC459C"/>
    <w:rsid w:val="00AD3E4D"/>
    <w:rsid w:val="00AE088E"/>
    <w:rsid w:val="00AE17D8"/>
    <w:rsid w:val="00AE1BD8"/>
    <w:rsid w:val="00AF61D5"/>
    <w:rsid w:val="00AF6BB4"/>
    <w:rsid w:val="00B027F5"/>
    <w:rsid w:val="00B043BA"/>
    <w:rsid w:val="00B2740D"/>
    <w:rsid w:val="00B32293"/>
    <w:rsid w:val="00B52746"/>
    <w:rsid w:val="00B52CF1"/>
    <w:rsid w:val="00B62E53"/>
    <w:rsid w:val="00B7074E"/>
    <w:rsid w:val="00B74F8C"/>
    <w:rsid w:val="00B76348"/>
    <w:rsid w:val="00B82FF5"/>
    <w:rsid w:val="00BC5D93"/>
    <w:rsid w:val="00BD5E5A"/>
    <w:rsid w:val="00BE1A28"/>
    <w:rsid w:val="00BE69D0"/>
    <w:rsid w:val="00BE6D5A"/>
    <w:rsid w:val="00BF1377"/>
    <w:rsid w:val="00BF4740"/>
    <w:rsid w:val="00C1560B"/>
    <w:rsid w:val="00C17CDA"/>
    <w:rsid w:val="00C37C9D"/>
    <w:rsid w:val="00C4359F"/>
    <w:rsid w:val="00C50668"/>
    <w:rsid w:val="00C569B3"/>
    <w:rsid w:val="00C62EF0"/>
    <w:rsid w:val="00C715CB"/>
    <w:rsid w:val="00C7457C"/>
    <w:rsid w:val="00C97280"/>
    <w:rsid w:val="00CA3437"/>
    <w:rsid w:val="00CB3601"/>
    <w:rsid w:val="00CD0247"/>
    <w:rsid w:val="00CE1A4A"/>
    <w:rsid w:val="00CF1D88"/>
    <w:rsid w:val="00CF3488"/>
    <w:rsid w:val="00D068C9"/>
    <w:rsid w:val="00D10C75"/>
    <w:rsid w:val="00D25A93"/>
    <w:rsid w:val="00D3506B"/>
    <w:rsid w:val="00D36E2D"/>
    <w:rsid w:val="00D4279E"/>
    <w:rsid w:val="00D535A2"/>
    <w:rsid w:val="00D6103A"/>
    <w:rsid w:val="00D76AB6"/>
    <w:rsid w:val="00D80A66"/>
    <w:rsid w:val="00D82F7F"/>
    <w:rsid w:val="00D849E9"/>
    <w:rsid w:val="00D934A9"/>
    <w:rsid w:val="00D9620E"/>
    <w:rsid w:val="00DB0DD3"/>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65DA9"/>
    <w:rsid w:val="00E8269E"/>
    <w:rsid w:val="00E91C52"/>
    <w:rsid w:val="00EA60C4"/>
    <w:rsid w:val="00EB04A2"/>
    <w:rsid w:val="00EB5409"/>
    <w:rsid w:val="00ED1D75"/>
    <w:rsid w:val="00EF612B"/>
    <w:rsid w:val="00EF6FFF"/>
    <w:rsid w:val="00F12407"/>
    <w:rsid w:val="00F20890"/>
    <w:rsid w:val="00F240F4"/>
    <w:rsid w:val="00F33F05"/>
    <w:rsid w:val="00F415C1"/>
    <w:rsid w:val="00F51BF2"/>
    <w:rsid w:val="00F52CDB"/>
    <w:rsid w:val="00F52EB8"/>
    <w:rsid w:val="00F621A9"/>
    <w:rsid w:val="00F628A0"/>
    <w:rsid w:val="00F830EA"/>
    <w:rsid w:val="00F86043"/>
    <w:rsid w:val="00F86847"/>
    <w:rsid w:val="00F93A09"/>
    <w:rsid w:val="00FB09E2"/>
    <w:rsid w:val="00FB1068"/>
    <w:rsid w:val="00FC5933"/>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26" Type="http://schemas.openxmlformats.org/officeDocument/2006/relationships/hyperlink" Target="http://www.ihtsdo.org/join-us/use-snomed-ct-licenses/"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hyperlink" Target="http://www.nlm.nih.gov/research/umls/rxnorm/"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29" Type="http://schemas.openxmlformats.org/officeDocument/2006/relationships/hyperlink" Target="http://tools.ietf.org/html/rfc52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loinc.org/" TargetMode="Externa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www.cdc.gov/nchs/icd/icd9cm.htm" TargetMode="External"/><Relationship Id="rId28" Type="http://schemas.openxmlformats.org/officeDocument/2006/relationships/hyperlink" Target="http://wiki.directproject.org/Applicability+Statement+for+Secure+Health+Transport"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s://www.hl7.org/implement/standards/product_brief.cfm?product_id=6" TargetMode="External"/><Relationship Id="rId27" Type="http://schemas.openxmlformats.org/officeDocument/2006/relationships/hyperlink" Target="http://wiki.siframework.org/file/view/Certificate%20Discover%20for%20Direct%20Project%20Implementation%20Guide.pdf"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521A0-D561-46E1-986F-2DAD0D7A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Transition of Care to a New Provider</vt:lpstr>
    </vt:vector>
  </TitlesOfParts>
  <LinksUpToDate>false</LinksUpToDate>
  <CharactersWithSpaces>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of Care to a New Provider</dc:title>
  <dc:subject>HIE Scenario, Workflow and Specifications</dc:subject>
  <dc:creator/>
  <cp:lastModifiedBy/>
  <cp:revision>1</cp:revision>
  <dcterms:created xsi:type="dcterms:W3CDTF">2014-01-08T18:07:00Z</dcterms:created>
  <dcterms:modified xsi:type="dcterms:W3CDTF">2014-01-08T18:07:00Z</dcterms:modified>
</cp:coreProperties>
</file>