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633585" w:rsidRDefault="003D7756" w:rsidP="00DB75AB">
      <w:pPr>
        <w:pStyle w:val="DocTitle"/>
        <w:rPr>
          <w:color w:val="1F497D" w:themeColor="text2"/>
        </w:rPr>
      </w:pPr>
      <w:r>
        <w:rPr>
          <w:color w:val="1F497D" w:themeColor="text2"/>
        </w:rPr>
        <w:t>MU</w:t>
      </w:r>
      <w:r w:rsidR="00346A8E" w:rsidRPr="00346A8E">
        <w:rPr>
          <w:color w:val="1F497D" w:themeColor="text2"/>
        </w:rPr>
        <w:t xml:space="preserve"> Clinic</w:t>
      </w:r>
      <w:r w:rsidR="00DE06E8">
        <w:rPr>
          <w:color w:val="1F497D" w:themeColor="text2"/>
        </w:rPr>
        <w:t>al Quality Measures: Alignment A</w:t>
      </w:r>
      <w:r w:rsidR="00346A8E">
        <w:rPr>
          <w:color w:val="1F497D" w:themeColor="text2"/>
        </w:rPr>
        <w:t>cross</w:t>
      </w:r>
      <w:r w:rsidR="00346A8E" w:rsidRPr="00346A8E">
        <w:rPr>
          <w:color w:val="1F497D" w:themeColor="text2"/>
        </w:rPr>
        <w:t xml:space="preserve"> Quality Initiatives</w:t>
      </w:r>
    </w:p>
    <w:p w:rsidR="00AA12F8" w:rsidRPr="00633585" w:rsidRDefault="000C0E08" w:rsidP="00DB75AB">
      <w:pPr>
        <w:pStyle w:val="DocSubtitle"/>
      </w:pPr>
      <w:r>
        <w:t>Fact Sheet</w:t>
      </w:r>
    </w:p>
    <w:p w:rsidR="00AA12F8" w:rsidRDefault="00AA12F8" w:rsidP="00D76AB6">
      <w:pPr>
        <w:pStyle w:val="DocInfo"/>
        <w:spacing w:after="1200"/>
      </w:pPr>
    </w:p>
    <w:p w:rsidR="002B13A5" w:rsidRPr="00A2135B" w:rsidRDefault="002B13A5" w:rsidP="009D5889">
      <w:pPr>
        <w:pStyle w:val="DocSubtitle"/>
        <w:spacing w:before="0"/>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9D5889">
      <w:pPr>
        <w:pStyle w:val="DocSubtitle"/>
        <w:spacing w:before="0"/>
      </w:pPr>
      <w:r w:rsidRPr="00A2135B">
        <w:t>Developed By:</w:t>
      </w:r>
    </w:p>
    <w:p w:rsidR="007A09A6" w:rsidRPr="00AA12F8" w:rsidRDefault="007A09A6" w:rsidP="009D5889">
      <w:pPr>
        <w:pStyle w:val="DocInfo"/>
      </w:pPr>
      <w:r w:rsidRPr="00AA12F8">
        <w:t xml:space="preserve">Health Information Technology Research Center (HITRC) </w:t>
      </w:r>
    </w:p>
    <w:p w:rsidR="005D4BD7" w:rsidRDefault="005D4BD7" w:rsidP="00D76AB6">
      <w:pPr>
        <w:spacing w:after="640"/>
      </w:pPr>
    </w:p>
    <w:p w:rsidR="00AA12F8" w:rsidRDefault="005D4BD7" w:rsidP="009D5889">
      <w:pPr>
        <w:spacing w:before="36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t xml:space="preserve">National Learning Consortium </w:t>
      </w:r>
    </w:p>
    <w:p w:rsidR="00322B91" w:rsidRDefault="00322B91" w:rsidP="005D4BD7">
      <w:pPr>
        <w:pStyle w:val="BodyText"/>
      </w:pPr>
      <w:r w:rsidRPr="00476E77">
        <w:t xml:space="preserve">The National Learning Consortium (NLC) is a virtual and evolving body of knowledge and </w:t>
      </w:r>
      <w:r w:rsidR="00FD0F41">
        <w:t>resources</w:t>
      </w:r>
      <w:r w:rsidRPr="00476E77">
        <w:t>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 xml:space="preserve">ONC’s outreach programs </w:t>
      </w:r>
      <w:r w:rsidRPr="000A5450">
        <w:t>(</w:t>
      </w:r>
      <w:hyperlink r:id="rId14" w:history="1">
        <w:r w:rsidRPr="00266F6E">
          <w:rPr>
            <w:rStyle w:val="Hyperlink"/>
            <w:iCs/>
          </w:rPr>
          <w:t>REC</w:t>
        </w:r>
      </w:hyperlink>
      <w:r w:rsidRPr="000A5450">
        <w:t xml:space="preserve">, </w:t>
      </w:r>
      <w:hyperlink r:id="rId15" w:history="1">
        <w:r w:rsidRPr="00266F6E">
          <w:rPr>
            <w:rStyle w:val="Hyperlink"/>
            <w:iCs/>
          </w:rPr>
          <w:t>Beacon</w:t>
        </w:r>
      </w:hyperlink>
      <w:r w:rsidRPr="000A5450">
        <w:t xml:space="preserve">, </w:t>
      </w:r>
      <w:hyperlink r:id="rId16" w:history="1">
        <w:r w:rsidRPr="00266F6E">
          <w:rPr>
            <w:rStyle w:val="Hyperlink"/>
            <w:iCs/>
          </w:rPr>
          <w:t>State HIE</w:t>
        </w:r>
      </w:hyperlink>
      <w:r w:rsidRPr="000A5450">
        <w:t>)</w:t>
      </w:r>
      <w:r w:rsidRPr="00476E77">
        <w:t xml:space="preserve"> and through the </w:t>
      </w:r>
      <w:hyperlink r:id="rId17" w:history="1">
        <w:r w:rsidRPr="00266F6E">
          <w:rPr>
            <w:rStyle w:val="Hyperlink"/>
            <w:iCs/>
          </w:rPr>
          <w:t>Health Information Technology Research Center (HITRC)</w:t>
        </w:r>
      </w:hyperlink>
      <w:r w:rsidRPr="000A5450">
        <w:t xml:space="preserve"> </w:t>
      </w:r>
      <w:r w:rsidRPr="00476E77">
        <w:t xml:space="preserve">Communities of Practice (CoPs). </w:t>
      </w:r>
    </w:p>
    <w:p w:rsidR="00322B91" w:rsidRDefault="00322B91" w:rsidP="00CA3437">
      <w:pPr>
        <w:pStyle w:val="BodyText"/>
      </w:pPr>
      <w:r w:rsidRPr="00476E77">
        <w:t>The follo</w:t>
      </w:r>
      <w:r>
        <w:t>wing resource</w:t>
      </w:r>
      <w:r w:rsidR="00FD0F41">
        <w:t xml:space="preserve"> can be used </w:t>
      </w:r>
      <w:r w:rsidR="000A5450">
        <w:t xml:space="preserve">in support of </w:t>
      </w:r>
      <w:r w:rsidR="00FD0F41">
        <w:t xml:space="preserve">the </w:t>
      </w:r>
      <w:hyperlink r:id="rId18" w:history="1">
        <w:r w:rsidR="00FD0F41" w:rsidRPr="00FD0F41">
          <w:rPr>
            <w:rStyle w:val="Hyperlink"/>
          </w:rPr>
          <w:t>EHR Implementation Lifecycle</w:t>
        </w:r>
      </w:hyperlink>
      <w:r w:rsidR="00FD0F41">
        <w:t xml:space="preserve">.  It is recommended by </w:t>
      </w:r>
      <w:r w:rsidRPr="00476E77">
        <w:t xml:space="preserve">“boots-on-the-ground” professionals for use by others who have made the commitment to implement or upgrade to certified EHR systems. </w:t>
      </w:r>
    </w:p>
    <w:p w:rsidR="00FD0F41" w:rsidRDefault="00FD0F41" w:rsidP="00506819">
      <w:pPr>
        <w:pStyle w:val="BodyText"/>
        <w:jc w:val="center"/>
        <w:rPr>
          <w:b/>
          <w:color w:val="0070C0"/>
        </w:rPr>
      </w:pPr>
      <w:r w:rsidRPr="00506819">
        <w:rPr>
          <w:b/>
          <w:color w:val="0070C0"/>
        </w:rPr>
        <w:t>EHR Implementation Lifecycle</w:t>
      </w:r>
    </w:p>
    <w:p w:rsidR="00A67E87" w:rsidRDefault="00A67E87" w:rsidP="00506819">
      <w:pPr>
        <w:pStyle w:val="BodyText"/>
        <w:jc w:val="center"/>
        <w:rPr>
          <w:b/>
          <w:color w:val="0070C0"/>
        </w:rPr>
      </w:pPr>
      <w:r>
        <w:rPr>
          <w:b/>
          <w:noProof/>
          <w:color w:val="0070C0"/>
        </w:rPr>
        <w:drawing>
          <wp:inline distT="0" distB="0" distL="0" distR="0" wp14:anchorId="1CD27D1E" wp14:editId="7F0E382E">
            <wp:extent cx="3127248" cy="1765683"/>
            <wp:effectExtent l="0" t="0" r="0" b="6350"/>
            <wp:docPr id="7" name="Picture 7" title="Implementation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tep5.png"/>
                    <pic:cNvPicPr/>
                  </pic:nvPicPr>
                  <pic:blipFill rotWithShape="1">
                    <a:blip r:embed="rId19">
                      <a:extLst>
                        <a:ext uri="{28A0092B-C50C-407E-A947-70E740481C1C}">
                          <a14:useLocalDpi xmlns:a14="http://schemas.microsoft.com/office/drawing/2010/main" val="0"/>
                        </a:ext>
                      </a:extLst>
                    </a:blip>
                    <a:srcRect l="6892" t="11622" r="12484" b="11622"/>
                    <a:stretch/>
                  </pic:blipFill>
                  <pic:spPr bwMode="auto">
                    <a:xfrm>
                      <a:off x="0" y="0"/>
                      <a:ext cx="3127248" cy="1765683"/>
                    </a:xfrm>
                    <a:prstGeom prst="rect">
                      <a:avLst/>
                    </a:prstGeom>
                    <a:ln>
                      <a:noFill/>
                    </a:ln>
                    <a:extLst>
                      <a:ext uri="{53640926-AAD7-44d8-BBD7-CCE9431645EC}">
                        <a14:shadowObscured xmlns:a14="http://schemas.microsoft.com/office/drawing/2010/main"/>
                      </a:ext>
                    </a:extLst>
                  </pic:spPr>
                </pic:pic>
              </a:graphicData>
            </a:graphic>
          </wp:inline>
        </w:drawing>
      </w:r>
    </w:p>
    <w:p w:rsidR="00D6103A" w:rsidRPr="00322B91" w:rsidRDefault="00D6103A" w:rsidP="00D6103A">
      <w:pPr>
        <w:pStyle w:val="TOCHeading"/>
      </w:pPr>
      <w:bookmarkStart w:id="0" w:name="_Toc304469819"/>
      <w:bookmarkStart w:id="1" w:name="_Toc304495386"/>
      <w:bookmarkStart w:id="2" w:name="_Toc296551904"/>
      <w:bookmarkStart w:id="3" w:name="_Toc304469895"/>
      <w:bookmarkStart w:id="4" w:name="_Toc304495456"/>
      <w:r>
        <w:t xml:space="preserve">Description &amp; </w:t>
      </w:r>
      <w:r w:rsidRPr="00322B91">
        <w:t xml:space="preserve">Instructions </w:t>
      </w:r>
    </w:p>
    <w:p w:rsidR="00A077C0" w:rsidRDefault="00A077C0" w:rsidP="00A077C0">
      <w:pPr>
        <w:spacing w:before="180" w:after="120"/>
      </w:pPr>
      <w:r>
        <w:t>The clinical quality measures (CQMs) included in the EHR Incentive Program align with measures used in other Federal quality initiatives. The same CQMs are also aggregated to measure and improve quality of providers, health plans, and state-funded medical programs like Medicaid and Children’s Health Insurance Program (CHIP). This factsheet describes how providers’ efforts to measure and improve quality using EHRs aligns with the following quality initiatives:</w:t>
      </w:r>
    </w:p>
    <w:p w:rsidR="00A077C0" w:rsidRDefault="00A077C0" w:rsidP="00D37A9F">
      <w:pPr>
        <w:pStyle w:val="BodyText"/>
        <w:spacing w:after="120"/>
      </w:pPr>
      <w:r>
        <w:t>Provider-Level Initiatives</w:t>
      </w:r>
    </w:p>
    <w:p w:rsidR="00C71B34" w:rsidRDefault="00A077C0" w:rsidP="00D37A9F">
      <w:pPr>
        <w:pStyle w:val="Bullet1"/>
        <w:spacing w:after="120"/>
      </w:pPr>
      <w:r>
        <w:t>Physician Quality Reporting System (PQRS)</w:t>
      </w:r>
    </w:p>
    <w:p w:rsidR="00DE06E8" w:rsidRDefault="00AA3341" w:rsidP="00C71B34">
      <w:pPr>
        <w:pStyle w:val="Bullet1"/>
        <w:numPr>
          <w:ilvl w:val="0"/>
          <w:numId w:val="0"/>
        </w:numPr>
        <w:spacing w:before="180" w:after="120"/>
        <w:ind w:left="360"/>
      </w:pPr>
      <w:hyperlink r:id="rId20" w:history="1">
        <w:r w:rsidR="00DE06E8" w:rsidRPr="008B61D4">
          <w:rPr>
            <w:rStyle w:val="Hyperlink"/>
          </w:rPr>
          <w:t>http://www.cms.gov/Medicare/Quality-Initiatives-Patient-Assessment-Instruments/PQRS/index.html?redirect=/pqrs</w:t>
        </w:r>
      </w:hyperlink>
    </w:p>
    <w:p w:rsidR="00A077C0" w:rsidRDefault="00A077C0" w:rsidP="00C71B34">
      <w:pPr>
        <w:pStyle w:val="Bullet1"/>
        <w:spacing w:before="180" w:after="120"/>
      </w:pPr>
      <w:r>
        <w:t>Accountable Care Organizations (ACO)</w:t>
      </w:r>
    </w:p>
    <w:p w:rsidR="00DE06E8" w:rsidRDefault="00AA3341" w:rsidP="00C71B34">
      <w:pPr>
        <w:pStyle w:val="Bullet1"/>
        <w:numPr>
          <w:ilvl w:val="0"/>
          <w:numId w:val="0"/>
        </w:numPr>
        <w:spacing w:before="180" w:after="120"/>
        <w:ind w:left="360"/>
      </w:pPr>
      <w:hyperlink r:id="rId21" w:history="1">
        <w:r w:rsidR="00DE06E8" w:rsidRPr="008B61D4">
          <w:rPr>
            <w:rStyle w:val="Hyperlink"/>
          </w:rPr>
          <w:t>http://www.cms.gov/Medicare/Medicare-Fee-for-Service-Payment/sharedsavingsprogram/Quality_Measures_Standards.html</w:t>
        </w:r>
      </w:hyperlink>
    </w:p>
    <w:p w:rsidR="00A077C0" w:rsidRDefault="00A077C0" w:rsidP="00C71B34">
      <w:pPr>
        <w:pStyle w:val="Bullet1"/>
        <w:spacing w:before="180" w:after="120"/>
      </w:pPr>
      <w:r>
        <w:t>Million Hearts Campaign</w:t>
      </w:r>
    </w:p>
    <w:p w:rsidR="00DE06E8" w:rsidRDefault="00AA3341" w:rsidP="00C71B34">
      <w:pPr>
        <w:pStyle w:val="Bullet1"/>
        <w:numPr>
          <w:ilvl w:val="0"/>
          <w:numId w:val="0"/>
        </w:numPr>
        <w:spacing w:before="180" w:after="120"/>
        <w:ind w:left="360"/>
      </w:pPr>
      <w:hyperlink r:id="rId22" w:history="1">
        <w:r w:rsidR="00DE06E8" w:rsidRPr="008B61D4">
          <w:rPr>
            <w:rStyle w:val="Hyperlink"/>
          </w:rPr>
          <w:t>http://millionhearts.hhs.gov/index.html</w:t>
        </w:r>
      </w:hyperlink>
    </w:p>
    <w:p w:rsidR="00A077C0" w:rsidRDefault="00A077C0" w:rsidP="00C71B34">
      <w:pPr>
        <w:pStyle w:val="Bullet1"/>
        <w:numPr>
          <w:ilvl w:val="0"/>
          <w:numId w:val="0"/>
        </w:numPr>
        <w:spacing w:before="180" w:after="120"/>
        <w:ind w:left="360"/>
      </w:pPr>
      <w:r>
        <w:t xml:space="preserve"> </w:t>
      </w:r>
    </w:p>
    <w:p w:rsidR="00A077C0" w:rsidRDefault="00A077C0" w:rsidP="006D552C">
      <w:pPr>
        <w:pStyle w:val="BodyText"/>
        <w:keepNext/>
        <w:spacing w:after="120"/>
      </w:pPr>
      <w:r>
        <w:t>State-Level Initiatives</w:t>
      </w:r>
    </w:p>
    <w:p w:rsidR="00A077C0" w:rsidRDefault="00A077C0" w:rsidP="006D552C">
      <w:pPr>
        <w:pStyle w:val="Bullet1"/>
        <w:keepNext/>
        <w:spacing w:before="180" w:after="120"/>
      </w:pPr>
      <w:r>
        <w:t>Children’s Health Insurance Program Reauthorization Act</w:t>
      </w:r>
    </w:p>
    <w:p w:rsidR="00A077C0" w:rsidRDefault="00AA3341" w:rsidP="006D552C">
      <w:pPr>
        <w:pStyle w:val="Bullet1"/>
        <w:keepNext/>
        <w:numPr>
          <w:ilvl w:val="0"/>
          <w:numId w:val="0"/>
        </w:numPr>
        <w:spacing w:before="180" w:after="120"/>
        <w:ind w:left="360"/>
      </w:pPr>
      <w:hyperlink r:id="rId23" w:history="1">
        <w:r w:rsidR="00DE06E8" w:rsidRPr="008B61D4">
          <w:rPr>
            <w:rStyle w:val="Hyperlink"/>
          </w:rPr>
          <w:t>http://www.ahrq.gov/policymakers/chipra/index.html</w:t>
        </w:r>
      </w:hyperlink>
      <w:r w:rsidR="00A077C0">
        <w:t xml:space="preserve">  </w:t>
      </w:r>
    </w:p>
    <w:p w:rsidR="00A077C0" w:rsidRDefault="00A077C0" w:rsidP="00D37A9F">
      <w:pPr>
        <w:pStyle w:val="BodyText"/>
        <w:spacing w:after="120"/>
      </w:pPr>
      <w:r>
        <w:t>Health Plan-Level Initiatives</w:t>
      </w:r>
    </w:p>
    <w:p w:rsidR="00A077C0" w:rsidRDefault="00A077C0" w:rsidP="00C71B34">
      <w:pPr>
        <w:pStyle w:val="Bullet1"/>
        <w:spacing w:before="180" w:after="120"/>
      </w:pPr>
      <w:r>
        <w:t>Medicare Advantage</w:t>
      </w:r>
    </w:p>
    <w:p w:rsidR="00A077C0" w:rsidRDefault="00AA3341" w:rsidP="00C71B34">
      <w:pPr>
        <w:pStyle w:val="Bullet1"/>
        <w:numPr>
          <w:ilvl w:val="0"/>
          <w:numId w:val="0"/>
        </w:numPr>
        <w:spacing w:before="180" w:after="120"/>
        <w:ind w:left="360"/>
      </w:pPr>
      <w:hyperlink r:id="rId24" w:history="1">
        <w:r w:rsidR="00DE06E8" w:rsidRPr="008B61D4">
          <w:rPr>
            <w:rStyle w:val="Hyperlink"/>
          </w:rPr>
          <w:t>http://www.cms.gov/Medicare/Health-Plans/HealthPlansGenInfo/ReportingRequirements.html</w:t>
        </w:r>
      </w:hyperlink>
    </w:p>
    <w:p w:rsidR="00DE06E8" w:rsidRDefault="00A077C0" w:rsidP="00C71B34">
      <w:pPr>
        <w:pStyle w:val="BodyText"/>
      </w:pPr>
      <w:r>
        <w:t xml:space="preserve">For further information on CQMs and Meaningful Use, please visit: </w:t>
      </w:r>
      <w:hyperlink r:id="rId25" w:history="1">
        <w:r w:rsidR="00DE06E8" w:rsidRPr="008B61D4">
          <w:rPr>
            <w:rStyle w:val="Hyperlink"/>
          </w:rPr>
          <w:t>http://www.cms.gov/Regulations-and-Guidance/Legislation/EHRIncentivePrograms/index.html?redirect=/ehrincentiveprograms/</w:t>
        </w:r>
      </w:hyperlink>
    </w:p>
    <w:p w:rsidR="000F79D1" w:rsidRDefault="000F79D1">
      <w:pPr>
        <w:spacing w:after="200" w:line="276" w:lineRule="auto"/>
      </w:pPr>
      <w:r>
        <w:br w:type="page"/>
      </w:r>
    </w:p>
    <w:p w:rsidR="00D068C9" w:rsidRPr="00A832F5" w:rsidRDefault="00D068C9" w:rsidP="001A7C51">
      <w:pPr>
        <w:pStyle w:val="TOCHeading"/>
        <w:rPr>
          <w:szCs w:val="40"/>
        </w:rPr>
      </w:pPr>
      <w:r w:rsidRPr="00A832F5">
        <w:t>Table of Contents</w:t>
      </w:r>
    </w:p>
    <w:p w:rsidR="006D552C"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70716742" w:history="1">
        <w:r w:rsidR="006D552C" w:rsidRPr="00B43CA0">
          <w:rPr>
            <w:rStyle w:val="Hyperlink"/>
          </w:rPr>
          <w:t>1</w:t>
        </w:r>
        <w:r w:rsidR="006D552C">
          <w:rPr>
            <w:rFonts w:asciiTheme="minorHAnsi" w:eastAsiaTheme="minorEastAsia" w:hAnsiTheme="minorHAnsi" w:cstheme="minorBidi"/>
            <w:sz w:val="22"/>
            <w:szCs w:val="22"/>
          </w:rPr>
          <w:tab/>
        </w:r>
        <w:r w:rsidR="006D552C" w:rsidRPr="00B43CA0">
          <w:rPr>
            <w:rStyle w:val="Hyperlink"/>
          </w:rPr>
          <w:t>Meaningful Use Clinical Quality Measure Alignment by Measure</w:t>
        </w:r>
        <w:r w:rsidR="006D552C">
          <w:rPr>
            <w:webHidden/>
          </w:rPr>
          <w:tab/>
        </w:r>
        <w:r w:rsidR="006D552C">
          <w:rPr>
            <w:webHidden/>
          </w:rPr>
          <w:fldChar w:fldCharType="begin"/>
        </w:r>
        <w:r w:rsidR="006D552C">
          <w:rPr>
            <w:webHidden/>
          </w:rPr>
          <w:instrText xml:space="preserve"> PAGEREF _Toc370716742 \h </w:instrText>
        </w:r>
        <w:r w:rsidR="006D552C">
          <w:rPr>
            <w:webHidden/>
          </w:rPr>
        </w:r>
        <w:r w:rsidR="006D552C">
          <w:rPr>
            <w:webHidden/>
          </w:rPr>
          <w:fldChar w:fldCharType="separate"/>
        </w:r>
        <w:r w:rsidR="00AA3851">
          <w:rPr>
            <w:webHidden/>
          </w:rPr>
          <w:t>1</w:t>
        </w:r>
        <w:r w:rsidR="006D552C">
          <w:rPr>
            <w:webHidden/>
          </w:rPr>
          <w:fldChar w:fldCharType="end"/>
        </w:r>
      </w:hyperlink>
    </w:p>
    <w:p w:rsidR="006D552C" w:rsidRDefault="00AA3341">
      <w:pPr>
        <w:pStyle w:val="TOC1"/>
        <w:rPr>
          <w:rFonts w:asciiTheme="minorHAnsi" w:eastAsiaTheme="minorEastAsia" w:hAnsiTheme="minorHAnsi" w:cstheme="minorBidi"/>
          <w:sz w:val="22"/>
          <w:szCs w:val="22"/>
        </w:rPr>
      </w:pPr>
      <w:hyperlink w:anchor="_Toc370716743" w:history="1">
        <w:r w:rsidR="006D552C" w:rsidRPr="00B43CA0">
          <w:rPr>
            <w:rStyle w:val="Hyperlink"/>
          </w:rPr>
          <w:t>2</w:t>
        </w:r>
        <w:r w:rsidR="006D552C">
          <w:rPr>
            <w:rFonts w:asciiTheme="minorHAnsi" w:eastAsiaTheme="minorEastAsia" w:hAnsiTheme="minorHAnsi" w:cstheme="minorBidi"/>
            <w:sz w:val="22"/>
            <w:szCs w:val="22"/>
          </w:rPr>
          <w:tab/>
        </w:r>
        <w:r w:rsidR="006D552C" w:rsidRPr="00B43CA0">
          <w:rPr>
            <w:rStyle w:val="Hyperlink"/>
          </w:rPr>
          <w:t>Meaningful Use Clinical Quality Measure Alignment by Number of Initiatives</w:t>
        </w:r>
        <w:r w:rsidR="006D552C">
          <w:rPr>
            <w:webHidden/>
          </w:rPr>
          <w:tab/>
        </w:r>
        <w:r w:rsidR="006D552C">
          <w:rPr>
            <w:webHidden/>
          </w:rPr>
          <w:fldChar w:fldCharType="begin"/>
        </w:r>
        <w:r w:rsidR="006D552C">
          <w:rPr>
            <w:webHidden/>
          </w:rPr>
          <w:instrText xml:space="preserve"> PAGEREF _Toc370716743 \h </w:instrText>
        </w:r>
        <w:r w:rsidR="006D552C">
          <w:rPr>
            <w:webHidden/>
          </w:rPr>
        </w:r>
        <w:r w:rsidR="006D552C">
          <w:rPr>
            <w:webHidden/>
          </w:rPr>
          <w:fldChar w:fldCharType="separate"/>
        </w:r>
        <w:r w:rsidR="00AA3851">
          <w:rPr>
            <w:webHidden/>
          </w:rPr>
          <w:t>4</w:t>
        </w:r>
        <w:r w:rsidR="006D552C">
          <w:rPr>
            <w:webHidden/>
          </w:rPr>
          <w:fldChar w:fldCharType="end"/>
        </w:r>
      </w:hyperlink>
    </w:p>
    <w:p w:rsidR="006D552C" w:rsidRDefault="00AA3341">
      <w:pPr>
        <w:pStyle w:val="TOC1"/>
        <w:rPr>
          <w:rFonts w:asciiTheme="minorHAnsi" w:eastAsiaTheme="minorEastAsia" w:hAnsiTheme="minorHAnsi" w:cstheme="minorBidi"/>
          <w:sz w:val="22"/>
          <w:szCs w:val="22"/>
        </w:rPr>
      </w:pPr>
      <w:hyperlink w:anchor="_Toc370716744" w:history="1">
        <w:r w:rsidR="006D552C" w:rsidRPr="00B43CA0">
          <w:rPr>
            <w:rStyle w:val="Hyperlink"/>
          </w:rPr>
          <w:t>3</w:t>
        </w:r>
        <w:r w:rsidR="006D552C">
          <w:rPr>
            <w:rFonts w:asciiTheme="minorHAnsi" w:eastAsiaTheme="minorEastAsia" w:hAnsiTheme="minorHAnsi" w:cstheme="minorBidi"/>
            <w:sz w:val="22"/>
            <w:szCs w:val="22"/>
          </w:rPr>
          <w:tab/>
        </w:r>
        <w:r w:rsidR="006D552C" w:rsidRPr="00B43CA0">
          <w:rPr>
            <w:rStyle w:val="Hyperlink"/>
          </w:rPr>
          <w:t>Reporting of Clinical Quality Measures</w:t>
        </w:r>
        <w:r w:rsidR="006D552C">
          <w:rPr>
            <w:webHidden/>
          </w:rPr>
          <w:tab/>
        </w:r>
        <w:r w:rsidR="006D552C">
          <w:rPr>
            <w:webHidden/>
          </w:rPr>
          <w:fldChar w:fldCharType="begin"/>
        </w:r>
        <w:r w:rsidR="006D552C">
          <w:rPr>
            <w:webHidden/>
          </w:rPr>
          <w:instrText xml:space="preserve"> PAGEREF _Toc370716744 \h </w:instrText>
        </w:r>
        <w:r w:rsidR="006D552C">
          <w:rPr>
            <w:webHidden/>
          </w:rPr>
        </w:r>
        <w:r w:rsidR="006D552C">
          <w:rPr>
            <w:webHidden/>
          </w:rPr>
          <w:fldChar w:fldCharType="separate"/>
        </w:r>
        <w:r w:rsidR="00AA3851">
          <w:rPr>
            <w:webHidden/>
          </w:rPr>
          <w:t>7</w:t>
        </w:r>
        <w:r w:rsidR="006D552C">
          <w:rPr>
            <w:webHidden/>
          </w:rPr>
          <w:fldChar w:fldCharType="end"/>
        </w:r>
      </w:hyperlink>
    </w:p>
    <w:p w:rsidR="00D068C9" w:rsidRDefault="00D068C9" w:rsidP="00D068C9">
      <w:r>
        <w:fldChar w:fldCharType="end"/>
      </w:r>
    </w:p>
    <w:p w:rsidR="009555E4" w:rsidRDefault="009555E4" w:rsidP="00D068C9"/>
    <w:bookmarkEnd w:id="0"/>
    <w:bookmarkEnd w:id="1"/>
    <w:p w:rsidR="0066681F" w:rsidRDefault="0066681F" w:rsidP="009555E4"/>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2F5B21">
          <w:headerReference w:type="default" r:id="rId26"/>
          <w:pgSz w:w="12240" w:h="15840"/>
          <w:pgMar w:top="2160" w:right="1440" w:bottom="1440" w:left="1440" w:header="720" w:footer="720" w:gutter="0"/>
          <w:pgNumType w:fmt="lowerRoman" w:start="1"/>
          <w:cols w:space="720"/>
        </w:sectPr>
      </w:pPr>
    </w:p>
    <w:p w:rsidR="00AC5810" w:rsidRDefault="00AC5810" w:rsidP="002F5B21"/>
    <w:p w:rsidR="008C13A0" w:rsidRDefault="00A077C0" w:rsidP="00AC5810">
      <w:pPr>
        <w:pStyle w:val="Heading1"/>
      </w:pPr>
      <w:bookmarkStart w:id="5" w:name="_Toc370716742"/>
      <w:r w:rsidRPr="00A077C0">
        <w:t>Meaningful Use Clinical Quality Measure Alignment by Measure</w:t>
      </w:r>
      <w:bookmarkEnd w:id="5"/>
    </w:p>
    <w:p w:rsidR="00A077C0" w:rsidRDefault="00A077C0" w:rsidP="008C13A0">
      <w:pPr>
        <w:pStyle w:val="BodyText"/>
      </w:pPr>
      <w:r w:rsidRPr="00A077C0">
        <w:t>The following table provides a summary of the various initiatives to which 2014 Meaningful Use CQMs also apply It also provides a column with the total number of initiatives (inclusive of Meaningful Use) to which each measure applies.</w:t>
      </w:r>
    </w:p>
    <w:tbl>
      <w:tblPr>
        <w:tblStyle w:val="NLCTable"/>
        <w:tblW w:w="4977" w:type="pct"/>
        <w:tblLayout w:type="fixed"/>
        <w:tblLook w:val="0420" w:firstRow="1" w:lastRow="0" w:firstColumn="0" w:lastColumn="0" w:noHBand="0" w:noVBand="1"/>
        <w:tblCaption w:val="Stage 2/2014 Clinical Quality Measure Comparison for 2013 Table"/>
      </w:tblPr>
      <w:tblGrid>
        <w:gridCol w:w="9767"/>
        <w:gridCol w:w="456"/>
        <w:gridCol w:w="457"/>
        <w:gridCol w:w="457"/>
        <w:gridCol w:w="457"/>
        <w:gridCol w:w="457"/>
        <w:gridCol w:w="457"/>
        <w:gridCol w:w="508"/>
      </w:tblGrid>
      <w:tr w:rsidR="006D4F67" w:rsidRPr="00AC5810" w:rsidTr="0021073B">
        <w:trPr>
          <w:cnfStyle w:val="100000000000" w:firstRow="1" w:lastRow="0" w:firstColumn="0" w:lastColumn="0" w:oddVBand="0" w:evenVBand="0" w:oddHBand="0" w:evenHBand="0" w:firstRowFirstColumn="0" w:firstRowLastColumn="0" w:lastRowFirstColumn="0" w:lastRowLastColumn="0"/>
          <w:trHeight w:val="288"/>
        </w:trPr>
        <w:tc>
          <w:tcPr>
            <w:tcW w:w="12299" w:type="dxa"/>
            <w:gridSpan w:val="8"/>
            <w:tcBorders>
              <w:bottom w:val="single" w:sz="4" w:space="0" w:color="auto"/>
            </w:tcBorders>
          </w:tcPr>
          <w:p w:rsidR="006D4F67" w:rsidRPr="002F5B21" w:rsidRDefault="006D4F67" w:rsidP="006D4F67">
            <w:pPr>
              <w:pStyle w:val="TableHeading"/>
              <w:rPr>
                <w:color w:val="auto"/>
                <w:szCs w:val="20"/>
              </w:rPr>
            </w:pPr>
            <w:r w:rsidRPr="002F5B21">
              <w:rPr>
                <w:szCs w:val="20"/>
              </w:rPr>
              <w:t>Stage 2/2014 Clinical Quality Measure Comparison for 2013</w:t>
            </w:r>
          </w:p>
        </w:tc>
      </w:tr>
      <w:tr w:rsidR="006D4F67" w:rsidRPr="00AC5810" w:rsidTr="0021073B">
        <w:trPr>
          <w:trHeight w:val="1637"/>
        </w:trPr>
        <w:tc>
          <w:tcPr>
            <w:tcW w:w="9228" w:type="dxa"/>
            <w:shd w:val="clear" w:color="auto" w:fill="DAEEF3" w:themeFill="accent5" w:themeFillTint="33"/>
          </w:tcPr>
          <w:p w:rsidR="00FD3C56" w:rsidRPr="006D552C" w:rsidRDefault="00FD3C56" w:rsidP="0021073B">
            <w:pPr>
              <w:pStyle w:val="TableSubheading"/>
            </w:pPr>
            <w:r w:rsidRPr="006D552C">
              <w:t>Meaningful Use Stage 2/2104 Measure</w:t>
            </w:r>
          </w:p>
        </w:tc>
        <w:tc>
          <w:tcPr>
            <w:tcW w:w="431" w:type="dxa"/>
            <w:shd w:val="clear" w:color="auto" w:fill="DAEEF3" w:themeFill="accent5" w:themeFillTint="33"/>
            <w:textDirection w:val="btLr"/>
          </w:tcPr>
          <w:p w:rsidR="00FD3C56" w:rsidRPr="006D552C" w:rsidRDefault="00FD3C56" w:rsidP="0021073B">
            <w:pPr>
              <w:pStyle w:val="TableSubheading"/>
            </w:pPr>
            <w:r w:rsidRPr="006D552C">
              <w:t>Total</w:t>
            </w:r>
            <w:r w:rsidR="00272FE5" w:rsidRPr="006D552C">
              <w:t xml:space="preserve"> # of</w:t>
            </w:r>
            <w:r w:rsidRPr="006D552C">
              <w:t xml:space="preserve"> Initiatives</w:t>
            </w:r>
          </w:p>
        </w:tc>
        <w:tc>
          <w:tcPr>
            <w:tcW w:w="432" w:type="dxa"/>
            <w:shd w:val="clear" w:color="auto" w:fill="DAEEF3" w:themeFill="accent5" w:themeFillTint="33"/>
            <w:textDirection w:val="btLr"/>
          </w:tcPr>
          <w:p w:rsidR="00FD3C56" w:rsidRPr="006D552C" w:rsidRDefault="00FD3C56" w:rsidP="0021073B">
            <w:pPr>
              <w:pStyle w:val="TableSubheading"/>
            </w:pPr>
            <w:r w:rsidRPr="006D552C">
              <w:t>Meaningful Use</w:t>
            </w:r>
          </w:p>
        </w:tc>
        <w:tc>
          <w:tcPr>
            <w:tcW w:w="432" w:type="dxa"/>
            <w:shd w:val="clear" w:color="auto" w:fill="DAEEF3" w:themeFill="accent5" w:themeFillTint="33"/>
            <w:textDirection w:val="btLr"/>
          </w:tcPr>
          <w:p w:rsidR="00FD3C56" w:rsidRPr="006D552C" w:rsidRDefault="00FD3C56" w:rsidP="0021073B">
            <w:pPr>
              <w:pStyle w:val="TableSubheading"/>
            </w:pPr>
            <w:r w:rsidRPr="006D552C">
              <w:t>PQRS</w:t>
            </w:r>
            <w:r w:rsidRPr="006D552C">
              <w:footnoteReference w:id="1"/>
            </w:r>
          </w:p>
        </w:tc>
        <w:tc>
          <w:tcPr>
            <w:tcW w:w="432" w:type="dxa"/>
            <w:shd w:val="clear" w:color="auto" w:fill="DAEEF3" w:themeFill="accent5" w:themeFillTint="33"/>
            <w:textDirection w:val="btLr"/>
          </w:tcPr>
          <w:p w:rsidR="00FD3C56" w:rsidRPr="006D552C" w:rsidRDefault="00FD3C56" w:rsidP="0021073B">
            <w:pPr>
              <w:pStyle w:val="TableSubheading"/>
            </w:pPr>
            <w:r w:rsidRPr="006D552C">
              <w:t>ACO</w:t>
            </w:r>
            <w:r w:rsidRPr="006D552C">
              <w:footnoteReference w:id="2"/>
            </w:r>
          </w:p>
        </w:tc>
        <w:tc>
          <w:tcPr>
            <w:tcW w:w="432" w:type="dxa"/>
            <w:shd w:val="clear" w:color="auto" w:fill="DAEEF3" w:themeFill="accent5" w:themeFillTint="33"/>
            <w:textDirection w:val="btLr"/>
          </w:tcPr>
          <w:p w:rsidR="00FD3C56" w:rsidRPr="006D552C" w:rsidRDefault="00FD3C56" w:rsidP="0021073B">
            <w:pPr>
              <w:pStyle w:val="TableSubheading"/>
            </w:pPr>
            <w:r w:rsidRPr="006D552C">
              <w:t>Million Hearts</w:t>
            </w:r>
            <w:r w:rsidRPr="006D552C">
              <w:footnoteReference w:id="3"/>
            </w:r>
          </w:p>
        </w:tc>
        <w:tc>
          <w:tcPr>
            <w:tcW w:w="432" w:type="dxa"/>
            <w:shd w:val="clear" w:color="auto" w:fill="DAEEF3" w:themeFill="accent5" w:themeFillTint="33"/>
            <w:textDirection w:val="btLr"/>
          </w:tcPr>
          <w:p w:rsidR="00FD3C56" w:rsidRPr="006D552C" w:rsidRDefault="00FD3C56" w:rsidP="0021073B">
            <w:pPr>
              <w:pStyle w:val="TableSubheading"/>
            </w:pPr>
            <w:r w:rsidRPr="006D552C">
              <w:t>CHIPRA</w:t>
            </w:r>
            <w:r w:rsidRPr="006D552C">
              <w:footnoteReference w:id="4"/>
            </w:r>
          </w:p>
        </w:tc>
        <w:tc>
          <w:tcPr>
            <w:tcW w:w="480" w:type="dxa"/>
            <w:shd w:val="clear" w:color="auto" w:fill="DAEEF3" w:themeFill="accent5" w:themeFillTint="33"/>
            <w:textDirection w:val="btLr"/>
          </w:tcPr>
          <w:p w:rsidR="00FD3C56" w:rsidRPr="006D552C" w:rsidRDefault="00FD3C56" w:rsidP="0021073B">
            <w:pPr>
              <w:pStyle w:val="TableSubheading"/>
            </w:pPr>
            <w:r w:rsidRPr="006D552C">
              <w:t>Medicare Advantage</w:t>
            </w: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ADE Prevention and Monitoring: Warfarin Time in Therapeutic Range (NQF# TBD) (CMS179v1)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ADHD: Follow-Up Care for Children Prescribed Attention-Deficit/Hyperactivity Disorder (ADHD) Medication (NQF# 0108) (CMS136v2)</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2</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80" w:type="dxa"/>
          </w:tcPr>
          <w:p w:rsidR="00FD3C56" w:rsidRPr="00AC5810" w:rsidRDefault="00FD3C56" w:rsidP="00E868AF">
            <w:pPr>
              <w:pStyle w:val="ListParagraph"/>
              <w:ind w:left="0"/>
              <w:jc w:val="center"/>
              <w:rPr>
                <w:rFonts w:ascii="Arial Narrow" w:hAnsi="Arial Narrow"/>
                <w:sz w:val="20"/>
                <w:szCs w:val="20"/>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Adult Weight Screening and Follow-up (NQF# 0421) (CMS69v1)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Anti-Depressant Medication Management: (a) Effective Acute Phase Treatment, (b) Effective Continuation Phase Treatment (NQF# 0105) (CMS128v1)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Appropriate Testing for Children with Pharyngitis (NQF# 0002) (CMSv146v1)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80" w:type="dxa"/>
          </w:tcPr>
          <w:p w:rsidR="00FD3C56" w:rsidRPr="00AC5810" w:rsidRDefault="00FD3C56" w:rsidP="00E868AF">
            <w:pPr>
              <w:pStyle w:val="ListParagraph"/>
              <w:ind w:left="0"/>
              <w:jc w:val="center"/>
              <w:rPr>
                <w:rFonts w:ascii="Arial Narrow" w:hAnsi="Arial Narrow"/>
                <w:sz w:val="20"/>
                <w:szCs w:val="20"/>
              </w:rPr>
            </w:pPr>
          </w:p>
        </w:tc>
      </w:tr>
      <w:tr w:rsidR="006D4F67" w:rsidRPr="00AC5810" w:rsidTr="0021073B">
        <w:tc>
          <w:tcPr>
            <w:tcW w:w="9228" w:type="dxa"/>
          </w:tcPr>
          <w:p w:rsidR="00FD3C56" w:rsidRPr="002F5B21" w:rsidRDefault="00FD3C56" w:rsidP="002F5B21">
            <w:pPr>
              <w:pStyle w:val="TableText"/>
            </w:pPr>
            <w:r w:rsidRPr="002F5B21">
              <w:t>Appropriate Treatment for Children with Upper Respiratory Infection (URI) (NQF# 0069) (CMS154v1)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Bipolar Disorder and Major Depression: Appraisal For Alcohol or Chemical Substance Use (NQF# 0110) (CMS169v1)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Breast Cancer Screening (NQF# 0031) (CMS125v1)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Cataracts: 20/40 or Better Visual Acuity within 90 Days Following Cataract Surgery (NQF# 0565) (CMS133v1)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 xml:space="preserve">Cataracts: Complications within 30 Days Following Cataract Surgery Requiring Additional Surgical Procedures (NQF# 0564 </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Height w:val="152"/>
        </w:trPr>
        <w:tc>
          <w:tcPr>
            <w:tcW w:w="9228" w:type="dxa"/>
          </w:tcPr>
          <w:p w:rsidR="00FD3C56" w:rsidRPr="002F5B21" w:rsidRDefault="00FD3C56" w:rsidP="002F5B21">
            <w:pPr>
              <w:pStyle w:val="TableText"/>
            </w:pPr>
            <w:r w:rsidRPr="002F5B21">
              <w:t>Cervical Cancer Screening (NQF# 0032) (CMS124v1)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Child and Adolescent Major Depressive Disorder: Suicide Risk Assessment (NQF# 1365) (CMS177v1)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Childhood Immunization Status (NQF# 0038) (CMS117v1)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80" w:type="dxa"/>
          </w:tcPr>
          <w:p w:rsidR="00FD3C56" w:rsidRPr="00AC5810" w:rsidRDefault="00FD3C56" w:rsidP="00E868AF">
            <w:pPr>
              <w:pStyle w:val="ListParagraph"/>
              <w:ind w:left="0"/>
              <w:jc w:val="center"/>
              <w:rPr>
                <w:rFonts w:ascii="Arial Narrow" w:hAnsi="Arial Narrow"/>
                <w:sz w:val="20"/>
                <w:szCs w:val="20"/>
              </w:rPr>
            </w:pPr>
          </w:p>
        </w:tc>
      </w:tr>
      <w:tr w:rsidR="006D4F67" w:rsidRPr="00AC5810" w:rsidTr="0021073B">
        <w:tc>
          <w:tcPr>
            <w:tcW w:w="9228" w:type="dxa"/>
          </w:tcPr>
          <w:p w:rsidR="00FD3C56" w:rsidRPr="002F5B21" w:rsidRDefault="00FD3C56" w:rsidP="002F5B21">
            <w:pPr>
              <w:pStyle w:val="TableText"/>
            </w:pPr>
            <w:r w:rsidRPr="002F5B21">
              <w:t>Children Who Have Dental Decay or Cavities (NQF# 1419) (CMS74v2)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Chlamydia Screening for Women (NQF# 0033) (CMS153V1)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80" w:type="dxa"/>
          </w:tcPr>
          <w:p w:rsidR="00FD3C56" w:rsidRPr="00AC5810" w:rsidRDefault="00FD3C56" w:rsidP="00E868AF">
            <w:pPr>
              <w:pStyle w:val="ListParagraph"/>
              <w:ind w:left="0"/>
              <w:jc w:val="center"/>
              <w:rPr>
                <w:rFonts w:ascii="Arial Narrow" w:hAnsi="Arial Narrow"/>
                <w:sz w:val="20"/>
                <w:szCs w:val="20"/>
              </w:rPr>
            </w:pPr>
          </w:p>
        </w:tc>
      </w:tr>
      <w:tr w:rsidR="006D4F67" w:rsidRPr="00AC5810" w:rsidTr="0021073B">
        <w:tc>
          <w:tcPr>
            <w:tcW w:w="9228" w:type="dxa"/>
          </w:tcPr>
          <w:p w:rsidR="00FD3C56" w:rsidRPr="002F5B21" w:rsidRDefault="00FD3C56" w:rsidP="002F5B21">
            <w:pPr>
              <w:pStyle w:val="TableText"/>
            </w:pPr>
            <w:r w:rsidRPr="002F5B21">
              <w:t>Closing the referral loop: receipt of specialist report (NQF# 1335) (CMS75v1)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Colorectal Cancer Screening (NQF# 0034) (CMS130v1)</w:t>
            </w:r>
          </w:p>
        </w:tc>
        <w:tc>
          <w:tcPr>
            <w:tcW w:w="431" w:type="dxa"/>
          </w:tcPr>
          <w:p w:rsidR="00FD3C56" w:rsidRPr="00AC5810" w:rsidRDefault="00FD3C56" w:rsidP="00E868AF">
            <w:pPr>
              <w:ind w:left="17"/>
              <w:jc w:val="center"/>
              <w:rPr>
                <w:rFonts w:ascii="Arial Narrow" w:hAnsi="Arial Narrow"/>
              </w:rPr>
            </w:pPr>
            <w:r w:rsidRPr="00AC5810">
              <w:rPr>
                <w:rFonts w:ascii="Arial Narrow" w:hAnsi="Arial Narrow"/>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ind w:left="17"/>
              <w:jc w:val="center"/>
              <w:rPr>
                <w:rFonts w:ascii="Arial Narrow" w:hAnsi="Arial Narrow"/>
              </w:rPr>
            </w:pPr>
            <w:r w:rsidRPr="00AC5810">
              <w:rPr>
                <w:rFonts w:ascii="Arial Narrow" w:hAnsi="Arial Narrow"/>
              </w:rPr>
              <w:sym w:font="Wingdings" w:char="F0FC"/>
            </w:r>
          </w:p>
        </w:tc>
      </w:tr>
      <w:tr w:rsidR="006D4F67" w:rsidRPr="00AC5810" w:rsidTr="0021073B">
        <w:tc>
          <w:tcPr>
            <w:tcW w:w="9228" w:type="dxa"/>
          </w:tcPr>
          <w:p w:rsidR="00FD3C56" w:rsidRPr="002F5B21" w:rsidRDefault="00FD3C56" w:rsidP="002F5B21">
            <w:pPr>
              <w:pStyle w:val="TableText"/>
            </w:pPr>
            <w:r w:rsidRPr="002F5B21">
              <w:t>Controlling High Blood Pressure (NQF #0018) (CMS165v1)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5</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Coronary Artery Disease (CAD): Beta-Blocker Therapy for CAD Patients with Prior Myocardial Infarction (MI) (NQF# 0070) (CMS145v1)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Dementia: Cognitive Assessment (NQF# TBD) (CMS149v1)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Depression Remission at 12 months (NQF# 0710) (CMS159v1)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Depression Utilization of the PHQ-9 Tool (NQF# 0712) (CMS160v1)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Diabetes:  HbA1c Poor Control (NQF# 0059) (CMS122v1)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c>
          <w:tcPr>
            <w:tcW w:w="9228" w:type="dxa"/>
          </w:tcPr>
          <w:p w:rsidR="00FD3C56" w:rsidRPr="002F5B21" w:rsidRDefault="00FD3C56" w:rsidP="002F5B21">
            <w:pPr>
              <w:pStyle w:val="TableText"/>
            </w:pPr>
            <w:r w:rsidRPr="002F5B21">
              <w:t>Diabetes: Eye Exam (NQF# 0055) (CMS131v1)</w:t>
            </w:r>
          </w:p>
        </w:tc>
        <w:tc>
          <w:tcPr>
            <w:tcW w:w="431" w:type="dxa"/>
          </w:tcPr>
          <w:p w:rsidR="00FD3C56" w:rsidRPr="00AC5810" w:rsidRDefault="00FD3C56" w:rsidP="00E868AF">
            <w:pPr>
              <w:ind w:left="17"/>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ind w:left="17"/>
              <w:jc w:val="center"/>
              <w:rPr>
                <w:rFonts w:ascii="Arial Narrow" w:hAnsi="Arial Narrow"/>
              </w:rPr>
            </w:pPr>
            <w:r w:rsidRPr="00AC5810">
              <w:rPr>
                <w:rFonts w:ascii="Arial Narrow" w:hAnsi="Arial Narrow"/>
              </w:rPr>
              <w:sym w:font="Wingdings" w:char="F0FC"/>
            </w: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Diabetes: Foot Exam (NQF# 0056) (CMS123v1)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Diabetes: LDL Management &amp; Control (NQF# 0064) (CMS163v1)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5</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Diabetes: Urine Screening (NQF# 0062) (CMS134v1)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c>
          <w:tcPr>
            <w:tcW w:w="9228" w:type="dxa"/>
          </w:tcPr>
          <w:p w:rsidR="00FD3C56" w:rsidRPr="002F5B21" w:rsidRDefault="00FD3C56" w:rsidP="002F5B21">
            <w:pPr>
              <w:pStyle w:val="TableText"/>
            </w:pPr>
            <w:r w:rsidRPr="002F5B21">
              <w:t>Diabetic Retinopathy: Communication with the Physician Managing Ongoing Diabetes Care (NQF# 0089) (CMS142V1)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Diabetic Retinopathy: Documentation of Presence or Absence of Macular Edema and Level of Severity of Retinopathy (NQF# 0088) (CMS167v1)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Documentation of Current Medications in the Medical Record (NQF# 0419) (CMS68v2)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Functional Status Assessment for Complex Chronic Conditions (NQF# TBD) (CMS90v2)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Functional Status Assessment for Hip Replacement (NQF# TBD) (CMS56v1)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Functional Status Assessment for Knee Replacement (NQF# TBD) (CMS66v1)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Heart Failure (HF) : Angiotensin-Converting Enzyme (ACE) Inhibitor or Angiotensin Receptor Blocker (ARB) Therapy for Left Ventricular Systolic Dysfunction (LVSD) (NQF# 0081) (CMS135v1)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Heart Failure (HF): Beta-Blocker Therapy for Left Ventricular Systolic Dysfunction (LVSD) (NQF# 0083) (CMS144v1)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Hemoglobin A1c Test for Pediatric Patients (NQF# 0060) (CMS148v1)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2</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80" w:type="dxa"/>
          </w:tcPr>
          <w:p w:rsidR="00FD3C56" w:rsidRPr="00AC5810" w:rsidRDefault="00FD3C56" w:rsidP="00E868AF">
            <w:pPr>
              <w:pStyle w:val="ListParagraph"/>
              <w:ind w:left="0"/>
              <w:jc w:val="center"/>
              <w:rPr>
                <w:rFonts w:ascii="Arial Narrow" w:hAnsi="Arial Narrow"/>
                <w:sz w:val="20"/>
                <w:szCs w:val="20"/>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HIV/AIDS: Medical Visit (NQF# 0403) (CMS62v1)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 xml:space="preserve">HIV/AIDS: Pneumocystis </w:t>
            </w:r>
            <w:proofErr w:type="spellStart"/>
            <w:r w:rsidRPr="002F5B21">
              <w:t>jiroveci</w:t>
            </w:r>
            <w:proofErr w:type="spellEnd"/>
            <w:r w:rsidRPr="002F5B21">
              <w:t xml:space="preserve"> pneumonia (PCP) Prophylaxis (NQF# 0405) (CMS52v1)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HIV/AIDS: RNA control for patients with HIV (NQF# 0407) (CMS77v1)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Hypertension: Improvement in blood pressure (NQF# TBD) (CMS65v2)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Initiation and Engagement of Alcohol and Other Drug Dependence Treatment: (a) Initiation, (b) Engagement (NQF# 0004) (CMS137v1)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Ischemic Vascular Disease (IVD): Complete Lipid Panel and LDL Control (NQF# 0075) (CMS182v1)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Ischemic Vascular Disease (IVD): Use of Aspirin or another Antithrombotic (NQF# 0068) (CMS164v1)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Low Back Pain: Use of Imaging Studies (NQF# 0052) (CMS166v2)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Major Depressive Disorder (MDD): Suicide Risk Assessment (NQF# 0104) (CMS161v1)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Maternal Depression Screening (NQF #1401) (CMS82v1)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Oncology Breast Cancer:  Hormonal Therapy for Stage IC-IIIC Estrogen Receptor/Progesterone Receptor (ER/PR) Positive Breast Cancer (NQF# 0387) (CMS140v1)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Oncology Colon Cancer:  Chemotherapy for Stage III Colon Cancer Patients (NQF# 0385) (CMS141v2)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Oncology: Medical and Radiation - Pain Intensity Quantified (NQF# 0384) (CMS157v1)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2"/>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Pneumonia Vaccination Status for Older Adults (NQF# 0043) (CMS127v1)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 xml:space="preserve">Pregnant Women that had </w:t>
            </w:r>
            <w:proofErr w:type="spellStart"/>
            <w:r w:rsidRPr="002F5B21">
              <w:t>HBsAg</w:t>
            </w:r>
            <w:proofErr w:type="spellEnd"/>
            <w:r w:rsidRPr="002F5B21">
              <w:t xml:space="preserve"> testing (NQF# 0608) (CMS158v1)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Preventive Care and Screening Measure Pair: a) Tobacco Use Assessment (NQF# 0028) (CMS138v1)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Preventive Care and Screening Measure Pair: b) Tobacco Cessation Intervention (NQF# 0028) (CMS138v1)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4</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Preventive Care and Screening: Cholesterol-Fasting Low Density Lipoprotein (LDL-C) Test Performed (NQF# TBD) (CMS61v2)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Preventive Care and Screening: Influenza Immunization for Patients ≥ 50 Years Old (NQF# 0041) (CMS147v1)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c>
          <w:tcPr>
            <w:tcW w:w="9228" w:type="dxa"/>
          </w:tcPr>
          <w:p w:rsidR="00FD3C56" w:rsidRPr="002F5B21" w:rsidRDefault="00FD3C56" w:rsidP="002F5B21">
            <w:pPr>
              <w:pStyle w:val="TableText"/>
            </w:pPr>
            <w:r w:rsidRPr="002F5B21">
              <w:t>Preventive Care and Screening: Risk-Stratified Cholesterol-Fasting Low Density Lipoprotein (LDL-C) Test Performed (NQF# TBD) (CMS64v2)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Preventive Care and Screening: Screening for Clinical Depression and Follow-Up Plan (NQF# 0418) (CMS2v2)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Preventive Care and Screening: Screening for High Blood Pressure and Follow-Up Documented (NQF# TBD) (CMS22v1)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 xml:space="preserve">Primary Caries Prevention Intervention as Offered by Primary Care Providers, including Dentists (NQF# 1419) (CMS74v2) </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1</w:t>
            </w:r>
          </w:p>
        </w:tc>
        <w:tc>
          <w:tcPr>
            <w:tcW w:w="432" w:type="dxa"/>
          </w:tcPr>
          <w:p w:rsidR="00FD3C56" w:rsidRPr="00AC5810" w:rsidRDefault="00FD3C56" w:rsidP="00AC5810">
            <w:pPr>
              <w:jc w:val="center"/>
              <w:rPr>
                <w:rFonts w:ascii="Arial Narrow" w:hAnsi="Arial Narrow"/>
              </w:rPr>
            </w:pPr>
            <w:r w:rsidRPr="00AC5810">
              <w:rPr>
                <w:rFonts w:ascii="Arial Narrow" w:hAnsi="Arial Narrow"/>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Primary Open Angle Glaucoma (POAG): Optic Nerve Evaluation (NQF# 0086) (CMS143v1)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Prostate Cancer: Avoidance of Overuse of Bone Scan for Staging Low Risk Prostate Cancer Patients (NQF# 0389) (CMS129v2)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Screening for Future Fall Risk (NQF# 0101) (CMS139v1)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3</w:t>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Use of Appropriate Medications for Asthma (NQF# 0036) (CMS126v1)</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Use of High-Risk Medications in the Elderly (NQF# 0022) (CMS156v1)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r>
      <w:tr w:rsidR="006D4F67" w:rsidRPr="00AC5810" w:rsidTr="0021073B">
        <w:trPr>
          <w:cnfStyle w:val="000000010000" w:firstRow="0" w:lastRow="0" w:firstColumn="0" w:lastColumn="0" w:oddVBand="0" w:evenVBand="0" w:oddHBand="0" w:evenHBand="1" w:firstRowFirstColumn="0" w:firstRowLastColumn="0" w:lastRowFirstColumn="0" w:lastRowLastColumn="0"/>
        </w:trPr>
        <w:tc>
          <w:tcPr>
            <w:tcW w:w="9228" w:type="dxa"/>
          </w:tcPr>
          <w:p w:rsidR="00FD3C56" w:rsidRPr="002F5B21" w:rsidRDefault="00FD3C56" w:rsidP="002F5B21">
            <w:pPr>
              <w:pStyle w:val="TableText"/>
            </w:pPr>
            <w:r w:rsidRPr="002F5B21">
              <w:t>Use of Imaging Studies for Low Back Pain (NQF# 0052) (CMS166v2)</w:t>
            </w:r>
          </w:p>
        </w:tc>
        <w:tc>
          <w:tcPr>
            <w:tcW w:w="431" w:type="dxa"/>
          </w:tcPr>
          <w:p w:rsidR="00FD3C56" w:rsidRPr="00AC5810" w:rsidRDefault="00FD3C56" w:rsidP="00E868AF">
            <w:pPr>
              <w:jc w:val="center"/>
              <w:rPr>
                <w:rFonts w:ascii="Arial Narrow" w:hAnsi="Arial Narrow"/>
              </w:rPr>
            </w:pPr>
            <w:r w:rsidRPr="00AC5810">
              <w:rPr>
                <w:rFonts w:ascii="Arial Narrow" w:hAnsi="Arial Narrow"/>
              </w:rPr>
              <w:t>2</w:t>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80" w:type="dxa"/>
          </w:tcPr>
          <w:p w:rsidR="00FD3C56" w:rsidRPr="00AC5810" w:rsidRDefault="00FD3C56" w:rsidP="00E868AF">
            <w:pPr>
              <w:jc w:val="center"/>
              <w:rPr>
                <w:rFonts w:ascii="Arial Narrow" w:hAnsi="Arial Narrow"/>
              </w:rPr>
            </w:pPr>
          </w:p>
        </w:tc>
      </w:tr>
      <w:tr w:rsidR="006D4F67" w:rsidRPr="00AC5810" w:rsidTr="0021073B">
        <w:tc>
          <w:tcPr>
            <w:tcW w:w="9228" w:type="dxa"/>
          </w:tcPr>
          <w:p w:rsidR="00FD3C56" w:rsidRPr="002F5B21" w:rsidRDefault="00FD3C56" w:rsidP="002F5B21">
            <w:pPr>
              <w:pStyle w:val="TableText"/>
            </w:pPr>
            <w:r w:rsidRPr="002F5B21">
              <w:t>Weight Assessment and Counseling for Children and Adolescents (NQF# 0024) (CMS155v1)</w:t>
            </w:r>
          </w:p>
        </w:tc>
        <w:tc>
          <w:tcPr>
            <w:tcW w:w="431" w:type="dxa"/>
          </w:tcPr>
          <w:p w:rsidR="00FD3C56" w:rsidRPr="00AC5810" w:rsidRDefault="00FD3C56" w:rsidP="00E868AF">
            <w:pPr>
              <w:pStyle w:val="ListParagraph"/>
              <w:ind w:left="0"/>
              <w:jc w:val="center"/>
              <w:rPr>
                <w:rFonts w:ascii="Arial Narrow" w:hAnsi="Arial Narrow"/>
                <w:sz w:val="20"/>
                <w:szCs w:val="20"/>
              </w:rPr>
            </w:pPr>
            <w:r w:rsidRPr="00AC5810">
              <w:rPr>
                <w:rFonts w:ascii="Arial Narrow" w:hAnsi="Arial Narrow"/>
                <w:sz w:val="20"/>
                <w:szCs w:val="20"/>
              </w:rPr>
              <w:t>3</w:t>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pStyle w:val="ListParagraph"/>
              <w:numPr>
                <w:ilvl w:val="0"/>
                <w:numId w:val="21"/>
              </w:numPr>
              <w:ind w:left="0"/>
              <w:jc w:val="center"/>
              <w:rPr>
                <w:rFonts w:ascii="Arial Narrow" w:hAnsi="Arial Narrow"/>
                <w:sz w:val="20"/>
                <w:szCs w:val="20"/>
              </w:rPr>
            </w:pPr>
            <w:r w:rsidRPr="00AC5810">
              <w:rPr>
                <w:rFonts w:ascii="Arial Narrow" w:hAnsi="Arial Narrow"/>
                <w:sz w:val="20"/>
                <w:szCs w:val="20"/>
              </w:rPr>
              <w:sym w:font="Wingdings" w:char="F0FC"/>
            </w: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jc w:val="center"/>
              <w:rPr>
                <w:rFonts w:ascii="Arial Narrow" w:hAnsi="Arial Narrow"/>
              </w:rPr>
            </w:pPr>
          </w:p>
        </w:tc>
        <w:tc>
          <w:tcPr>
            <w:tcW w:w="432" w:type="dxa"/>
          </w:tcPr>
          <w:p w:rsidR="00FD3C56" w:rsidRPr="00AC5810" w:rsidRDefault="00FD3C56" w:rsidP="00AC5810">
            <w:pPr>
              <w:pStyle w:val="ListParagraph"/>
              <w:ind w:left="0"/>
              <w:jc w:val="center"/>
              <w:rPr>
                <w:rFonts w:ascii="Arial Narrow" w:hAnsi="Arial Narrow"/>
                <w:sz w:val="20"/>
                <w:szCs w:val="20"/>
              </w:rPr>
            </w:pPr>
            <w:r w:rsidRPr="00AC5810">
              <w:rPr>
                <w:rFonts w:ascii="Arial Narrow" w:hAnsi="Arial Narrow"/>
                <w:sz w:val="20"/>
                <w:szCs w:val="20"/>
              </w:rPr>
              <w:sym w:font="Wingdings" w:char="F0FC"/>
            </w:r>
          </w:p>
        </w:tc>
        <w:tc>
          <w:tcPr>
            <w:tcW w:w="480" w:type="dxa"/>
          </w:tcPr>
          <w:p w:rsidR="00FD3C56" w:rsidRPr="00AC5810" w:rsidRDefault="00FD3C56" w:rsidP="00E868AF">
            <w:pPr>
              <w:pStyle w:val="ListParagraph"/>
              <w:ind w:left="0"/>
              <w:jc w:val="center"/>
              <w:rPr>
                <w:rFonts w:ascii="Arial Narrow" w:hAnsi="Arial Narrow"/>
                <w:sz w:val="20"/>
                <w:szCs w:val="20"/>
              </w:rPr>
            </w:pPr>
          </w:p>
        </w:tc>
      </w:tr>
    </w:tbl>
    <w:p w:rsidR="00B137DD" w:rsidRDefault="00B137DD" w:rsidP="00B137DD">
      <w:pPr>
        <w:pStyle w:val="Heading1"/>
      </w:pPr>
      <w:bookmarkStart w:id="6" w:name="_Toc370716743"/>
      <w:r w:rsidRPr="00A077C0">
        <w:t>Meaningful Use Clinical Quality Measure Alignment by Number of Initiatives</w:t>
      </w:r>
      <w:bookmarkEnd w:id="6"/>
    </w:p>
    <w:p w:rsidR="00B137DD" w:rsidRPr="00427486" w:rsidRDefault="00B137DD" w:rsidP="00B137DD">
      <w:pPr>
        <w:pStyle w:val="BodyText"/>
      </w:pPr>
      <w:r w:rsidRPr="00A077C0">
        <w:t>Many clinical quality measures apply to more than one quality initiative. This table groups the 2014 Meaningful Use CQMs by the number of quality programs to which they apply.</w:t>
      </w:r>
    </w:p>
    <w:tbl>
      <w:tblPr>
        <w:tblStyle w:val="NLCTable"/>
        <w:tblW w:w="5000" w:type="pct"/>
        <w:tblLook w:val="0420" w:firstRow="1" w:lastRow="0" w:firstColumn="0" w:lastColumn="0" w:noHBand="0" w:noVBand="1"/>
        <w:tblCaption w:val="Alignment by Number of Initiatives Table"/>
      </w:tblPr>
      <w:tblGrid>
        <w:gridCol w:w="3300"/>
        <w:gridCol w:w="9776"/>
      </w:tblGrid>
      <w:tr w:rsidR="00FD3C56" w:rsidRPr="000013D9" w:rsidTr="0021073B">
        <w:trPr>
          <w:cnfStyle w:val="100000000000" w:firstRow="1" w:lastRow="0" w:firstColumn="0" w:lastColumn="0" w:oddVBand="0" w:evenVBand="0" w:oddHBand="0" w:evenHBand="0" w:firstRowFirstColumn="0" w:firstRowLastColumn="0" w:lastRowFirstColumn="0" w:lastRowLastColumn="0"/>
          <w:trHeight w:val="162"/>
        </w:trPr>
        <w:tc>
          <w:tcPr>
            <w:tcW w:w="5000" w:type="pct"/>
            <w:gridSpan w:val="2"/>
            <w:tcBorders>
              <w:bottom w:val="single" w:sz="4" w:space="0" w:color="auto"/>
            </w:tcBorders>
          </w:tcPr>
          <w:p w:rsidR="00FD3C56" w:rsidRPr="000013D9" w:rsidRDefault="00DB1C1C" w:rsidP="00AC5810">
            <w:pPr>
              <w:pStyle w:val="TableBullet"/>
              <w:numPr>
                <w:ilvl w:val="0"/>
                <w:numId w:val="0"/>
              </w:numPr>
              <w:rPr>
                <w:b/>
                <w:szCs w:val="20"/>
              </w:rPr>
            </w:pPr>
            <w:r w:rsidRPr="000013D9">
              <w:rPr>
                <w:b/>
                <w:szCs w:val="20"/>
              </w:rPr>
              <w:t>Alignment by Number of Init</w:t>
            </w:r>
            <w:r w:rsidR="00FD3C56" w:rsidRPr="000013D9">
              <w:rPr>
                <w:b/>
                <w:szCs w:val="20"/>
              </w:rPr>
              <w:t>i</w:t>
            </w:r>
            <w:r w:rsidRPr="000013D9">
              <w:rPr>
                <w:b/>
                <w:szCs w:val="20"/>
              </w:rPr>
              <w:t>ati</w:t>
            </w:r>
            <w:r w:rsidR="00FD3C56" w:rsidRPr="000013D9">
              <w:rPr>
                <w:b/>
                <w:szCs w:val="20"/>
              </w:rPr>
              <w:t>ves</w:t>
            </w:r>
          </w:p>
        </w:tc>
      </w:tr>
      <w:tr w:rsidR="00FD3C56" w:rsidRPr="000013D9" w:rsidTr="0021073B">
        <w:trPr>
          <w:trHeight w:val="162"/>
        </w:trPr>
        <w:tc>
          <w:tcPr>
            <w:tcW w:w="1262" w:type="pct"/>
            <w:shd w:val="clear" w:color="auto" w:fill="DAEEF3" w:themeFill="accent5" w:themeFillTint="33"/>
          </w:tcPr>
          <w:p w:rsidR="00FD3C56" w:rsidRPr="000013D9" w:rsidRDefault="00FD3C56" w:rsidP="00AC5810">
            <w:pPr>
              <w:pStyle w:val="TableBullet"/>
              <w:numPr>
                <w:ilvl w:val="0"/>
                <w:numId w:val="0"/>
              </w:numPr>
              <w:rPr>
                <w:b/>
                <w:szCs w:val="20"/>
              </w:rPr>
            </w:pPr>
            <w:r w:rsidRPr="000013D9">
              <w:rPr>
                <w:b/>
                <w:szCs w:val="20"/>
              </w:rPr>
              <w:t>Number of Programs</w:t>
            </w:r>
          </w:p>
        </w:tc>
        <w:tc>
          <w:tcPr>
            <w:tcW w:w="3738" w:type="pct"/>
            <w:shd w:val="clear" w:color="auto" w:fill="DAEEF3" w:themeFill="accent5" w:themeFillTint="33"/>
          </w:tcPr>
          <w:p w:rsidR="00FD3C56" w:rsidRPr="000013D9" w:rsidRDefault="00FD3C56" w:rsidP="00AC5810">
            <w:pPr>
              <w:pStyle w:val="TableBullet"/>
              <w:numPr>
                <w:ilvl w:val="0"/>
                <w:numId w:val="0"/>
              </w:numPr>
              <w:rPr>
                <w:b/>
                <w:szCs w:val="20"/>
              </w:rPr>
            </w:pPr>
            <w:r w:rsidRPr="000013D9">
              <w:rPr>
                <w:b/>
                <w:szCs w:val="20"/>
              </w:rPr>
              <w:t>Meaningful Use Stage 2/2014 CQM</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val="restart"/>
          </w:tcPr>
          <w:p w:rsidR="00FD3C56" w:rsidRPr="000013D9" w:rsidRDefault="00FD3C56" w:rsidP="00AC5810">
            <w:pPr>
              <w:jc w:val="center"/>
              <w:rPr>
                <w:rFonts w:ascii="Arial Narrow" w:hAnsi="Arial Narrow"/>
                <w:b/>
              </w:rPr>
            </w:pPr>
            <w:r w:rsidRPr="000013D9">
              <w:rPr>
                <w:rFonts w:ascii="Arial Narrow" w:hAnsi="Arial Narrow"/>
              </w:rPr>
              <w:t xml:space="preserve">Measures that apply to </w:t>
            </w:r>
            <w:r w:rsidRPr="000013D9">
              <w:rPr>
                <w:rFonts w:ascii="Arial Narrow" w:hAnsi="Arial Narrow"/>
                <w:b/>
                <w:u w:val="single"/>
              </w:rPr>
              <w:t>5 (five)</w:t>
            </w:r>
            <w:r w:rsidRPr="000013D9">
              <w:rPr>
                <w:rFonts w:ascii="Arial Narrow" w:hAnsi="Arial Narrow"/>
              </w:rPr>
              <w:t xml:space="preserve"> quality reporting initiatives</w:t>
            </w:r>
          </w:p>
        </w:tc>
        <w:tc>
          <w:tcPr>
            <w:tcW w:w="3738" w:type="pct"/>
          </w:tcPr>
          <w:p w:rsidR="00FD3C56" w:rsidRPr="002F5B21" w:rsidRDefault="00FD3C56" w:rsidP="002F5B21">
            <w:pPr>
              <w:pStyle w:val="TableText"/>
            </w:pPr>
            <w:r w:rsidRPr="002F5B21">
              <w:t>Controlling High Blood Pressure (NQF #0018) (CMS165v1)</w:t>
            </w:r>
          </w:p>
        </w:tc>
      </w:tr>
      <w:tr w:rsidR="00FD3C56" w:rsidRPr="000013D9" w:rsidTr="0021073B">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Diabetes: LDL Management &amp; Control (NQF# 0064) (CMS163v1)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val="restart"/>
          </w:tcPr>
          <w:p w:rsidR="00FD3C56" w:rsidRPr="000013D9" w:rsidRDefault="00FD3C56" w:rsidP="00AC5810">
            <w:pPr>
              <w:pStyle w:val="ListParagraph"/>
              <w:ind w:left="0"/>
              <w:jc w:val="center"/>
              <w:rPr>
                <w:rFonts w:ascii="Arial Narrow" w:hAnsi="Arial Narrow"/>
                <w:sz w:val="20"/>
                <w:szCs w:val="20"/>
              </w:rPr>
            </w:pPr>
            <w:r w:rsidRPr="000013D9">
              <w:rPr>
                <w:rFonts w:ascii="Arial Narrow" w:hAnsi="Arial Narrow"/>
                <w:sz w:val="20"/>
                <w:szCs w:val="20"/>
              </w:rPr>
              <w:t xml:space="preserve">Measures that apply to </w:t>
            </w:r>
            <w:r w:rsidRPr="000013D9">
              <w:rPr>
                <w:rFonts w:ascii="Arial Narrow" w:hAnsi="Arial Narrow"/>
                <w:b/>
                <w:sz w:val="20"/>
                <w:szCs w:val="20"/>
                <w:u w:val="single"/>
              </w:rPr>
              <w:t>4 (four)</w:t>
            </w:r>
            <w:r w:rsidRPr="000013D9">
              <w:rPr>
                <w:rFonts w:ascii="Arial Narrow" w:hAnsi="Arial Narrow"/>
                <w:sz w:val="20"/>
                <w:szCs w:val="20"/>
              </w:rPr>
              <w:t xml:space="preserve"> quality reporting initiatives</w:t>
            </w:r>
          </w:p>
        </w:tc>
        <w:tc>
          <w:tcPr>
            <w:tcW w:w="3738" w:type="pct"/>
          </w:tcPr>
          <w:p w:rsidR="00FD3C56" w:rsidRPr="002F5B21" w:rsidRDefault="00FD3C56" w:rsidP="002F5B21">
            <w:pPr>
              <w:pStyle w:val="TableText"/>
            </w:pPr>
            <w:r w:rsidRPr="002F5B21">
              <w:t>Breast Cancer Screening (NQF# 0031) (CMS125v1)</w:t>
            </w:r>
          </w:p>
        </w:tc>
      </w:tr>
      <w:tr w:rsidR="00FD3C56" w:rsidRPr="000013D9" w:rsidTr="0021073B">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Colorectal Cancer Screening (NQF# 0034) (CMS130v1)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 xml:space="preserve">Diabetes:  HbA1c Poor Control (NQF# 0059) (CMS122v1) </w:t>
            </w:r>
          </w:p>
        </w:tc>
      </w:tr>
      <w:tr w:rsidR="00FD3C56" w:rsidRPr="000013D9" w:rsidTr="0021073B">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Ischemic Vascular Disease (IVD): Complete Lipid Panel and LDL Control (NQF# 0075) (CMS182v1)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Ischemic Vascular Disease (IVD): Use of Aspirin or another Antithrombotic (NQF# 0068) (CMS164v1)</w:t>
            </w:r>
          </w:p>
        </w:tc>
      </w:tr>
      <w:tr w:rsidR="00FD3C56" w:rsidRPr="000013D9" w:rsidTr="0021073B">
        <w:trPr>
          <w:trHeight w:val="26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Preventive Care and Screening Measure Pair: a) Tobacco Use Assessment (NQF# 0028) (CMS138v1)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Preventive Care and Screening Measure Pair: b) Tobacco Cessation Intervention (NQF# 0028) (CMS138v1)</w:t>
            </w:r>
          </w:p>
        </w:tc>
      </w:tr>
      <w:tr w:rsidR="00FD3C56" w:rsidRPr="000013D9" w:rsidTr="0021073B">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Preventive Care and Screening: Influenza Immunization for Patients ≥ 50 Years Old (NQF# 0041) (CMS147v1)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val="restart"/>
          </w:tcPr>
          <w:p w:rsidR="00FD3C56" w:rsidRPr="000013D9" w:rsidRDefault="00FD3C56" w:rsidP="00AC5810">
            <w:pPr>
              <w:jc w:val="center"/>
              <w:rPr>
                <w:rFonts w:ascii="Arial Narrow" w:hAnsi="Arial Narrow"/>
              </w:rPr>
            </w:pPr>
            <w:r w:rsidRPr="000013D9">
              <w:rPr>
                <w:rFonts w:ascii="Arial Narrow" w:hAnsi="Arial Narrow"/>
              </w:rPr>
              <w:t xml:space="preserve">Measures that apply to </w:t>
            </w:r>
            <w:r w:rsidRPr="000013D9">
              <w:rPr>
                <w:rFonts w:ascii="Arial Narrow" w:hAnsi="Arial Narrow"/>
                <w:b/>
                <w:u w:val="single"/>
              </w:rPr>
              <w:t>3 (three)</w:t>
            </w:r>
            <w:r w:rsidRPr="000013D9">
              <w:rPr>
                <w:rFonts w:ascii="Arial Narrow" w:hAnsi="Arial Narrow"/>
              </w:rPr>
              <w:t xml:space="preserve"> quality reporting Initiatives</w:t>
            </w:r>
          </w:p>
        </w:tc>
        <w:tc>
          <w:tcPr>
            <w:tcW w:w="3738" w:type="pct"/>
          </w:tcPr>
          <w:p w:rsidR="00FD3C56" w:rsidRPr="002F5B21" w:rsidRDefault="00FD3C56" w:rsidP="002F5B21">
            <w:pPr>
              <w:pStyle w:val="TableText"/>
            </w:pPr>
            <w:r w:rsidRPr="002F5B21">
              <w:t>Adult Weight Screening and Follow-up (NQF# 0421) (CMS69v1)</w:t>
            </w:r>
          </w:p>
        </w:tc>
      </w:tr>
      <w:tr w:rsidR="00FD3C56" w:rsidRPr="000013D9" w:rsidTr="0021073B">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Appropriate Testing for Children with Pharyngitis (NQF# 0002) (CMSv146v1)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Childhood Immunization Status (NQF# 0038) (CMS117v1)</w:t>
            </w:r>
          </w:p>
        </w:tc>
      </w:tr>
      <w:tr w:rsidR="00FD3C56" w:rsidRPr="000013D9" w:rsidTr="0021073B">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Chlamydia Screening for Women (NQF# 0033) (CMS153V1)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ind w:left="17"/>
              <w:jc w:val="center"/>
              <w:rPr>
                <w:rFonts w:ascii="Arial Narrow" w:hAnsi="Arial Narrow"/>
              </w:rPr>
            </w:pPr>
          </w:p>
        </w:tc>
        <w:tc>
          <w:tcPr>
            <w:tcW w:w="3738" w:type="pct"/>
          </w:tcPr>
          <w:p w:rsidR="00FD3C56" w:rsidRPr="002F5B21" w:rsidRDefault="00FD3C56" w:rsidP="002F5B21">
            <w:pPr>
              <w:pStyle w:val="TableText"/>
            </w:pPr>
            <w:r w:rsidRPr="002F5B21">
              <w:t>Diabetes: Eye Exam (NQF# 0055) (CMS131v1)</w:t>
            </w:r>
          </w:p>
        </w:tc>
      </w:tr>
      <w:tr w:rsidR="00FD3C56" w:rsidRPr="000013D9" w:rsidTr="0021073B">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Diabetes: Urine Screening (NQF# 0062) (CMS134v1)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Heart Failure (HF): Beta-Blocker Therapy for Left Ventricular Systolic Dysfunction (LVSD) (NQF# 0083) (CMS144v1)</w:t>
            </w:r>
          </w:p>
        </w:tc>
      </w:tr>
      <w:tr w:rsidR="00FD3C56" w:rsidRPr="000013D9" w:rsidTr="0021073B">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Pneumonia Vaccination Status for Older Adults (NQF# 0043) (CMS127v1)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Preventive Care and Screening: Screening for Clinical Depression and Follow-Up Plan (NQF# 0418) (CMS2v2)</w:t>
            </w:r>
          </w:p>
        </w:tc>
      </w:tr>
      <w:tr w:rsidR="00FD3C56" w:rsidRPr="000013D9" w:rsidTr="0021073B">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Preventive Care and Screening: Screening for High Blood Pressure and Follow-Up Documented (NQF# TBD) (CMS22v1)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jc w:val="center"/>
              <w:rPr>
                <w:rFonts w:ascii="Arial Narrow" w:hAnsi="Arial Narrow"/>
              </w:rPr>
            </w:pPr>
          </w:p>
        </w:tc>
        <w:tc>
          <w:tcPr>
            <w:tcW w:w="3738" w:type="pct"/>
          </w:tcPr>
          <w:p w:rsidR="00FD3C56" w:rsidRPr="002F5B21" w:rsidRDefault="00FD3C56" w:rsidP="002F5B21">
            <w:pPr>
              <w:pStyle w:val="TableText"/>
            </w:pPr>
            <w:r w:rsidRPr="002F5B21">
              <w:t>Screening for Future Fall Risk (NQF# 0101) (CMS139v1)</w:t>
            </w:r>
          </w:p>
        </w:tc>
      </w:tr>
      <w:tr w:rsidR="00FD3C56" w:rsidRPr="000013D9" w:rsidTr="0021073B">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Use of High-Risk Medications in the Elderly (NQF# 0022) (CMS156v1)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Weight Assessment and Counseling for Children and Adolescents (NQF# 0024) (CMS155v1)</w:t>
            </w:r>
          </w:p>
        </w:tc>
      </w:tr>
      <w:tr w:rsidR="00FD3C56" w:rsidRPr="000013D9" w:rsidTr="0021073B">
        <w:tc>
          <w:tcPr>
            <w:tcW w:w="1262" w:type="pct"/>
            <w:vMerge w:val="restart"/>
          </w:tcPr>
          <w:p w:rsidR="00FD3C56" w:rsidRPr="000013D9" w:rsidRDefault="00FD3C56" w:rsidP="006D552C">
            <w:pPr>
              <w:pStyle w:val="ListParagraph"/>
              <w:keepNext/>
              <w:ind w:left="0"/>
              <w:jc w:val="center"/>
              <w:rPr>
                <w:rFonts w:ascii="Arial Narrow" w:hAnsi="Arial Narrow"/>
                <w:sz w:val="20"/>
                <w:szCs w:val="20"/>
              </w:rPr>
            </w:pPr>
            <w:r w:rsidRPr="000013D9">
              <w:rPr>
                <w:rFonts w:ascii="Arial Narrow" w:hAnsi="Arial Narrow"/>
                <w:sz w:val="20"/>
                <w:szCs w:val="20"/>
              </w:rPr>
              <w:t xml:space="preserve">Measures that apply to </w:t>
            </w:r>
            <w:r w:rsidRPr="000013D9">
              <w:rPr>
                <w:rFonts w:ascii="Arial Narrow" w:hAnsi="Arial Narrow"/>
                <w:b/>
                <w:sz w:val="20"/>
                <w:szCs w:val="20"/>
                <w:u w:val="single"/>
              </w:rPr>
              <w:t>2 (two)</w:t>
            </w:r>
            <w:r w:rsidRPr="000013D9">
              <w:rPr>
                <w:rFonts w:ascii="Arial Narrow" w:hAnsi="Arial Narrow"/>
                <w:sz w:val="20"/>
                <w:szCs w:val="20"/>
              </w:rPr>
              <w:t xml:space="preserve"> quality reporting initiatives</w:t>
            </w:r>
          </w:p>
        </w:tc>
        <w:tc>
          <w:tcPr>
            <w:tcW w:w="3738" w:type="pct"/>
          </w:tcPr>
          <w:p w:rsidR="00FD3C56" w:rsidRPr="002F5B21" w:rsidRDefault="00FD3C56" w:rsidP="006D552C">
            <w:pPr>
              <w:pStyle w:val="TableText"/>
              <w:keepNext/>
            </w:pPr>
            <w:r w:rsidRPr="002F5B21">
              <w:t>ADHD: Follow-Up Care for Children Prescribed Attention-Deficit/Hyperactivity Disorder (ADHD) Medication (NQF# 0108) (CMS136v2)</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Anti-Depressant Medication Management: (a) Effective Acute Phase Treatment, (b) Effective Continuation Phase Treatment (NQF# 0105) (CMS128v1)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Appropriate Treatment for Children with Upper Respiratory Infection (URI) (NQF# 0069) (CMS154v1)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Cataracts: 20/40 or Better Visual Acuity within 90 Days Following Cataract Surgery (NQF# 0565) (CMS133v1)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Cataracts: Complications within 30 Days Following Cataract Surgery Requiring Additional Surgical Procedures (NQF# 0564) ) (CMS132V1)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Cervical Cancer Screening (NQF# 0032) (CMS124v1)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Coronary Artery Disease (CAD): Beta-Blocker Therapy for CAD Patients with Prior Myocardial Infarction (MI) (NQF# 0070) (CMS145v1)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Dementia: Cognitive Assessment (NQF# TBD) (CMS149v1)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Depression Remission at 12 months (NQF# 0710)  (CMS159v1)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Diabetes: Foot Exam (NQF# 0056) (CMS123v1)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Diabetic Retinopathy: Communication with the Physician Managing Ongoing Diabetes Care (NQF# 0089) (CMS142V1)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Diabetic Retinopathy: Documentation of Presence or Absence of Macular Edema and Level of Severity of Retinopathy (NQF# 0088) (CMS167v1)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Documentation of Current Medications in the Medical Record (NQF# 0419) (CMS68v2)</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Heart Failure (HF) : Angiotensin-Converting Enzyme (ACE) Inhibitor or Angiotensin Receptor Blocker (ARB) Therapy for Left Ventricular Systolic Dysfunction (LVSD) (NQF# 0081) (CMS135v1)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 xml:space="preserve">Hemoglobin A1c Test for Pediatric Patients (NQF# 0060) (CMS148v1) </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 xml:space="preserve">HIV/AIDS: Pneumocystis </w:t>
            </w:r>
            <w:proofErr w:type="spellStart"/>
            <w:r w:rsidRPr="002F5B21">
              <w:t>jiroveci</w:t>
            </w:r>
            <w:proofErr w:type="spellEnd"/>
            <w:r w:rsidRPr="002F5B21">
              <w:t xml:space="preserve"> pneumonia (PCP) Prophylaxis (NQF# 0405) (CMS52v1)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HIV/AIDS: RNA control for patients with HIV (NQF# 0407)  (CMS77v1)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Hypertension: Improvement in blood pressure (NQF# TBD) (CMS65v2)</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Initiation and Engagement of Alcohol and Other Drug Dependence Treatment: (a) Initiation, (b) Engagement (NQF# 0004) (CMS137v1)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Low Back Pain: Use of Imaging Studies (NQF# 0052) (CMS166v2)</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Major Depressive Disorder (MDD): Suicide Risk Assessment (NQF# 0104) (CMS161v1)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Oncology Breast Cancer:  Hormonal Therapy for Stage IC-IIIC Estrogen Receptor/Progesterone Receptor (ER/PR) Positive Breast Cancer (NQF# 0387) ) (CMS140v1)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Oncology Colon Cancer:  Chemotherapy for Stage III Colon Cancer Patients (NQF# 0385) (CMS141v2)</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Oncology: Medical and Radiation - Pain Intensity Quantified (NQF# 0384) (CMS157v1)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Preventive Care and Screening: Cholesterol-Fasting Low Density Lipoprotein (LDL-C) Test Performed (NQF# TBD) (CMS61v2)</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Preventive Care and Screening: Risk-Stratified Cholesterol-Fasting Low Density Lipoprotein (LDL-C) Test Performed (NQF# TBD) (CMS64v2)</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Primary Open Angle Glaucoma (POAG): Optic Nerve Evaluation (NQF# 0086) (CMS143v1)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Prostate Cancer: Avoidance of Overuse of Bone Scan for Staging Low Risk Prostate Cancer Patients (NQF# 0389) ) (CMS129v2)</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Use of Appropriate Medications for Asthma (NQF# 0036) (CMS126v1)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Use of Imaging Studies for Low Back Pain (NQF# 0052) (CMS166v2)</w:t>
            </w:r>
          </w:p>
        </w:tc>
      </w:tr>
      <w:tr w:rsidR="00FD3C56" w:rsidRPr="000013D9" w:rsidTr="0021073B">
        <w:tc>
          <w:tcPr>
            <w:tcW w:w="1262" w:type="pct"/>
            <w:vMerge w:val="restart"/>
          </w:tcPr>
          <w:p w:rsidR="00FD3C56" w:rsidRPr="000013D9" w:rsidRDefault="00FD3C56" w:rsidP="006D552C">
            <w:pPr>
              <w:pStyle w:val="ListParagraph"/>
              <w:keepNext/>
              <w:ind w:left="0"/>
              <w:jc w:val="center"/>
              <w:rPr>
                <w:rFonts w:ascii="Arial Narrow" w:hAnsi="Arial Narrow"/>
                <w:sz w:val="20"/>
                <w:szCs w:val="20"/>
              </w:rPr>
            </w:pPr>
            <w:r w:rsidRPr="000013D9">
              <w:rPr>
                <w:rFonts w:ascii="Arial Narrow" w:hAnsi="Arial Narrow"/>
                <w:sz w:val="20"/>
                <w:szCs w:val="20"/>
              </w:rPr>
              <w:t xml:space="preserve">Measures that apply to </w:t>
            </w:r>
            <w:r w:rsidRPr="000013D9">
              <w:rPr>
                <w:rFonts w:ascii="Arial Narrow" w:hAnsi="Arial Narrow"/>
                <w:b/>
                <w:sz w:val="20"/>
                <w:szCs w:val="20"/>
                <w:u w:val="single"/>
              </w:rPr>
              <w:t>1 (one)</w:t>
            </w:r>
            <w:r w:rsidRPr="000013D9">
              <w:rPr>
                <w:rFonts w:ascii="Arial Narrow" w:hAnsi="Arial Narrow"/>
                <w:sz w:val="20"/>
                <w:szCs w:val="20"/>
              </w:rPr>
              <w:t xml:space="preserve"> quality reporting initiatives (EHR Incentive Program)</w:t>
            </w:r>
          </w:p>
        </w:tc>
        <w:tc>
          <w:tcPr>
            <w:tcW w:w="3738" w:type="pct"/>
          </w:tcPr>
          <w:p w:rsidR="00FD3C56" w:rsidRPr="002F5B21" w:rsidRDefault="00FD3C56" w:rsidP="006D552C">
            <w:pPr>
              <w:pStyle w:val="TableText"/>
              <w:keepNext/>
            </w:pPr>
            <w:r w:rsidRPr="002F5B21">
              <w:t>ADE Prevention and Monitoring: Warfarin Time in Therapeutic Range (NQF# TBD) (CMS179v1)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Bipolar Disorder and Major Depression: Appraisal For Alcohol or Chemical Substance Use (NQF# 0110) (CMS169v1)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Child and Adolescent Major Depressive Disorder: Suicide Risk Assessment (NQF# 1365) (CMS177v1)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Children Who Have Dental Decay or Cavities (NQF# 1419) (CMS74v2)</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Closing the referral loop: receipt of specialist report (NQF# TBD) (CMS75v1)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Depression Utilization of the PHQ-9 Tool (NQF# 0712) (CMS160v1)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Functional Status Assessment for Complex Chronic Conditions (NQF# TBD) (CMS90v2)</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Functional Status Assessment for Hip Replacement (NQF# TBD) (CMS56v1)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Functional Status Assessment for Knee Replacement (NQF# TBD) (CMS66v1)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HIV/AIDS: Medical Visit (NQF# 0403) (CMS62v1)</w:t>
            </w:r>
          </w:p>
        </w:tc>
      </w:tr>
      <w:tr w:rsidR="00FD3C56" w:rsidRPr="000013D9" w:rsidTr="0021073B">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Maternal Depression Screening (NQF #1401) (CMS82v1)</w:t>
            </w:r>
          </w:p>
        </w:tc>
      </w:tr>
      <w:tr w:rsidR="00FD3C56" w:rsidRPr="000013D9" w:rsidTr="0021073B">
        <w:trPr>
          <w:cnfStyle w:val="000000010000" w:firstRow="0" w:lastRow="0" w:firstColumn="0" w:lastColumn="0" w:oddVBand="0" w:evenVBand="0" w:oddHBand="0" w:evenHBand="1" w:firstRowFirstColumn="0" w:firstRowLastColumn="0" w:lastRowFirstColumn="0" w:lastRowLastColumn="0"/>
        </w:trPr>
        <w:tc>
          <w:tcPr>
            <w:tcW w:w="1262" w:type="pct"/>
            <w:vMerge/>
          </w:tcPr>
          <w:p w:rsidR="00FD3C56" w:rsidRPr="000013D9" w:rsidRDefault="00FD3C56" w:rsidP="006D552C">
            <w:pPr>
              <w:pStyle w:val="ListParagraph"/>
              <w:keepNext/>
              <w:ind w:left="0"/>
              <w:jc w:val="center"/>
              <w:rPr>
                <w:rFonts w:ascii="Arial Narrow" w:hAnsi="Arial Narrow"/>
                <w:sz w:val="20"/>
                <w:szCs w:val="20"/>
              </w:rPr>
            </w:pPr>
          </w:p>
        </w:tc>
        <w:tc>
          <w:tcPr>
            <w:tcW w:w="3738" w:type="pct"/>
          </w:tcPr>
          <w:p w:rsidR="00FD3C56" w:rsidRPr="002F5B21" w:rsidRDefault="00FD3C56" w:rsidP="006D552C">
            <w:pPr>
              <w:pStyle w:val="TableText"/>
              <w:keepNext/>
            </w:pPr>
            <w:r w:rsidRPr="002F5B21">
              <w:t xml:space="preserve">Pregnant Women that had </w:t>
            </w:r>
            <w:proofErr w:type="spellStart"/>
            <w:r w:rsidRPr="002F5B21">
              <w:t>HBsAg</w:t>
            </w:r>
            <w:proofErr w:type="spellEnd"/>
            <w:r w:rsidRPr="002F5B21">
              <w:t xml:space="preserve"> testing (NQF# 0608) (CMS158v1)</w:t>
            </w:r>
          </w:p>
        </w:tc>
      </w:tr>
      <w:tr w:rsidR="00FD3C56" w:rsidRPr="000013D9" w:rsidTr="0021073B">
        <w:trPr>
          <w:trHeight w:val="189"/>
        </w:trPr>
        <w:tc>
          <w:tcPr>
            <w:tcW w:w="1262" w:type="pct"/>
            <w:vMerge/>
          </w:tcPr>
          <w:p w:rsidR="00FD3C56" w:rsidRPr="000013D9" w:rsidRDefault="00FD3C56" w:rsidP="00AC5810">
            <w:pPr>
              <w:pStyle w:val="ListParagraph"/>
              <w:ind w:left="0"/>
              <w:jc w:val="center"/>
              <w:rPr>
                <w:rFonts w:ascii="Arial Narrow" w:hAnsi="Arial Narrow"/>
                <w:sz w:val="20"/>
                <w:szCs w:val="20"/>
              </w:rPr>
            </w:pPr>
          </w:p>
        </w:tc>
        <w:tc>
          <w:tcPr>
            <w:tcW w:w="3738" w:type="pct"/>
          </w:tcPr>
          <w:p w:rsidR="00FD3C56" w:rsidRPr="002F5B21" w:rsidRDefault="00FD3C56" w:rsidP="002F5B21">
            <w:pPr>
              <w:pStyle w:val="TableText"/>
            </w:pPr>
            <w:r w:rsidRPr="002F5B21">
              <w:t>Primary Caries Prevention Intervention as Offered by Primary Care Providers, including Dentists (NQF# 1419) (CMS74v2)</w:t>
            </w:r>
          </w:p>
        </w:tc>
      </w:tr>
    </w:tbl>
    <w:p w:rsidR="00B137DD" w:rsidRDefault="00B137DD" w:rsidP="006D552C">
      <w:pPr>
        <w:pStyle w:val="Heading1"/>
      </w:pPr>
      <w:bookmarkStart w:id="7" w:name="_Toc370716744"/>
      <w:r w:rsidRPr="00A077C0">
        <w:t>Reporting of Clinical Quality Measures</w:t>
      </w:r>
      <w:bookmarkEnd w:id="7"/>
    </w:p>
    <w:p w:rsidR="00B137DD" w:rsidRDefault="00B137DD" w:rsidP="006D552C">
      <w:pPr>
        <w:pStyle w:val="BodyText"/>
        <w:keepNext/>
      </w:pPr>
      <w:r>
        <w:t xml:space="preserve">To assess compliance with and monitor the progress of the varied initiatives, most programs require that the CQM outcomes be reported. In many initiatives, information may be collected and reported by various entities using combinations of different mechanisms, such as claims or surveys. The table below focuses on the role of the provider in reporting. </w:t>
      </w:r>
    </w:p>
    <w:p w:rsidR="00B137DD" w:rsidRDefault="00B137DD" w:rsidP="006D552C">
      <w:pPr>
        <w:pStyle w:val="BodyText"/>
        <w:keepNext/>
      </w:pPr>
      <w:r>
        <w:t>The table below indicates which providers or organizations are responsible for reporting CQM information, the source of CQM data, the mechanism by which providers report CQM information, and the initiative related purpose of such reporting. Although all clinical quality measurement initiatives aim to improve healthcare quality and outcomes, there are often specific incentives or goals associated with specific initiatives. Providers who are reporting CQMs for multiple initiatives will now – or soon be – making their measures ‘count’ multiple times, by measuring and reporting them only once</w:t>
      </w:r>
    </w:p>
    <w:tbl>
      <w:tblPr>
        <w:tblStyle w:val="NLCTable"/>
        <w:tblW w:w="5000" w:type="pct"/>
        <w:tblLook w:val="0420" w:firstRow="1" w:lastRow="0" w:firstColumn="0" w:lastColumn="0" w:noHBand="0" w:noVBand="1"/>
        <w:tblCaption w:val="Provider Reporting of Clinical Quality Measures Table"/>
      </w:tblPr>
      <w:tblGrid>
        <w:gridCol w:w="2616"/>
        <w:gridCol w:w="2615"/>
        <w:gridCol w:w="2615"/>
        <w:gridCol w:w="2615"/>
        <w:gridCol w:w="2615"/>
      </w:tblGrid>
      <w:tr w:rsidR="00D37A9F" w:rsidRPr="00D37A9F" w:rsidTr="0021073B">
        <w:trPr>
          <w:cnfStyle w:val="100000000000" w:firstRow="1" w:lastRow="0" w:firstColumn="0" w:lastColumn="0" w:oddVBand="0" w:evenVBand="0" w:oddHBand="0" w:evenHBand="0" w:firstRowFirstColumn="0" w:firstRowLastColumn="0" w:lastRowFirstColumn="0" w:lastRowLastColumn="0"/>
          <w:trHeight w:val="162"/>
        </w:trPr>
        <w:tc>
          <w:tcPr>
            <w:tcW w:w="5000" w:type="pct"/>
            <w:gridSpan w:val="5"/>
          </w:tcPr>
          <w:p w:rsidR="00D37A9F" w:rsidRPr="00DB1C1C" w:rsidRDefault="00D37A9F" w:rsidP="006D552C">
            <w:pPr>
              <w:pStyle w:val="TableHeading"/>
            </w:pPr>
            <w:r w:rsidRPr="00DB1C1C">
              <w:br w:type="page"/>
              <w:t>Provider Reporting of Clinical Quality Measures</w:t>
            </w:r>
          </w:p>
        </w:tc>
      </w:tr>
      <w:tr w:rsidR="0021073B" w:rsidRPr="006067B8" w:rsidTr="0021073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000" w:type="pct"/>
          </w:tcPr>
          <w:p w:rsidR="0021073B" w:rsidRPr="007E6777" w:rsidRDefault="0021073B" w:rsidP="00386902">
            <w:pPr>
              <w:pStyle w:val="TableSubheading"/>
            </w:pPr>
            <w:r w:rsidRPr="00DB1C1C">
              <w:t>Quality Initiative</w:t>
            </w:r>
          </w:p>
        </w:tc>
        <w:tc>
          <w:tcPr>
            <w:tcW w:w="1000" w:type="pct"/>
            <w:shd w:val="clear" w:color="auto" w:fill="DAEEF3" w:themeFill="accent5" w:themeFillTint="33"/>
          </w:tcPr>
          <w:p w:rsidR="0021073B" w:rsidRPr="006067B8" w:rsidRDefault="0021073B" w:rsidP="0021073B">
            <w:pPr>
              <w:pStyle w:val="TableSubheading"/>
              <w:cnfStyle w:val="000000000000" w:firstRow="0" w:lastRow="0" w:firstColumn="0" w:lastColumn="0" w:oddVBand="0" w:evenVBand="0" w:oddHBand="0" w:evenHBand="0" w:firstRowFirstColumn="0" w:firstRowLastColumn="0" w:lastRowFirstColumn="0" w:lastRowLastColumn="0"/>
            </w:pPr>
            <w:r w:rsidRPr="00DB1C1C">
              <w:t>Who Reports CQMs</w:t>
            </w:r>
          </w:p>
        </w:tc>
        <w:tc>
          <w:tcPr>
            <w:tcW w:w="1000" w:type="pct"/>
            <w:shd w:val="clear" w:color="auto" w:fill="DAEEF3" w:themeFill="accent5" w:themeFillTint="33"/>
          </w:tcPr>
          <w:p w:rsidR="0021073B" w:rsidRDefault="0021073B" w:rsidP="0021073B">
            <w:pPr>
              <w:pStyle w:val="TableSubheading"/>
              <w:cnfStyle w:val="000000000000" w:firstRow="0" w:lastRow="0" w:firstColumn="0" w:lastColumn="0" w:oddVBand="0" w:evenVBand="0" w:oddHBand="0" w:evenHBand="0" w:firstRowFirstColumn="0" w:firstRowLastColumn="0" w:lastRowFirstColumn="0" w:lastRowLastColumn="0"/>
            </w:pPr>
            <w:r w:rsidRPr="00DB1C1C">
              <w:t>Source  of Data</w:t>
            </w:r>
          </w:p>
        </w:tc>
        <w:tc>
          <w:tcPr>
            <w:tcW w:w="1000" w:type="pct"/>
            <w:shd w:val="clear" w:color="auto" w:fill="DAEEF3" w:themeFill="accent5" w:themeFillTint="33"/>
          </w:tcPr>
          <w:p w:rsidR="0021073B" w:rsidRPr="006067B8" w:rsidRDefault="0021073B" w:rsidP="0021073B">
            <w:pPr>
              <w:pStyle w:val="TableSubheading"/>
              <w:cnfStyle w:val="000000000000" w:firstRow="0" w:lastRow="0" w:firstColumn="0" w:lastColumn="0" w:oddVBand="0" w:evenVBand="0" w:oddHBand="0" w:evenHBand="0" w:firstRowFirstColumn="0" w:firstRowLastColumn="0" w:lastRowFirstColumn="0" w:lastRowLastColumn="0"/>
            </w:pPr>
            <w:r w:rsidRPr="00DB1C1C">
              <w:t>Provider Reporting Mechanism</w:t>
            </w:r>
          </w:p>
        </w:tc>
        <w:tc>
          <w:tcPr>
            <w:tcW w:w="1000" w:type="pct"/>
            <w:shd w:val="clear" w:color="auto" w:fill="DAEEF3" w:themeFill="accent5" w:themeFillTint="33"/>
          </w:tcPr>
          <w:p w:rsidR="0021073B" w:rsidRPr="006067B8" w:rsidRDefault="0021073B" w:rsidP="0021073B">
            <w:pPr>
              <w:pStyle w:val="TableSubheading"/>
              <w:cnfStyle w:val="000000000000" w:firstRow="0" w:lastRow="0" w:firstColumn="0" w:lastColumn="0" w:oddVBand="0" w:evenVBand="0" w:oddHBand="0" w:evenHBand="0" w:firstRowFirstColumn="0" w:firstRowLastColumn="0" w:lastRowFirstColumn="0" w:lastRowLastColumn="0"/>
            </w:pPr>
            <w:r w:rsidRPr="00DB1C1C">
              <w:t>Purpose of Reporting</w:t>
            </w:r>
          </w:p>
        </w:tc>
      </w:tr>
      <w:tr w:rsidR="0021073B" w:rsidRPr="00D37A9F" w:rsidTr="0021073B">
        <w:trPr>
          <w:cnfStyle w:val="000000010000" w:firstRow="0" w:lastRow="0" w:firstColumn="0" w:lastColumn="0" w:oddVBand="0" w:evenVBand="0" w:oddHBand="0" w:evenHBand="1" w:firstRowFirstColumn="0" w:firstRowLastColumn="0" w:lastRowFirstColumn="0" w:lastRowLastColumn="0"/>
        </w:trPr>
        <w:tc>
          <w:tcPr>
            <w:tcW w:w="1000" w:type="pct"/>
          </w:tcPr>
          <w:p w:rsidR="0021073B" w:rsidRPr="00D37A9F" w:rsidRDefault="0021073B" w:rsidP="006D552C">
            <w:pPr>
              <w:pStyle w:val="TableText"/>
              <w:keepNext/>
            </w:pPr>
            <w:r w:rsidRPr="00D37A9F">
              <w:t xml:space="preserve">EHR Incentive Program </w:t>
            </w:r>
          </w:p>
        </w:tc>
        <w:tc>
          <w:tcPr>
            <w:tcW w:w="1000" w:type="pct"/>
          </w:tcPr>
          <w:p w:rsidR="0021073B" w:rsidRPr="00D37A9F" w:rsidRDefault="0021073B" w:rsidP="006D552C">
            <w:pPr>
              <w:pStyle w:val="TableText"/>
              <w:keepNext/>
            </w:pPr>
            <w:r w:rsidRPr="00D37A9F">
              <w:t>Eligible providers</w:t>
            </w:r>
          </w:p>
        </w:tc>
        <w:tc>
          <w:tcPr>
            <w:tcW w:w="1000" w:type="pct"/>
          </w:tcPr>
          <w:p w:rsidR="0021073B" w:rsidRPr="00D37A9F" w:rsidRDefault="0021073B" w:rsidP="006D552C">
            <w:pPr>
              <w:pStyle w:val="TableText"/>
              <w:keepNext/>
            </w:pPr>
            <w:r w:rsidRPr="00D37A9F">
              <w:t>Electronic Medical Record</w:t>
            </w:r>
          </w:p>
        </w:tc>
        <w:tc>
          <w:tcPr>
            <w:tcW w:w="1000" w:type="pct"/>
          </w:tcPr>
          <w:p w:rsidR="0021073B" w:rsidRPr="00D37A9F" w:rsidRDefault="0021073B" w:rsidP="006D552C">
            <w:pPr>
              <w:pStyle w:val="TableText"/>
              <w:keepNext/>
            </w:pPr>
            <w:r w:rsidRPr="00D37A9F">
              <w:t>Attestation or Group Practice Reporting Option (GPRO)</w:t>
            </w:r>
          </w:p>
        </w:tc>
        <w:tc>
          <w:tcPr>
            <w:tcW w:w="1000" w:type="pct"/>
          </w:tcPr>
          <w:p w:rsidR="0021073B" w:rsidRPr="00D37A9F" w:rsidRDefault="0021073B" w:rsidP="006D552C">
            <w:pPr>
              <w:pStyle w:val="TableText"/>
              <w:keepNext/>
            </w:pPr>
            <w:r w:rsidRPr="00D37A9F">
              <w:t>Determine eligibility for EHR Incentive</w:t>
            </w:r>
          </w:p>
        </w:tc>
      </w:tr>
      <w:tr w:rsidR="0021073B" w:rsidRPr="00D37A9F" w:rsidTr="0021073B">
        <w:tc>
          <w:tcPr>
            <w:tcW w:w="1000" w:type="pct"/>
          </w:tcPr>
          <w:p w:rsidR="0021073B" w:rsidRPr="00D37A9F" w:rsidRDefault="0021073B" w:rsidP="006D552C">
            <w:pPr>
              <w:pStyle w:val="TableText"/>
              <w:keepNext/>
              <w:rPr>
                <w:szCs w:val="20"/>
              </w:rPr>
            </w:pPr>
            <w:r w:rsidRPr="00D37A9F">
              <w:rPr>
                <w:szCs w:val="20"/>
              </w:rPr>
              <w:t>Physician Quality Reporting System</w:t>
            </w:r>
          </w:p>
        </w:tc>
        <w:tc>
          <w:tcPr>
            <w:tcW w:w="1000" w:type="pct"/>
          </w:tcPr>
          <w:p w:rsidR="0021073B" w:rsidRPr="00D37A9F" w:rsidRDefault="0021073B" w:rsidP="006D552C">
            <w:pPr>
              <w:pStyle w:val="TableText"/>
              <w:keepNext/>
            </w:pPr>
            <w:r w:rsidRPr="00D37A9F">
              <w:t>Eligible Medicare physicians</w:t>
            </w:r>
          </w:p>
        </w:tc>
        <w:tc>
          <w:tcPr>
            <w:tcW w:w="1000" w:type="pct"/>
          </w:tcPr>
          <w:p w:rsidR="0021073B" w:rsidRPr="00D37A9F" w:rsidRDefault="0021073B" w:rsidP="006D552C">
            <w:pPr>
              <w:pStyle w:val="TableText"/>
              <w:keepNext/>
            </w:pPr>
            <w:r w:rsidRPr="00D37A9F">
              <w:t>Medical records</w:t>
            </w:r>
          </w:p>
        </w:tc>
        <w:tc>
          <w:tcPr>
            <w:tcW w:w="1000" w:type="pct"/>
          </w:tcPr>
          <w:p w:rsidR="0021073B" w:rsidRPr="00D37A9F" w:rsidRDefault="0021073B" w:rsidP="006D552C">
            <w:pPr>
              <w:pStyle w:val="TableText"/>
              <w:keepNext/>
            </w:pPr>
            <w:r w:rsidRPr="00D37A9F">
              <w:t>Group Practice Reporting Option (GPRO)</w:t>
            </w:r>
          </w:p>
        </w:tc>
        <w:tc>
          <w:tcPr>
            <w:tcW w:w="1000" w:type="pct"/>
          </w:tcPr>
          <w:p w:rsidR="0021073B" w:rsidRPr="00D37A9F" w:rsidRDefault="0021073B" w:rsidP="006D552C">
            <w:pPr>
              <w:pStyle w:val="TableText"/>
              <w:keepNext/>
            </w:pPr>
            <w:r w:rsidRPr="00D37A9F">
              <w:t>Determine eligibility for PQRS incentive payment</w:t>
            </w:r>
          </w:p>
        </w:tc>
      </w:tr>
      <w:tr w:rsidR="0021073B" w:rsidRPr="00D37A9F" w:rsidTr="0021073B">
        <w:trPr>
          <w:cnfStyle w:val="000000010000" w:firstRow="0" w:lastRow="0" w:firstColumn="0" w:lastColumn="0" w:oddVBand="0" w:evenVBand="0" w:oddHBand="0" w:evenHBand="1" w:firstRowFirstColumn="0" w:firstRowLastColumn="0" w:lastRowFirstColumn="0" w:lastRowLastColumn="0"/>
        </w:trPr>
        <w:tc>
          <w:tcPr>
            <w:tcW w:w="1000" w:type="pct"/>
          </w:tcPr>
          <w:p w:rsidR="0021073B" w:rsidRPr="00D37A9F" w:rsidRDefault="0021073B" w:rsidP="006D552C">
            <w:pPr>
              <w:pStyle w:val="TableText"/>
              <w:keepNext/>
              <w:rPr>
                <w:szCs w:val="20"/>
              </w:rPr>
            </w:pPr>
            <w:r w:rsidRPr="00D37A9F">
              <w:rPr>
                <w:szCs w:val="20"/>
              </w:rPr>
              <w:t>Accountable Care Organizations</w:t>
            </w:r>
            <w:r w:rsidRPr="00D37A9F">
              <w:rPr>
                <w:rStyle w:val="FootnoteReference"/>
                <w:szCs w:val="20"/>
              </w:rPr>
              <w:footnoteReference w:id="5"/>
            </w:r>
          </w:p>
        </w:tc>
        <w:tc>
          <w:tcPr>
            <w:tcW w:w="1000" w:type="pct"/>
          </w:tcPr>
          <w:p w:rsidR="0021073B" w:rsidRPr="00D37A9F" w:rsidRDefault="0021073B" w:rsidP="006D552C">
            <w:pPr>
              <w:pStyle w:val="TableText"/>
              <w:keepNext/>
              <w:rPr>
                <w:szCs w:val="20"/>
              </w:rPr>
            </w:pPr>
            <w:r w:rsidRPr="00D37A9F">
              <w:rPr>
                <w:szCs w:val="20"/>
              </w:rPr>
              <w:t>Medicare approved ACOs</w:t>
            </w:r>
          </w:p>
        </w:tc>
        <w:tc>
          <w:tcPr>
            <w:tcW w:w="1000" w:type="pct"/>
          </w:tcPr>
          <w:p w:rsidR="0021073B" w:rsidRPr="00D37A9F" w:rsidRDefault="0021073B" w:rsidP="006D552C">
            <w:pPr>
              <w:pStyle w:val="TableText"/>
              <w:keepNext/>
            </w:pPr>
            <w:r w:rsidRPr="00D37A9F">
              <w:t>Medical records, surveys, &amp; claims</w:t>
            </w:r>
          </w:p>
        </w:tc>
        <w:tc>
          <w:tcPr>
            <w:tcW w:w="1000" w:type="pct"/>
          </w:tcPr>
          <w:p w:rsidR="0021073B" w:rsidRPr="00D37A9F" w:rsidRDefault="0021073B" w:rsidP="006D552C">
            <w:pPr>
              <w:pStyle w:val="TableText"/>
              <w:keepNext/>
            </w:pPr>
            <w:r w:rsidRPr="00D37A9F">
              <w:t>Group Practice Reporting Option (GPRO)</w:t>
            </w:r>
          </w:p>
        </w:tc>
        <w:tc>
          <w:tcPr>
            <w:tcW w:w="1000" w:type="pct"/>
          </w:tcPr>
          <w:p w:rsidR="0021073B" w:rsidRPr="00D37A9F" w:rsidRDefault="0021073B" w:rsidP="006D552C">
            <w:pPr>
              <w:pStyle w:val="TableText"/>
              <w:keepNext/>
            </w:pPr>
            <w:r w:rsidRPr="00D37A9F">
              <w:t>Determine eligibility to share in savings</w:t>
            </w:r>
          </w:p>
        </w:tc>
      </w:tr>
      <w:tr w:rsidR="0021073B" w:rsidRPr="00D37A9F" w:rsidTr="0021073B">
        <w:tc>
          <w:tcPr>
            <w:tcW w:w="1000" w:type="pct"/>
          </w:tcPr>
          <w:p w:rsidR="0021073B" w:rsidRPr="00D37A9F" w:rsidRDefault="0021073B" w:rsidP="006D552C">
            <w:pPr>
              <w:pStyle w:val="TableText"/>
              <w:keepNext/>
            </w:pPr>
            <w:r w:rsidRPr="00D37A9F">
              <w:t>Million Hearts Campaign</w:t>
            </w:r>
          </w:p>
        </w:tc>
        <w:tc>
          <w:tcPr>
            <w:tcW w:w="1000" w:type="pct"/>
          </w:tcPr>
          <w:p w:rsidR="0021073B" w:rsidRPr="00D37A9F" w:rsidRDefault="0021073B" w:rsidP="006D552C">
            <w:pPr>
              <w:pStyle w:val="TableText"/>
              <w:keepNext/>
              <w:rPr>
                <w:szCs w:val="20"/>
              </w:rPr>
            </w:pPr>
            <w:r w:rsidRPr="00D37A9F">
              <w:rPr>
                <w:szCs w:val="20"/>
              </w:rPr>
              <w:t>Provider volunteers</w:t>
            </w:r>
          </w:p>
        </w:tc>
        <w:tc>
          <w:tcPr>
            <w:tcW w:w="1000" w:type="pct"/>
          </w:tcPr>
          <w:p w:rsidR="0021073B" w:rsidRPr="00D37A9F" w:rsidRDefault="0021073B" w:rsidP="006D552C">
            <w:pPr>
              <w:pStyle w:val="TableText"/>
              <w:keepNext/>
            </w:pPr>
            <w:r w:rsidRPr="00D37A9F">
              <w:t>Provider determined</w:t>
            </w:r>
          </w:p>
        </w:tc>
        <w:tc>
          <w:tcPr>
            <w:tcW w:w="1000" w:type="pct"/>
          </w:tcPr>
          <w:p w:rsidR="0021073B" w:rsidRPr="00D37A9F" w:rsidRDefault="0021073B" w:rsidP="006D552C">
            <w:pPr>
              <w:pStyle w:val="TableText"/>
              <w:keepNext/>
            </w:pPr>
            <w:r w:rsidRPr="00D37A9F">
              <w:t>Optional</w:t>
            </w:r>
            <w:r w:rsidRPr="00D37A9F">
              <w:rPr>
                <w:rStyle w:val="FootnoteReference"/>
              </w:rPr>
              <w:footnoteReference w:id="6"/>
            </w:r>
          </w:p>
        </w:tc>
        <w:tc>
          <w:tcPr>
            <w:tcW w:w="1000" w:type="pct"/>
          </w:tcPr>
          <w:p w:rsidR="0021073B" w:rsidRPr="00D37A9F" w:rsidRDefault="0021073B" w:rsidP="006D552C">
            <w:pPr>
              <w:pStyle w:val="TableText"/>
              <w:keepNext/>
            </w:pPr>
            <w:r w:rsidRPr="00D37A9F">
              <w:t>Prevent cardiac related deaths</w:t>
            </w:r>
          </w:p>
        </w:tc>
      </w:tr>
      <w:tr w:rsidR="0021073B" w:rsidRPr="00D37A9F" w:rsidTr="0021073B">
        <w:trPr>
          <w:cnfStyle w:val="000000010000" w:firstRow="0" w:lastRow="0" w:firstColumn="0" w:lastColumn="0" w:oddVBand="0" w:evenVBand="0" w:oddHBand="0" w:evenHBand="1" w:firstRowFirstColumn="0" w:firstRowLastColumn="0" w:lastRowFirstColumn="0" w:lastRowLastColumn="0"/>
        </w:trPr>
        <w:tc>
          <w:tcPr>
            <w:tcW w:w="1000" w:type="pct"/>
          </w:tcPr>
          <w:p w:rsidR="0021073B" w:rsidRPr="00D37A9F" w:rsidRDefault="0021073B" w:rsidP="006D552C">
            <w:pPr>
              <w:pStyle w:val="TableText"/>
              <w:keepNext/>
              <w:rPr>
                <w:szCs w:val="20"/>
              </w:rPr>
            </w:pPr>
            <w:r w:rsidRPr="00D37A9F">
              <w:rPr>
                <w:szCs w:val="20"/>
              </w:rPr>
              <w:t>Children’s Health Insurance Program</w:t>
            </w:r>
          </w:p>
        </w:tc>
        <w:tc>
          <w:tcPr>
            <w:tcW w:w="1000" w:type="pct"/>
          </w:tcPr>
          <w:p w:rsidR="0021073B" w:rsidRPr="00D37A9F" w:rsidRDefault="0021073B" w:rsidP="006D552C">
            <w:pPr>
              <w:pStyle w:val="TableText"/>
              <w:keepNext/>
              <w:rPr>
                <w:szCs w:val="20"/>
              </w:rPr>
            </w:pPr>
            <w:r w:rsidRPr="00D37A9F">
              <w:rPr>
                <w:szCs w:val="20"/>
              </w:rPr>
              <w:t>Medicaid &amp; CHIP agencies</w:t>
            </w:r>
          </w:p>
        </w:tc>
        <w:tc>
          <w:tcPr>
            <w:tcW w:w="1000" w:type="pct"/>
          </w:tcPr>
          <w:p w:rsidR="0021073B" w:rsidRPr="00D37A9F" w:rsidRDefault="0021073B" w:rsidP="006D552C">
            <w:pPr>
              <w:pStyle w:val="TableText"/>
              <w:keepNext/>
            </w:pPr>
            <w:r w:rsidRPr="00D37A9F">
              <w:t>Claims</w:t>
            </w:r>
          </w:p>
        </w:tc>
        <w:tc>
          <w:tcPr>
            <w:tcW w:w="1000" w:type="pct"/>
          </w:tcPr>
          <w:p w:rsidR="0021073B" w:rsidRPr="00D37A9F" w:rsidRDefault="0021073B" w:rsidP="006D552C">
            <w:pPr>
              <w:pStyle w:val="TableText"/>
              <w:keepNext/>
            </w:pPr>
            <w:r w:rsidRPr="00D37A9F">
              <w:t>N/A - State reported</w:t>
            </w:r>
          </w:p>
        </w:tc>
        <w:tc>
          <w:tcPr>
            <w:tcW w:w="1000" w:type="pct"/>
          </w:tcPr>
          <w:p w:rsidR="0021073B" w:rsidRPr="00D37A9F" w:rsidRDefault="0021073B" w:rsidP="006D552C">
            <w:pPr>
              <w:pStyle w:val="TableText"/>
              <w:keepNext/>
            </w:pPr>
            <w:r w:rsidRPr="00D37A9F">
              <w:t>Monitor and improve quality for Medicaid &amp; CHIP beneficiaries</w:t>
            </w:r>
          </w:p>
        </w:tc>
      </w:tr>
      <w:tr w:rsidR="0021073B" w:rsidRPr="00D37A9F" w:rsidTr="0021073B">
        <w:tc>
          <w:tcPr>
            <w:tcW w:w="1000" w:type="pct"/>
          </w:tcPr>
          <w:p w:rsidR="0021073B" w:rsidRPr="00D37A9F" w:rsidRDefault="0021073B" w:rsidP="006D552C">
            <w:pPr>
              <w:pStyle w:val="TableText"/>
              <w:keepNext/>
              <w:rPr>
                <w:szCs w:val="20"/>
              </w:rPr>
            </w:pPr>
            <w:r w:rsidRPr="00D37A9F">
              <w:rPr>
                <w:szCs w:val="20"/>
              </w:rPr>
              <w:t>Medicare Advantage</w:t>
            </w:r>
          </w:p>
        </w:tc>
        <w:tc>
          <w:tcPr>
            <w:tcW w:w="1000" w:type="pct"/>
          </w:tcPr>
          <w:p w:rsidR="0021073B" w:rsidRPr="00D37A9F" w:rsidRDefault="0021073B" w:rsidP="006D552C">
            <w:pPr>
              <w:pStyle w:val="TableText"/>
              <w:keepNext/>
              <w:rPr>
                <w:szCs w:val="20"/>
              </w:rPr>
            </w:pPr>
            <w:r w:rsidRPr="00D37A9F">
              <w:rPr>
                <w:szCs w:val="20"/>
              </w:rPr>
              <w:t>Part C Medicare Health Plans</w:t>
            </w:r>
          </w:p>
        </w:tc>
        <w:tc>
          <w:tcPr>
            <w:tcW w:w="1000" w:type="pct"/>
          </w:tcPr>
          <w:p w:rsidR="0021073B" w:rsidRPr="00D37A9F" w:rsidRDefault="0021073B" w:rsidP="006D552C">
            <w:pPr>
              <w:pStyle w:val="TableText"/>
              <w:keepNext/>
            </w:pPr>
            <w:r w:rsidRPr="00D37A9F">
              <w:t>Medical records, surveys, &amp; claims</w:t>
            </w:r>
          </w:p>
        </w:tc>
        <w:tc>
          <w:tcPr>
            <w:tcW w:w="1000" w:type="pct"/>
          </w:tcPr>
          <w:p w:rsidR="0021073B" w:rsidRPr="00D37A9F" w:rsidRDefault="0021073B" w:rsidP="006D552C">
            <w:pPr>
              <w:pStyle w:val="TableText"/>
              <w:keepNext/>
            </w:pPr>
            <w:r w:rsidRPr="00D37A9F">
              <w:t>Determined by health plan where applicable</w:t>
            </w:r>
          </w:p>
        </w:tc>
        <w:tc>
          <w:tcPr>
            <w:tcW w:w="1000" w:type="pct"/>
          </w:tcPr>
          <w:p w:rsidR="0021073B" w:rsidRPr="00D37A9F" w:rsidRDefault="0021073B" w:rsidP="006D552C">
            <w:pPr>
              <w:pStyle w:val="TableText"/>
              <w:keepNext/>
              <w:rPr>
                <w:szCs w:val="20"/>
              </w:rPr>
            </w:pPr>
            <w:r w:rsidRPr="00D37A9F">
              <w:rPr>
                <w:szCs w:val="20"/>
              </w:rPr>
              <w:t>Provide publicly available quality ratings for Medicare Advantage Plans</w:t>
            </w:r>
          </w:p>
        </w:tc>
      </w:tr>
    </w:tbl>
    <w:p w:rsidR="00B137DD" w:rsidRDefault="00B137DD" w:rsidP="008C13A0">
      <w:pPr>
        <w:pStyle w:val="BodyText"/>
      </w:pPr>
    </w:p>
    <w:bookmarkEnd w:id="2"/>
    <w:bookmarkEnd w:id="3"/>
    <w:bookmarkEnd w:id="4"/>
    <w:p w:rsidR="00B137DD" w:rsidRDefault="00B137DD" w:rsidP="008C13A0">
      <w:pPr>
        <w:pStyle w:val="BodyText"/>
      </w:pPr>
    </w:p>
    <w:sectPr w:rsidR="00B137DD" w:rsidSect="006D552C">
      <w:pgSz w:w="15840" w:h="12240" w:orient="landscape"/>
      <w:pgMar w:top="180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341" w:rsidRDefault="00AA3341" w:rsidP="00B76348">
      <w:r>
        <w:separator/>
      </w:r>
    </w:p>
  </w:endnote>
  <w:endnote w:type="continuationSeparator" w:id="0">
    <w:p w:rsidR="00AA3341" w:rsidRDefault="00AA3341"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entury">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1" w:rsidRDefault="002F5B21"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5B21" w:rsidRDefault="002F5B21" w:rsidP="002A2A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1" w:rsidRPr="00206554" w:rsidRDefault="002F5B21" w:rsidP="002A2A86">
    <w:pPr>
      <w:tabs>
        <w:tab w:val="left" w:pos="2987"/>
        <w:tab w:val="right" w:pos="9000"/>
      </w:tabs>
      <w:ind w:right="360"/>
      <w:rPr>
        <w:sz w:val="14"/>
        <w:szCs w:val="14"/>
      </w:rPr>
    </w:pPr>
  </w:p>
  <w:p w:rsidR="002F5B21" w:rsidRDefault="002F5B21"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October 31, 2013 • Version 1.0</w:t>
    </w:r>
  </w:p>
  <w:p w:rsidR="002F5B21" w:rsidRPr="002A2A86" w:rsidRDefault="002F5B21"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AA3851">
      <w:rPr>
        <w:rStyle w:val="PageNumber"/>
        <w:noProof/>
        <w:color w:val="808080" w:themeColor="background1" w:themeShade="80"/>
        <w:sz w:val="14"/>
        <w:szCs w:val="14"/>
      </w:rPr>
      <w:t>i</w:t>
    </w:r>
    <w:r w:rsidRPr="002A2A86">
      <w:rPr>
        <w:rStyle w:val="PageNumber"/>
        <w:color w:val="808080" w:themeColor="background1" w:themeShade="80"/>
        <w:sz w:val="14"/>
        <w:szCs w:val="14"/>
      </w:rPr>
      <w:fldChar w:fldCharType="end"/>
    </w:r>
  </w:p>
  <w:p w:rsidR="002F5B21" w:rsidRDefault="002F5B2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1" w:rsidRDefault="002F5B21"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October 31, 2013 • Version 1.0</w:t>
    </w:r>
  </w:p>
  <w:p w:rsidR="002F5B21" w:rsidRPr="002A2A86" w:rsidRDefault="002F5B21" w:rsidP="002B13A5">
    <w:pPr>
      <w:pStyle w:val="Footer"/>
      <w:framePr w:w="9301" w:h="187" w:hRule="exact" w:wrap="around" w:vAnchor="text" w:hAnchor="page" w:x="1606" w:y="1"/>
      <w:rPr>
        <w:rStyle w:val="PageNumber"/>
        <w:color w:val="808080" w:themeColor="background1" w:themeShade="80"/>
        <w:sz w:val="14"/>
        <w:szCs w:val="14"/>
      </w:rPr>
    </w:pPr>
  </w:p>
  <w:p w:rsidR="002F5B21" w:rsidRDefault="002F5B21">
    <w:pPr>
      <w:pStyle w:val="Footer"/>
    </w:pPr>
    <w:r w:rsidRPr="00B62E53">
      <w:rPr>
        <w:noProof/>
        <w:sz w:val="14"/>
        <w:szCs w:val="14"/>
      </w:rPr>
      <w:drawing>
        <wp:anchor distT="0" distB="0" distL="114300" distR="114300" simplePos="0" relativeHeight="251674624" behindDoc="1" locked="0" layoutInCell="1" allowOverlap="1" wp14:anchorId="5D277BC8" wp14:editId="7606B6AF">
          <wp:simplePos x="0" y="0"/>
          <wp:positionH relativeFrom="column">
            <wp:posOffset>-914400</wp:posOffset>
          </wp:positionH>
          <wp:positionV relativeFrom="paragraph">
            <wp:posOffset>-854710</wp:posOffset>
          </wp:positionV>
          <wp:extent cx="7772400" cy="1358900"/>
          <wp:effectExtent l="0" t="0" r="0" b="0"/>
          <wp:wrapNone/>
          <wp:docPr id="10"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341" w:rsidRDefault="00AA3341" w:rsidP="00B76348">
      <w:r>
        <w:separator/>
      </w:r>
    </w:p>
  </w:footnote>
  <w:footnote w:type="continuationSeparator" w:id="0">
    <w:p w:rsidR="00AA3341" w:rsidRDefault="00AA3341" w:rsidP="00B76348">
      <w:r>
        <w:continuationSeparator/>
      </w:r>
    </w:p>
  </w:footnote>
  <w:footnote w:id="1">
    <w:p w:rsidR="002F5B21" w:rsidRDefault="002F5B21" w:rsidP="00FD3C56">
      <w:pPr>
        <w:pStyle w:val="FootnoteText"/>
      </w:pPr>
      <w:r>
        <w:rPr>
          <w:rStyle w:val="FootnoteReference"/>
        </w:rPr>
        <w:footnoteRef/>
      </w:r>
      <w:r>
        <w:t xml:space="preserve"> </w:t>
      </w:r>
      <w:hyperlink r:id="rId1" w:history="1">
        <w:r w:rsidRPr="00492B92">
          <w:rPr>
            <w:rStyle w:val="Hyperlink"/>
            <w:rFonts w:eastAsiaTheme="majorEastAsia"/>
          </w:rPr>
          <w:t>http://www.cms.gov/apps/ama/license.asp?file=/PQRS/downloads/2013_PQRS_MeasuresList_ImplementationGuide_12192012.zip</w:t>
        </w:r>
      </w:hyperlink>
      <w:r>
        <w:t xml:space="preserve"> </w:t>
      </w:r>
    </w:p>
  </w:footnote>
  <w:footnote w:id="2">
    <w:p w:rsidR="002F5B21" w:rsidRDefault="002F5B21" w:rsidP="00FD3C56">
      <w:pPr>
        <w:pStyle w:val="FootnoteText"/>
        <w:tabs>
          <w:tab w:val="left" w:pos="2703"/>
        </w:tabs>
      </w:pPr>
      <w:r>
        <w:rPr>
          <w:rStyle w:val="FootnoteReference"/>
        </w:rPr>
        <w:footnoteRef/>
      </w:r>
      <w:r>
        <w:t xml:space="preserve"> </w:t>
      </w:r>
      <w:hyperlink r:id="rId2" w:history="1">
        <w:r w:rsidRPr="00492B92">
          <w:rPr>
            <w:rStyle w:val="Hyperlink"/>
            <w:rFonts w:eastAsiaTheme="majorEastAsia"/>
          </w:rPr>
          <w:t>http://www.cms.gov/Medicare/Medicare-Fee-for-Service-Payment/sharedsavingsprogram/Downloads/ACO-NarrativeMeasures-Specs.pdf</w:t>
        </w:r>
      </w:hyperlink>
      <w:r>
        <w:t xml:space="preserve"> </w:t>
      </w:r>
    </w:p>
  </w:footnote>
  <w:footnote w:id="3">
    <w:p w:rsidR="002F5B21" w:rsidRDefault="002F5B21" w:rsidP="00FD3C56">
      <w:pPr>
        <w:pStyle w:val="FootnoteText"/>
      </w:pPr>
      <w:r>
        <w:rPr>
          <w:rStyle w:val="FootnoteReference"/>
        </w:rPr>
        <w:footnoteRef/>
      </w:r>
      <w:r>
        <w:t xml:space="preserve"> </w:t>
      </w:r>
      <w:hyperlink r:id="rId3" w:history="1">
        <w:r w:rsidRPr="00492B92">
          <w:rPr>
            <w:rStyle w:val="Hyperlink"/>
            <w:rFonts w:eastAsiaTheme="majorEastAsia"/>
          </w:rPr>
          <w:t>http://millionhearts.hhs.gov/docs/Field_Engagement_Opportunities.pdf</w:t>
        </w:r>
      </w:hyperlink>
      <w:r>
        <w:t xml:space="preserve"> </w:t>
      </w:r>
    </w:p>
  </w:footnote>
  <w:footnote w:id="4">
    <w:p w:rsidR="002F5B21" w:rsidRDefault="002F5B21" w:rsidP="00FD3C56">
      <w:pPr>
        <w:pStyle w:val="FootnoteText"/>
      </w:pPr>
      <w:r>
        <w:rPr>
          <w:rStyle w:val="FootnoteReference"/>
        </w:rPr>
        <w:footnoteRef/>
      </w:r>
      <w:r>
        <w:t xml:space="preserve"> </w:t>
      </w:r>
      <w:hyperlink r:id="rId4" w:history="1">
        <w:r w:rsidRPr="002D154A">
          <w:rPr>
            <w:rStyle w:val="Hyperlink"/>
            <w:rFonts w:eastAsiaTheme="majorEastAsia"/>
          </w:rPr>
          <w:t>http://www.medicaid.gov/Federal-Policy-Guidance/downloads/SHO-13-002.pdf</w:t>
        </w:r>
      </w:hyperlink>
    </w:p>
  </w:footnote>
  <w:footnote w:id="5">
    <w:p w:rsidR="0021073B" w:rsidRDefault="0021073B" w:rsidP="00D37A9F">
      <w:pPr>
        <w:pStyle w:val="FootnoteText"/>
      </w:pPr>
      <w:r>
        <w:rPr>
          <w:rStyle w:val="FootnoteReference"/>
        </w:rPr>
        <w:footnoteRef/>
      </w:r>
      <w:r>
        <w:t xml:space="preserve"> The ACO program reports on survey, claims, and medical record based measures. Individual ACOs are directly responsible only for reporting on medical record based measures using GPRO.</w:t>
      </w:r>
    </w:p>
  </w:footnote>
  <w:footnote w:id="6">
    <w:p w:rsidR="0021073B" w:rsidRDefault="0021073B" w:rsidP="00D37A9F">
      <w:pPr>
        <w:pStyle w:val="FootnoteText"/>
      </w:pPr>
      <w:r>
        <w:rPr>
          <w:rStyle w:val="FootnoteReference"/>
        </w:rPr>
        <w:footnoteRef/>
      </w:r>
      <w:r>
        <w:t xml:space="preserve"> Million Hearts is a voluntary program, including whether or not a provider reports on the associated quality measures.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1" w:rsidRDefault="002F5B21" w:rsidP="007A09A6">
    <w:pPr>
      <w:pStyle w:val="Header"/>
      <w:jc w:val="right"/>
    </w:pPr>
    <w:r>
      <w:rPr>
        <w:noProof/>
      </w:rPr>
      <w:drawing>
        <wp:anchor distT="0" distB="0" distL="114300" distR="114300" simplePos="0" relativeHeight="251660288" behindDoc="0" locked="0" layoutInCell="1" allowOverlap="1" wp14:anchorId="76DEC2CD" wp14:editId="5AE430BA">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3" name="Picture 3"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1" w:rsidRDefault="002F5B21">
    <w:pPr>
      <w:pStyle w:val="Header"/>
    </w:pPr>
    <w:r>
      <w:rPr>
        <w:noProof/>
      </w:rPr>
      <w:drawing>
        <wp:anchor distT="0" distB="0" distL="114300" distR="114300" simplePos="0" relativeHeight="251676672" behindDoc="0" locked="0" layoutInCell="1" allowOverlap="1" wp14:anchorId="5EE6258E" wp14:editId="13AA53BF">
          <wp:simplePos x="0" y="0"/>
          <wp:positionH relativeFrom="column">
            <wp:posOffset>-190500</wp:posOffset>
          </wp:positionH>
          <wp:positionV relativeFrom="paragraph">
            <wp:posOffset>342900</wp:posOffset>
          </wp:positionV>
          <wp:extent cx="1511300" cy="1283940"/>
          <wp:effectExtent l="0" t="0" r="0" b="0"/>
          <wp:wrapNone/>
          <wp:docPr id="5" name="Picture 5"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2D97839F" wp14:editId="35154C38">
          <wp:simplePos x="0" y="0"/>
          <wp:positionH relativeFrom="column">
            <wp:posOffset>-914400</wp:posOffset>
          </wp:positionH>
          <wp:positionV relativeFrom="paragraph">
            <wp:posOffset>0</wp:posOffset>
          </wp:positionV>
          <wp:extent cx="8077200" cy="3520440"/>
          <wp:effectExtent l="0" t="0" r="0" b="3810"/>
          <wp:wrapNone/>
          <wp:docPr id="6" name="Picture 6"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B21" w:rsidRDefault="00A67E87" w:rsidP="0008331E">
    <w:pPr>
      <w:pStyle w:val="Header"/>
      <w:tabs>
        <w:tab w:val="clear" w:pos="9360"/>
        <w:tab w:val="right" w:pos="10080"/>
      </w:tabs>
      <w:ind w:right="-720"/>
      <w:jc w:val="right"/>
    </w:pPr>
    <w:r>
      <w:rPr>
        <w:b/>
        <w:noProof/>
        <w:color w:val="0070C0"/>
      </w:rPr>
      <w:drawing>
        <wp:anchor distT="0" distB="0" distL="114300" distR="114300" simplePos="0" relativeHeight="251678720" behindDoc="0" locked="0" layoutInCell="1" allowOverlap="1" wp14:anchorId="554CA8B7" wp14:editId="64541E2A">
          <wp:simplePos x="0" y="0"/>
          <wp:positionH relativeFrom="column">
            <wp:posOffset>-6350</wp:posOffset>
          </wp:positionH>
          <wp:positionV relativeFrom="paragraph">
            <wp:posOffset>-161925</wp:posOffset>
          </wp:positionV>
          <wp:extent cx="1216025" cy="685800"/>
          <wp:effectExtent l="0" t="0" r="3175" b="0"/>
          <wp:wrapTopAndBottom/>
          <wp:docPr id="8" name="Picture 8" title="Implementation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tep5.png"/>
                  <pic:cNvPicPr/>
                </pic:nvPicPr>
                <pic:blipFill rotWithShape="1">
                  <a:blip r:embed="rId1">
                    <a:extLst>
                      <a:ext uri="{28A0092B-C50C-407E-A947-70E740481C1C}">
                        <a14:useLocalDpi xmlns:a14="http://schemas.microsoft.com/office/drawing/2010/main" val="0"/>
                      </a:ext>
                    </a:extLst>
                  </a:blip>
                  <a:srcRect l="6892" t="11622" r="12484" b="11622"/>
                  <a:stretch/>
                </pic:blipFill>
                <pic:spPr bwMode="auto">
                  <a:xfrm>
                    <a:off x="0" y="0"/>
                    <a:ext cx="12160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B21">
      <w:rPr>
        <w:b/>
        <w:bCs/>
        <w:noProof/>
      </w:rPr>
      <w:drawing>
        <wp:anchor distT="0" distB="0" distL="114300" distR="114300" simplePos="0" relativeHeight="251657216" behindDoc="1" locked="0" layoutInCell="1" allowOverlap="1" wp14:anchorId="333329EF" wp14:editId="13ACEB3C">
          <wp:simplePos x="0" y="0"/>
          <wp:positionH relativeFrom="column">
            <wp:posOffset>-1457325</wp:posOffset>
          </wp:positionH>
          <wp:positionV relativeFrom="paragraph">
            <wp:posOffset>-457200</wp:posOffset>
          </wp:positionV>
          <wp:extent cx="11839575" cy="1828800"/>
          <wp:effectExtent l="0" t="0" r="9525" b="0"/>
          <wp:wrapNone/>
          <wp:docPr id="205" name="Picture 205"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118395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B21" w:rsidRDefault="002F5B21" w:rsidP="0008331E">
    <w:pPr>
      <w:pStyle w:val="Header"/>
      <w:tabs>
        <w:tab w:val="clear" w:pos="9360"/>
        <w:tab w:val="right" w:pos="10080"/>
      </w:tabs>
      <w:ind w:right="-720"/>
      <w:jc w:val="right"/>
    </w:pPr>
    <w:r>
      <w:rPr>
        <w:b/>
        <w:bCs/>
        <w:noProof/>
      </w:rPr>
      <w:drawing>
        <wp:inline distT="0" distB="0" distL="0" distR="0" wp14:anchorId="62B07CD8" wp14:editId="4A9A62B6">
          <wp:extent cx="2688336" cy="384048"/>
          <wp:effectExtent l="0" t="0" r="0" b="0"/>
          <wp:docPr id="207" name="Picture 207"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3">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22EB6B8"/>
    <w:lvl w:ilvl="0">
      <w:start w:val="1"/>
      <w:numFmt w:val="decimal"/>
      <w:lvlText w:val="%1."/>
      <w:lvlJc w:val="left"/>
      <w:pPr>
        <w:tabs>
          <w:tab w:val="num" w:pos="360"/>
        </w:tabs>
        <w:ind w:left="360" w:hanging="360"/>
      </w:pPr>
      <w:rPr>
        <w:rFonts w:hint="default"/>
      </w:rPr>
    </w:lvl>
  </w:abstractNum>
  <w:abstractNum w:abstractNumId="1">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20E73"/>
    <w:multiLevelType w:val="hybridMultilevel"/>
    <w:tmpl w:val="C7C2D4B2"/>
    <w:lvl w:ilvl="0" w:tplc="0409000D">
      <w:start w:val="1"/>
      <w:numFmt w:val="bullet"/>
      <w:lvlText w:val=""/>
      <w:lvlJc w:val="left"/>
      <w:pPr>
        <w:ind w:left="37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57015"/>
    <w:multiLevelType w:val="hybridMultilevel"/>
    <w:tmpl w:val="31563488"/>
    <w:lvl w:ilvl="0" w:tplc="B2588C34">
      <w:start w:val="1"/>
      <w:numFmt w:val="bullet"/>
      <w:lvlText w:val="•"/>
      <w:lvlJc w:val="left"/>
      <w:pPr>
        <w:tabs>
          <w:tab w:val="num" w:pos="360"/>
        </w:tabs>
        <w:ind w:left="360" w:hanging="360"/>
      </w:pPr>
      <w:rPr>
        <w:rFonts w:ascii="Arial" w:hAnsi="Arial" w:hint="default"/>
      </w:rPr>
    </w:lvl>
    <w:lvl w:ilvl="1" w:tplc="117C38C6" w:tentative="1">
      <w:start w:val="1"/>
      <w:numFmt w:val="bullet"/>
      <w:lvlText w:val="•"/>
      <w:lvlJc w:val="left"/>
      <w:pPr>
        <w:tabs>
          <w:tab w:val="num" w:pos="1080"/>
        </w:tabs>
        <w:ind w:left="1080" w:hanging="360"/>
      </w:pPr>
      <w:rPr>
        <w:rFonts w:ascii="Arial" w:hAnsi="Arial" w:hint="default"/>
      </w:rPr>
    </w:lvl>
    <w:lvl w:ilvl="2" w:tplc="65E0ADA8" w:tentative="1">
      <w:start w:val="1"/>
      <w:numFmt w:val="bullet"/>
      <w:lvlText w:val="•"/>
      <w:lvlJc w:val="left"/>
      <w:pPr>
        <w:tabs>
          <w:tab w:val="num" w:pos="1800"/>
        </w:tabs>
        <w:ind w:left="1800" w:hanging="360"/>
      </w:pPr>
      <w:rPr>
        <w:rFonts w:ascii="Arial" w:hAnsi="Arial" w:hint="default"/>
      </w:rPr>
    </w:lvl>
    <w:lvl w:ilvl="3" w:tplc="9C781E90" w:tentative="1">
      <w:start w:val="1"/>
      <w:numFmt w:val="bullet"/>
      <w:lvlText w:val="•"/>
      <w:lvlJc w:val="left"/>
      <w:pPr>
        <w:tabs>
          <w:tab w:val="num" w:pos="2520"/>
        </w:tabs>
        <w:ind w:left="2520" w:hanging="360"/>
      </w:pPr>
      <w:rPr>
        <w:rFonts w:ascii="Arial" w:hAnsi="Arial" w:hint="default"/>
      </w:rPr>
    </w:lvl>
    <w:lvl w:ilvl="4" w:tplc="EC46D556" w:tentative="1">
      <w:start w:val="1"/>
      <w:numFmt w:val="bullet"/>
      <w:lvlText w:val="•"/>
      <w:lvlJc w:val="left"/>
      <w:pPr>
        <w:tabs>
          <w:tab w:val="num" w:pos="3240"/>
        </w:tabs>
        <w:ind w:left="3240" w:hanging="360"/>
      </w:pPr>
      <w:rPr>
        <w:rFonts w:ascii="Arial" w:hAnsi="Arial" w:hint="default"/>
      </w:rPr>
    </w:lvl>
    <w:lvl w:ilvl="5" w:tplc="E38E6BB2" w:tentative="1">
      <w:start w:val="1"/>
      <w:numFmt w:val="bullet"/>
      <w:lvlText w:val="•"/>
      <w:lvlJc w:val="left"/>
      <w:pPr>
        <w:tabs>
          <w:tab w:val="num" w:pos="3960"/>
        </w:tabs>
        <w:ind w:left="3960" w:hanging="360"/>
      </w:pPr>
      <w:rPr>
        <w:rFonts w:ascii="Arial" w:hAnsi="Arial" w:hint="default"/>
      </w:rPr>
    </w:lvl>
    <w:lvl w:ilvl="6" w:tplc="1E586482" w:tentative="1">
      <w:start w:val="1"/>
      <w:numFmt w:val="bullet"/>
      <w:lvlText w:val="•"/>
      <w:lvlJc w:val="left"/>
      <w:pPr>
        <w:tabs>
          <w:tab w:val="num" w:pos="4680"/>
        </w:tabs>
        <w:ind w:left="4680" w:hanging="360"/>
      </w:pPr>
      <w:rPr>
        <w:rFonts w:ascii="Arial" w:hAnsi="Arial" w:hint="default"/>
      </w:rPr>
    </w:lvl>
    <w:lvl w:ilvl="7" w:tplc="5378842A" w:tentative="1">
      <w:start w:val="1"/>
      <w:numFmt w:val="bullet"/>
      <w:lvlText w:val="•"/>
      <w:lvlJc w:val="left"/>
      <w:pPr>
        <w:tabs>
          <w:tab w:val="num" w:pos="5400"/>
        </w:tabs>
        <w:ind w:left="5400" w:hanging="360"/>
      </w:pPr>
      <w:rPr>
        <w:rFonts w:ascii="Arial" w:hAnsi="Arial" w:hint="default"/>
      </w:rPr>
    </w:lvl>
    <w:lvl w:ilvl="8" w:tplc="C0864CAE" w:tentative="1">
      <w:start w:val="1"/>
      <w:numFmt w:val="bullet"/>
      <w:lvlText w:val="•"/>
      <w:lvlJc w:val="left"/>
      <w:pPr>
        <w:tabs>
          <w:tab w:val="num" w:pos="6120"/>
        </w:tabs>
        <w:ind w:left="6120" w:hanging="360"/>
      </w:pPr>
      <w:rPr>
        <w:rFonts w:ascii="Arial" w:hAnsi="Arial" w:hint="default"/>
      </w:rPr>
    </w:lvl>
  </w:abstractNum>
  <w:abstractNum w:abstractNumId="6">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B524D"/>
    <w:multiLevelType w:val="hybridMultilevel"/>
    <w:tmpl w:val="3C9EF750"/>
    <w:lvl w:ilvl="0" w:tplc="83AE3892">
      <w:start w:val="1"/>
      <w:numFmt w:val="bullet"/>
      <w:lvlText w:val="•"/>
      <w:lvlJc w:val="left"/>
      <w:pPr>
        <w:tabs>
          <w:tab w:val="num" w:pos="360"/>
        </w:tabs>
        <w:ind w:left="360" w:hanging="360"/>
      </w:pPr>
      <w:rPr>
        <w:rFonts w:ascii="Arial" w:hAnsi="Arial" w:hint="default"/>
      </w:rPr>
    </w:lvl>
    <w:lvl w:ilvl="1" w:tplc="8E224BC0" w:tentative="1">
      <w:start w:val="1"/>
      <w:numFmt w:val="bullet"/>
      <w:lvlText w:val="•"/>
      <w:lvlJc w:val="left"/>
      <w:pPr>
        <w:tabs>
          <w:tab w:val="num" w:pos="1080"/>
        </w:tabs>
        <w:ind w:left="1080" w:hanging="360"/>
      </w:pPr>
      <w:rPr>
        <w:rFonts w:ascii="Arial" w:hAnsi="Arial" w:hint="default"/>
      </w:rPr>
    </w:lvl>
    <w:lvl w:ilvl="2" w:tplc="7F2E74B6" w:tentative="1">
      <w:start w:val="1"/>
      <w:numFmt w:val="bullet"/>
      <w:lvlText w:val="•"/>
      <w:lvlJc w:val="left"/>
      <w:pPr>
        <w:tabs>
          <w:tab w:val="num" w:pos="1800"/>
        </w:tabs>
        <w:ind w:left="1800" w:hanging="360"/>
      </w:pPr>
      <w:rPr>
        <w:rFonts w:ascii="Arial" w:hAnsi="Arial" w:hint="default"/>
      </w:rPr>
    </w:lvl>
    <w:lvl w:ilvl="3" w:tplc="FC1A18D6" w:tentative="1">
      <w:start w:val="1"/>
      <w:numFmt w:val="bullet"/>
      <w:lvlText w:val="•"/>
      <w:lvlJc w:val="left"/>
      <w:pPr>
        <w:tabs>
          <w:tab w:val="num" w:pos="2520"/>
        </w:tabs>
        <w:ind w:left="2520" w:hanging="360"/>
      </w:pPr>
      <w:rPr>
        <w:rFonts w:ascii="Arial" w:hAnsi="Arial" w:hint="default"/>
      </w:rPr>
    </w:lvl>
    <w:lvl w:ilvl="4" w:tplc="3A067308" w:tentative="1">
      <w:start w:val="1"/>
      <w:numFmt w:val="bullet"/>
      <w:lvlText w:val="•"/>
      <w:lvlJc w:val="left"/>
      <w:pPr>
        <w:tabs>
          <w:tab w:val="num" w:pos="3240"/>
        </w:tabs>
        <w:ind w:left="3240" w:hanging="360"/>
      </w:pPr>
      <w:rPr>
        <w:rFonts w:ascii="Arial" w:hAnsi="Arial" w:hint="default"/>
      </w:rPr>
    </w:lvl>
    <w:lvl w:ilvl="5" w:tplc="95F8C8F2" w:tentative="1">
      <w:start w:val="1"/>
      <w:numFmt w:val="bullet"/>
      <w:lvlText w:val="•"/>
      <w:lvlJc w:val="left"/>
      <w:pPr>
        <w:tabs>
          <w:tab w:val="num" w:pos="3960"/>
        </w:tabs>
        <w:ind w:left="3960" w:hanging="360"/>
      </w:pPr>
      <w:rPr>
        <w:rFonts w:ascii="Arial" w:hAnsi="Arial" w:hint="default"/>
      </w:rPr>
    </w:lvl>
    <w:lvl w:ilvl="6" w:tplc="97AE9B36" w:tentative="1">
      <w:start w:val="1"/>
      <w:numFmt w:val="bullet"/>
      <w:lvlText w:val="•"/>
      <w:lvlJc w:val="left"/>
      <w:pPr>
        <w:tabs>
          <w:tab w:val="num" w:pos="4680"/>
        </w:tabs>
        <w:ind w:left="4680" w:hanging="360"/>
      </w:pPr>
      <w:rPr>
        <w:rFonts w:ascii="Arial" w:hAnsi="Arial" w:hint="default"/>
      </w:rPr>
    </w:lvl>
    <w:lvl w:ilvl="7" w:tplc="E754485A" w:tentative="1">
      <w:start w:val="1"/>
      <w:numFmt w:val="bullet"/>
      <w:lvlText w:val="•"/>
      <w:lvlJc w:val="left"/>
      <w:pPr>
        <w:tabs>
          <w:tab w:val="num" w:pos="5400"/>
        </w:tabs>
        <w:ind w:left="5400" w:hanging="360"/>
      </w:pPr>
      <w:rPr>
        <w:rFonts w:ascii="Arial" w:hAnsi="Arial" w:hint="default"/>
      </w:rPr>
    </w:lvl>
    <w:lvl w:ilvl="8" w:tplc="2F507028" w:tentative="1">
      <w:start w:val="1"/>
      <w:numFmt w:val="bullet"/>
      <w:lvlText w:val="•"/>
      <w:lvlJc w:val="left"/>
      <w:pPr>
        <w:tabs>
          <w:tab w:val="num" w:pos="6120"/>
        </w:tabs>
        <w:ind w:left="6120" w:hanging="360"/>
      </w:pPr>
      <w:rPr>
        <w:rFonts w:ascii="Arial" w:hAnsi="Arial" w:hint="default"/>
      </w:rPr>
    </w:lvl>
  </w:abstractNum>
  <w:abstractNum w:abstractNumId="8">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0A66446"/>
    <w:multiLevelType w:val="hybridMultilevel"/>
    <w:tmpl w:val="1D3E1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6">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8">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6527239"/>
    <w:multiLevelType w:val="hybridMultilevel"/>
    <w:tmpl w:val="6DDAA2C8"/>
    <w:lvl w:ilvl="0" w:tplc="0FB26BD2">
      <w:start w:val="1"/>
      <w:numFmt w:val="decimal"/>
      <w:pStyle w:val="Lis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6"/>
  </w:num>
  <w:num w:numId="4">
    <w:abstractNumId w:val="14"/>
  </w:num>
  <w:num w:numId="5">
    <w:abstractNumId w:val="1"/>
  </w:num>
  <w:num w:numId="6">
    <w:abstractNumId w:val="8"/>
  </w:num>
  <w:num w:numId="7">
    <w:abstractNumId w:val="0"/>
    <w:lvlOverride w:ilvl="0">
      <w:startOverride w:val="1"/>
    </w:lvlOverride>
  </w:num>
  <w:num w:numId="8">
    <w:abstractNumId w:val="0"/>
    <w:lvlOverride w:ilvl="0">
      <w:startOverride w:val="1"/>
    </w:lvlOverride>
  </w:num>
  <w:num w:numId="9">
    <w:abstractNumId w:val="9"/>
  </w:num>
  <w:num w:numId="10">
    <w:abstractNumId w:val="18"/>
  </w:num>
  <w:num w:numId="11">
    <w:abstractNumId w:val="3"/>
  </w:num>
  <w:num w:numId="12">
    <w:abstractNumId w:val="10"/>
  </w:num>
  <w:num w:numId="13">
    <w:abstractNumId w:val="4"/>
  </w:num>
  <w:num w:numId="14">
    <w:abstractNumId w:val="6"/>
  </w:num>
  <w:num w:numId="15">
    <w:abstractNumId w:val="19"/>
  </w:num>
  <w:num w:numId="16">
    <w:abstractNumId w:val="13"/>
  </w:num>
  <w:num w:numId="17">
    <w:abstractNumId w:val="12"/>
  </w:num>
  <w:num w:numId="18">
    <w:abstractNumId w:val="0"/>
  </w:num>
  <w:num w:numId="19">
    <w:abstractNumId w:val="5"/>
  </w:num>
  <w:num w:numId="20">
    <w:abstractNumId w:val="7"/>
  </w:num>
  <w:num w:numId="21">
    <w:abstractNumId w:val="11"/>
  </w:num>
  <w:num w:numId="22">
    <w:abstractNumId w:val="2"/>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5"/>
  </w:num>
  <w:num w:numId="35">
    <w:abstractNumId w:val="15"/>
  </w:num>
  <w:num w:numId="36">
    <w:abstractNumId w:val="15"/>
  </w:num>
  <w:num w:numId="3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13D9"/>
    <w:rsid w:val="000056DD"/>
    <w:rsid w:val="00007DA0"/>
    <w:rsid w:val="00012A0A"/>
    <w:rsid w:val="00020DA3"/>
    <w:rsid w:val="00023419"/>
    <w:rsid w:val="0002669E"/>
    <w:rsid w:val="00031E49"/>
    <w:rsid w:val="000458E3"/>
    <w:rsid w:val="0005254C"/>
    <w:rsid w:val="000573A4"/>
    <w:rsid w:val="0008331E"/>
    <w:rsid w:val="00087357"/>
    <w:rsid w:val="000A5450"/>
    <w:rsid w:val="000B7FC5"/>
    <w:rsid w:val="000C0E08"/>
    <w:rsid w:val="000C62CC"/>
    <w:rsid w:val="000F79D1"/>
    <w:rsid w:val="00110416"/>
    <w:rsid w:val="00147358"/>
    <w:rsid w:val="001539CF"/>
    <w:rsid w:val="00171FB8"/>
    <w:rsid w:val="00174B47"/>
    <w:rsid w:val="00186908"/>
    <w:rsid w:val="001A7C51"/>
    <w:rsid w:val="001B4BA7"/>
    <w:rsid w:val="001D3A8D"/>
    <w:rsid w:val="001E452F"/>
    <w:rsid w:val="001F64C3"/>
    <w:rsid w:val="00200A11"/>
    <w:rsid w:val="00206554"/>
    <w:rsid w:val="002100A3"/>
    <w:rsid w:val="0021073B"/>
    <w:rsid w:val="0022735E"/>
    <w:rsid w:val="00237915"/>
    <w:rsid w:val="00245321"/>
    <w:rsid w:val="00246479"/>
    <w:rsid w:val="00246EC4"/>
    <w:rsid w:val="00246EEE"/>
    <w:rsid w:val="00256AEC"/>
    <w:rsid w:val="002650B0"/>
    <w:rsid w:val="00266F6E"/>
    <w:rsid w:val="00272FE5"/>
    <w:rsid w:val="00292842"/>
    <w:rsid w:val="00293EFD"/>
    <w:rsid w:val="002A2A86"/>
    <w:rsid w:val="002B13A5"/>
    <w:rsid w:val="002B29E7"/>
    <w:rsid w:val="002B6135"/>
    <w:rsid w:val="002B64BE"/>
    <w:rsid w:val="002C1A14"/>
    <w:rsid w:val="002D0BA1"/>
    <w:rsid w:val="002E0F86"/>
    <w:rsid w:val="002E23BA"/>
    <w:rsid w:val="002E3D3E"/>
    <w:rsid w:val="002F2477"/>
    <w:rsid w:val="002F5B21"/>
    <w:rsid w:val="002F6090"/>
    <w:rsid w:val="00301824"/>
    <w:rsid w:val="00305D82"/>
    <w:rsid w:val="00322B91"/>
    <w:rsid w:val="00327AFC"/>
    <w:rsid w:val="00330503"/>
    <w:rsid w:val="003325D2"/>
    <w:rsid w:val="00346A8E"/>
    <w:rsid w:val="00355630"/>
    <w:rsid w:val="00374E09"/>
    <w:rsid w:val="003A063A"/>
    <w:rsid w:val="003B2DDD"/>
    <w:rsid w:val="003C43A2"/>
    <w:rsid w:val="003C4C3D"/>
    <w:rsid w:val="003D3100"/>
    <w:rsid w:val="003D3DB7"/>
    <w:rsid w:val="003D7756"/>
    <w:rsid w:val="003E5083"/>
    <w:rsid w:val="003F553D"/>
    <w:rsid w:val="003F6E0D"/>
    <w:rsid w:val="0041141E"/>
    <w:rsid w:val="00430445"/>
    <w:rsid w:val="00430906"/>
    <w:rsid w:val="00433813"/>
    <w:rsid w:val="0044108A"/>
    <w:rsid w:val="004527F5"/>
    <w:rsid w:val="00460488"/>
    <w:rsid w:val="00461CE0"/>
    <w:rsid w:val="0046321B"/>
    <w:rsid w:val="00474F58"/>
    <w:rsid w:val="00476E77"/>
    <w:rsid w:val="00497D58"/>
    <w:rsid w:val="00497EA5"/>
    <w:rsid w:val="004B23F4"/>
    <w:rsid w:val="004B50E2"/>
    <w:rsid w:val="004B6A76"/>
    <w:rsid w:val="004D2903"/>
    <w:rsid w:val="004D331F"/>
    <w:rsid w:val="004F1144"/>
    <w:rsid w:val="00505FE5"/>
    <w:rsid w:val="00506819"/>
    <w:rsid w:val="0051307E"/>
    <w:rsid w:val="00542E15"/>
    <w:rsid w:val="00550840"/>
    <w:rsid w:val="00565E16"/>
    <w:rsid w:val="005807D7"/>
    <w:rsid w:val="005A0085"/>
    <w:rsid w:val="005B1ED9"/>
    <w:rsid w:val="005C1F17"/>
    <w:rsid w:val="005C5D5F"/>
    <w:rsid w:val="005D1899"/>
    <w:rsid w:val="005D37D1"/>
    <w:rsid w:val="005D4BD7"/>
    <w:rsid w:val="005E20D0"/>
    <w:rsid w:val="00605EBD"/>
    <w:rsid w:val="006067B8"/>
    <w:rsid w:val="00610E69"/>
    <w:rsid w:val="00614330"/>
    <w:rsid w:val="00633585"/>
    <w:rsid w:val="00637C99"/>
    <w:rsid w:val="00642DF4"/>
    <w:rsid w:val="00647D3A"/>
    <w:rsid w:val="006611B1"/>
    <w:rsid w:val="00661505"/>
    <w:rsid w:val="00661DDC"/>
    <w:rsid w:val="0066681F"/>
    <w:rsid w:val="00674088"/>
    <w:rsid w:val="00682B50"/>
    <w:rsid w:val="00685184"/>
    <w:rsid w:val="00695E9B"/>
    <w:rsid w:val="006A2FD6"/>
    <w:rsid w:val="006B16E5"/>
    <w:rsid w:val="006B416A"/>
    <w:rsid w:val="006C1AEF"/>
    <w:rsid w:val="006C70A4"/>
    <w:rsid w:val="006C7FA8"/>
    <w:rsid w:val="006D0882"/>
    <w:rsid w:val="006D4F67"/>
    <w:rsid w:val="006D5173"/>
    <w:rsid w:val="006D552C"/>
    <w:rsid w:val="006D75F9"/>
    <w:rsid w:val="006E0102"/>
    <w:rsid w:val="006E6585"/>
    <w:rsid w:val="00702659"/>
    <w:rsid w:val="0072000C"/>
    <w:rsid w:val="0072124D"/>
    <w:rsid w:val="0072403E"/>
    <w:rsid w:val="00724C73"/>
    <w:rsid w:val="0072613D"/>
    <w:rsid w:val="007344D0"/>
    <w:rsid w:val="007350FF"/>
    <w:rsid w:val="00750DE8"/>
    <w:rsid w:val="007516B3"/>
    <w:rsid w:val="00755DB6"/>
    <w:rsid w:val="00760C12"/>
    <w:rsid w:val="00765469"/>
    <w:rsid w:val="007A09A6"/>
    <w:rsid w:val="007A5F81"/>
    <w:rsid w:val="007B6091"/>
    <w:rsid w:val="007D02A8"/>
    <w:rsid w:val="007E2833"/>
    <w:rsid w:val="007E2B87"/>
    <w:rsid w:val="007E5419"/>
    <w:rsid w:val="007E6777"/>
    <w:rsid w:val="007F2BAB"/>
    <w:rsid w:val="00812C96"/>
    <w:rsid w:val="008264B7"/>
    <w:rsid w:val="00833160"/>
    <w:rsid w:val="008357BB"/>
    <w:rsid w:val="00840356"/>
    <w:rsid w:val="0084594B"/>
    <w:rsid w:val="0085245B"/>
    <w:rsid w:val="008554A7"/>
    <w:rsid w:val="008641D4"/>
    <w:rsid w:val="00872ECC"/>
    <w:rsid w:val="00873445"/>
    <w:rsid w:val="00877A22"/>
    <w:rsid w:val="00881617"/>
    <w:rsid w:val="0088184F"/>
    <w:rsid w:val="0089604C"/>
    <w:rsid w:val="008A76B4"/>
    <w:rsid w:val="008C13A0"/>
    <w:rsid w:val="008C2B00"/>
    <w:rsid w:val="008C4442"/>
    <w:rsid w:val="008D1206"/>
    <w:rsid w:val="008D176C"/>
    <w:rsid w:val="008D27A0"/>
    <w:rsid w:val="008D4B91"/>
    <w:rsid w:val="008D5DFF"/>
    <w:rsid w:val="008E32C1"/>
    <w:rsid w:val="008F1B56"/>
    <w:rsid w:val="008F2E1F"/>
    <w:rsid w:val="008F6133"/>
    <w:rsid w:val="00903C54"/>
    <w:rsid w:val="00907C3C"/>
    <w:rsid w:val="00916B4F"/>
    <w:rsid w:val="00916D2C"/>
    <w:rsid w:val="00921D02"/>
    <w:rsid w:val="00932BA2"/>
    <w:rsid w:val="00946781"/>
    <w:rsid w:val="00946916"/>
    <w:rsid w:val="00951E3E"/>
    <w:rsid w:val="009555E4"/>
    <w:rsid w:val="0096023D"/>
    <w:rsid w:val="00961FCA"/>
    <w:rsid w:val="009651A7"/>
    <w:rsid w:val="0097766E"/>
    <w:rsid w:val="00987BBA"/>
    <w:rsid w:val="00995155"/>
    <w:rsid w:val="009B7E53"/>
    <w:rsid w:val="009C6C5B"/>
    <w:rsid w:val="009D5889"/>
    <w:rsid w:val="009D5E97"/>
    <w:rsid w:val="00A077C0"/>
    <w:rsid w:val="00A10D87"/>
    <w:rsid w:val="00A2135B"/>
    <w:rsid w:val="00A21EBE"/>
    <w:rsid w:val="00A454F0"/>
    <w:rsid w:val="00A52B6A"/>
    <w:rsid w:val="00A55141"/>
    <w:rsid w:val="00A56F0D"/>
    <w:rsid w:val="00A61BB5"/>
    <w:rsid w:val="00A67E87"/>
    <w:rsid w:val="00A704D0"/>
    <w:rsid w:val="00A74859"/>
    <w:rsid w:val="00A832F5"/>
    <w:rsid w:val="00A85684"/>
    <w:rsid w:val="00AA0D4E"/>
    <w:rsid w:val="00AA12F8"/>
    <w:rsid w:val="00AA3341"/>
    <w:rsid w:val="00AA3851"/>
    <w:rsid w:val="00AA7D15"/>
    <w:rsid w:val="00AB07DD"/>
    <w:rsid w:val="00AC459C"/>
    <w:rsid w:val="00AC5810"/>
    <w:rsid w:val="00AD3E4D"/>
    <w:rsid w:val="00AE088E"/>
    <w:rsid w:val="00AE17D8"/>
    <w:rsid w:val="00AF61D5"/>
    <w:rsid w:val="00AF6BB4"/>
    <w:rsid w:val="00B027F5"/>
    <w:rsid w:val="00B043BA"/>
    <w:rsid w:val="00B137DD"/>
    <w:rsid w:val="00B2740D"/>
    <w:rsid w:val="00B32293"/>
    <w:rsid w:val="00B52CF1"/>
    <w:rsid w:val="00B6084C"/>
    <w:rsid w:val="00B62E53"/>
    <w:rsid w:val="00B7074E"/>
    <w:rsid w:val="00B74F8C"/>
    <w:rsid w:val="00B76348"/>
    <w:rsid w:val="00B82FF5"/>
    <w:rsid w:val="00BC07CD"/>
    <w:rsid w:val="00BC5D93"/>
    <w:rsid w:val="00BD5E5A"/>
    <w:rsid w:val="00BE1A28"/>
    <w:rsid w:val="00BE69D0"/>
    <w:rsid w:val="00BE6D5A"/>
    <w:rsid w:val="00BF1377"/>
    <w:rsid w:val="00BF4740"/>
    <w:rsid w:val="00C1560B"/>
    <w:rsid w:val="00C17CDA"/>
    <w:rsid w:val="00C20857"/>
    <w:rsid w:val="00C37C9D"/>
    <w:rsid w:val="00C50668"/>
    <w:rsid w:val="00C569B3"/>
    <w:rsid w:val="00C62EF0"/>
    <w:rsid w:val="00C71B34"/>
    <w:rsid w:val="00C7457C"/>
    <w:rsid w:val="00C97280"/>
    <w:rsid w:val="00CA3437"/>
    <w:rsid w:val="00CB322E"/>
    <w:rsid w:val="00CB3601"/>
    <w:rsid w:val="00CB3956"/>
    <w:rsid w:val="00CC4701"/>
    <w:rsid w:val="00CD0247"/>
    <w:rsid w:val="00CD56D8"/>
    <w:rsid w:val="00CE1A4A"/>
    <w:rsid w:val="00CF3488"/>
    <w:rsid w:val="00D068C9"/>
    <w:rsid w:val="00D10C75"/>
    <w:rsid w:val="00D3506B"/>
    <w:rsid w:val="00D36E2D"/>
    <w:rsid w:val="00D37A9F"/>
    <w:rsid w:val="00D4279E"/>
    <w:rsid w:val="00D535A2"/>
    <w:rsid w:val="00D6103A"/>
    <w:rsid w:val="00D76AB6"/>
    <w:rsid w:val="00D80A66"/>
    <w:rsid w:val="00D82F7F"/>
    <w:rsid w:val="00D849E9"/>
    <w:rsid w:val="00D934A9"/>
    <w:rsid w:val="00D9620E"/>
    <w:rsid w:val="00DB0DD3"/>
    <w:rsid w:val="00DB1C1C"/>
    <w:rsid w:val="00DB3127"/>
    <w:rsid w:val="00DB75AB"/>
    <w:rsid w:val="00DC2CE7"/>
    <w:rsid w:val="00DC4305"/>
    <w:rsid w:val="00DC7577"/>
    <w:rsid w:val="00DD376C"/>
    <w:rsid w:val="00DD4977"/>
    <w:rsid w:val="00DD4F05"/>
    <w:rsid w:val="00DD736C"/>
    <w:rsid w:val="00DE06E8"/>
    <w:rsid w:val="00DE165C"/>
    <w:rsid w:val="00DF20CB"/>
    <w:rsid w:val="00E0580D"/>
    <w:rsid w:val="00E17D18"/>
    <w:rsid w:val="00E22FF3"/>
    <w:rsid w:val="00E45992"/>
    <w:rsid w:val="00E52428"/>
    <w:rsid w:val="00E61170"/>
    <w:rsid w:val="00E8269E"/>
    <w:rsid w:val="00E868AF"/>
    <w:rsid w:val="00E91C52"/>
    <w:rsid w:val="00E92092"/>
    <w:rsid w:val="00EA60C4"/>
    <w:rsid w:val="00EB04A2"/>
    <w:rsid w:val="00EB5409"/>
    <w:rsid w:val="00ED1D75"/>
    <w:rsid w:val="00EF612B"/>
    <w:rsid w:val="00EF6FFF"/>
    <w:rsid w:val="00F12407"/>
    <w:rsid w:val="00F20890"/>
    <w:rsid w:val="00F309B1"/>
    <w:rsid w:val="00F36DEB"/>
    <w:rsid w:val="00F415C1"/>
    <w:rsid w:val="00F51BF2"/>
    <w:rsid w:val="00F52CDB"/>
    <w:rsid w:val="00F52EB8"/>
    <w:rsid w:val="00F621A9"/>
    <w:rsid w:val="00F628A0"/>
    <w:rsid w:val="00F86847"/>
    <w:rsid w:val="00F93A09"/>
    <w:rsid w:val="00FA3DB0"/>
    <w:rsid w:val="00FB09E2"/>
    <w:rsid w:val="00FB1068"/>
    <w:rsid w:val="00FD0F41"/>
    <w:rsid w:val="00FD3C56"/>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6611B1"/>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3F6E0D"/>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007DA0"/>
    <w:pPr>
      <w:ind w:left="720"/>
      <w:contextualSpacing/>
    </w:pPr>
    <w:rPr>
      <w:rFonts w:ascii="Times New Roman" w:eastAsiaTheme="minorEastAsia" w:hAnsi="Times New Roman" w:cs="Times New Roman"/>
      <w:sz w:val="24"/>
      <w:szCs w:val="24"/>
    </w:rPr>
  </w:style>
  <w:style w:type="table" w:customStyle="1" w:styleId="BeaconTableRegular">
    <w:name w:val="Beacon Table Regular"/>
    <w:basedOn w:val="TableNormal"/>
    <w:uiPriority w:val="99"/>
    <w:qFormat/>
    <w:rsid w:val="00B137D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IntroText">
    <w:name w:val="Intro Text"/>
    <w:basedOn w:val="Normal"/>
    <w:qFormat/>
    <w:rsid w:val="00B137DD"/>
    <w:pPr>
      <w:spacing w:before="120" w:after="120"/>
    </w:pPr>
    <w:rPr>
      <w:color w:val="7F7F7F" w:themeColor="text1" w:themeTint="80"/>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6611B1"/>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02669E"/>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3F6E0D"/>
    <w:pPr>
      <w:spacing w:before="100" w:beforeAutospacing="1" w:after="100"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0007DA0"/>
    <w:pPr>
      <w:ind w:left="720"/>
      <w:contextualSpacing/>
    </w:pPr>
    <w:rPr>
      <w:rFonts w:ascii="Times New Roman" w:eastAsiaTheme="minorEastAsia" w:hAnsi="Times New Roman" w:cs="Times New Roman"/>
      <w:sz w:val="24"/>
      <w:szCs w:val="24"/>
    </w:rPr>
  </w:style>
  <w:style w:type="table" w:customStyle="1" w:styleId="BeaconTableRegular">
    <w:name w:val="Beacon Table Regular"/>
    <w:basedOn w:val="TableNormal"/>
    <w:uiPriority w:val="99"/>
    <w:qFormat/>
    <w:rsid w:val="00B137D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IntroText">
    <w:name w:val="Intro Text"/>
    <w:basedOn w:val="Normal"/>
    <w:qFormat/>
    <w:rsid w:val="00B137DD"/>
    <w:pPr>
      <w:spacing w:before="120" w:after="120"/>
    </w:pPr>
    <w:rPr>
      <w:color w:val="7F7F7F" w:themeColor="text1" w:themeTint="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cms.gov/Medicare/Quality-Initiatives-Patient-Assessment-Instruments/PQRS/index.html?redirect=/pqrs" TargetMode="External"/><Relationship Id="rId21" Type="http://schemas.openxmlformats.org/officeDocument/2006/relationships/hyperlink" Target="http://www.cms.gov/Medicare/Medicare-Fee-for-Service-Payment/sharedsavingsprogram/Quality_Measures_Standards.html" TargetMode="External"/><Relationship Id="rId22" Type="http://schemas.openxmlformats.org/officeDocument/2006/relationships/hyperlink" Target="http://millionhearts.hhs.gov/index.html" TargetMode="External"/><Relationship Id="rId23" Type="http://schemas.openxmlformats.org/officeDocument/2006/relationships/hyperlink" Target="http://www.ahrq.gov/policymakers/chipra/index.html" TargetMode="External"/><Relationship Id="rId24" Type="http://schemas.openxmlformats.org/officeDocument/2006/relationships/hyperlink" Target="http://www.cms.gov/Medicare/Health-Plans/HealthPlansGenInfo/ReportingRequirements.html" TargetMode="External"/><Relationship Id="rId25" Type="http://schemas.openxmlformats.org/officeDocument/2006/relationships/hyperlink" Target="http://www.cms.gov/Regulations-and-Guidance/Legislation/EHRIncentivePrograms/index.html?redirect=/ehrincentiveprograms/" TargetMode="External"/><Relationship Id="rId26" Type="http://schemas.openxmlformats.org/officeDocument/2006/relationships/header" Target="head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yperlink" Target="http://www.healthit.gov/providers-professionals/regional-extension-centers-recs" TargetMode="External"/><Relationship Id="rId15" Type="http://schemas.openxmlformats.org/officeDocument/2006/relationships/hyperlink" Target="http://www.healthit.gov/providers-professionals/beacon-community-centers" TargetMode="External"/><Relationship Id="rId16" Type="http://schemas.openxmlformats.org/officeDocument/2006/relationships/hyperlink" Target="http://www.healthit.gov/providers-professionals/state-health-information-exchange" TargetMode="External"/><Relationship Id="rId17" Type="http://schemas.openxmlformats.org/officeDocument/2006/relationships/hyperlink" Target="http://healthit.hhs.gov/portal/server.pt/community/healthit_hhs_gov__rec_program/1495" TargetMode="External"/><Relationship Id="rId18" Type="http://schemas.openxmlformats.org/officeDocument/2006/relationships/hyperlink" Target="http://www.healthit.gov/providers-professionals/ehr-implementation-steps" TargetMode="Externa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millionhearts.hhs.gov/docs/Field_Engagement_Opportunities.pdf" TargetMode="External"/><Relationship Id="rId4" Type="http://schemas.openxmlformats.org/officeDocument/2006/relationships/hyperlink" Target="http://www.medicaid.gov/Federal-Policy-Guidance/downloads/SHO-13-002.pdf" TargetMode="External"/><Relationship Id="rId1" Type="http://schemas.openxmlformats.org/officeDocument/2006/relationships/hyperlink" Target="http://www.cms.gov/apps/ama/license.asp?file=/PQRS/downloads/2013_PQRS_MeasuresList_ImplementationGuide_12192012.zip" TargetMode="External"/><Relationship Id="rId2" Type="http://schemas.openxmlformats.org/officeDocument/2006/relationships/hyperlink" Target="http://www.cms.gov/Medicare/Medicare-Fee-for-Service-Payment/sharedsavingsprogram/Downloads/ACO-NarrativeMeasures-Spec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25E9D-859C-FB4D-AD26-699988EA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2971</Words>
  <Characters>16938</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MU Clinical Quality Measures: Alignment Across Quality Initiatives</vt:lpstr>
    </vt:vector>
  </TitlesOfParts>
  <LinksUpToDate>false</LinksUpToDate>
  <CharactersWithSpaces>19870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 Clinical Quality Measures: Alignment Across Quality Initiatives</dc:title>
  <dc:subject>Fact Sheet</dc:subject>
  <dc:creator>yuanyuan zhang</dc:creator>
  <cp:lastModifiedBy/>
  <cp:revision>1</cp:revision>
  <dcterms:created xsi:type="dcterms:W3CDTF">2013-11-04T17:15:00Z</dcterms:created>
  <dcterms:modified xsi:type="dcterms:W3CDTF">2013-11-04T17:15:00Z</dcterms:modified>
</cp:coreProperties>
</file>