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633585" w:rsidRDefault="007F6E90" w:rsidP="007F6E90">
      <w:pPr>
        <w:pStyle w:val="DocTitle"/>
        <w:rPr>
          <w:color w:val="1F497D" w:themeColor="text2"/>
        </w:rPr>
      </w:pPr>
      <w:bookmarkStart w:id="0" w:name="_GoBack"/>
      <w:bookmarkEnd w:id="0"/>
      <w:r>
        <w:rPr>
          <w:color w:val="1F497D" w:themeColor="text2"/>
        </w:rPr>
        <w:t xml:space="preserve">Submitting Immunization </w:t>
      </w:r>
      <w:r w:rsidRPr="007F6E90">
        <w:rPr>
          <w:color w:val="1F497D" w:themeColor="text2"/>
        </w:rPr>
        <w:t>Data to Public Health</w:t>
      </w:r>
    </w:p>
    <w:p w:rsidR="00A21CDD" w:rsidRDefault="00A21CDD" w:rsidP="00A21CDD">
      <w:pPr>
        <w:pStyle w:val="DocSubtitle"/>
      </w:pPr>
      <w:r>
        <w:t>HIE Scenario, Workflow and Specifications</w:t>
      </w:r>
    </w:p>
    <w:p w:rsidR="00AA12F8" w:rsidRDefault="00AA12F8" w:rsidP="00D76AB6">
      <w:pPr>
        <w:pStyle w:val="DocInfo"/>
        <w:spacing w:after="1200"/>
      </w:pPr>
    </w:p>
    <w:p w:rsidR="007A09A6" w:rsidRPr="00A2135B" w:rsidRDefault="007A09A6" w:rsidP="00413EBE">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A2135B" w:rsidRDefault="00322B91" w:rsidP="00413EBE">
      <w:pPr>
        <w:pStyle w:val="DocSubtitle"/>
      </w:pPr>
      <w:r w:rsidRPr="00A2135B">
        <w:t>Developed B</w:t>
      </w:r>
      <w:r w:rsidR="007A09A6" w:rsidRPr="00A2135B">
        <w:t>y:</w:t>
      </w:r>
    </w:p>
    <w:p w:rsidR="00262C0F" w:rsidRDefault="00262C0F" w:rsidP="00A21CDD">
      <w:pPr>
        <w:pStyle w:val="DocInfo"/>
      </w:pPr>
      <w:r>
        <w:t>Office of the National Coordinator for Health IT (ONC)</w:t>
      </w:r>
    </w:p>
    <w:p w:rsidR="005D4BD7" w:rsidRDefault="00D40517" w:rsidP="00D76AB6">
      <w:pPr>
        <w:spacing w:after="640"/>
      </w:pPr>
      <w:r w:rsidRPr="00D40517">
        <w:rPr>
          <w:sz w:val="22"/>
          <w:szCs w:val="22"/>
        </w:rPr>
        <w:t>Office of Science and Technology (OST)</w:t>
      </w: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413EBE" w:rsidRDefault="00413EBE" w:rsidP="00413EBE">
      <w:pPr>
        <w:framePr w:w="9301" w:h="187" w:hRule="exact" w:wrap="around" w:vAnchor="text" w:hAnchor="page" w:x="1606" w:y="1464"/>
        <w:jc w:val="center"/>
        <w:rPr>
          <w:color w:val="808080" w:themeColor="background1" w:themeShade="80"/>
          <w:sz w:val="14"/>
          <w:szCs w:val="14"/>
        </w:rPr>
      </w:pPr>
      <w:r>
        <w:rPr>
          <w:color w:val="808080" w:themeColor="background1" w:themeShade="80"/>
          <w:sz w:val="14"/>
          <w:szCs w:val="14"/>
        </w:rPr>
        <w:t>May 31, 2012 • Version 1.0</w:t>
      </w:r>
    </w:p>
    <w:p w:rsidR="00413EBE" w:rsidRPr="002A2A86" w:rsidRDefault="00413EBE" w:rsidP="00413EBE">
      <w:pPr>
        <w:pStyle w:val="Footer"/>
        <w:framePr w:w="9301" w:h="187" w:hRule="exact" w:wrap="around" w:vAnchor="text" w:hAnchor="page" w:x="1606" w:y="1464"/>
        <w:rPr>
          <w:rStyle w:val="PageNumber"/>
          <w:color w:val="808080" w:themeColor="background1" w:themeShade="80"/>
          <w:sz w:val="14"/>
          <w:szCs w:val="14"/>
        </w:rPr>
      </w:pPr>
    </w:p>
    <w:p w:rsidR="00AA12F8" w:rsidRDefault="00AA12F8" w:rsidP="00AA12F8"/>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A72363" w:rsidRPr="007F3FDB" w:rsidRDefault="00A72363" w:rsidP="00A72363">
      <w:pPr>
        <w:pStyle w:val="TOCHeading"/>
      </w:pPr>
      <w:bookmarkStart w:id="1" w:name="NationalLearningConsortium"/>
      <w:bookmarkStart w:id="2" w:name="_Toc304469819"/>
      <w:bookmarkStart w:id="3" w:name="_Toc304495386"/>
      <w:bookmarkStart w:id="4" w:name="_Toc296551904"/>
      <w:bookmarkStart w:id="5" w:name="_Toc304469895"/>
      <w:bookmarkStart w:id="6" w:name="_Toc304495456"/>
      <w:bookmarkEnd w:id="1"/>
      <w:r w:rsidRPr="007F3FDB">
        <w:lastRenderedPageBreak/>
        <w:t xml:space="preserve">National Learning Consortium </w:t>
      </w:r>
    </w:p>
    <w:p w:rsidR="00A72363" w:rsidRPr="007F3FDB" w:rsidRDefault="00A72363" w:rsidP="00A72363">
      <w:pPr>
        <w:pStyle w:val="BodyText"/>
      </w:pPr>
      <w:r w:rsidRPr="007F3FDB">
        <w:t>The National Learning Consortium (NLC) is a virtual and evolving body of knowledge and tools designed to support healthcare providers and health IT professionals</w:t>
      </w:r>
      <w:r w:rsidRPr="007F3FDB">
        <w:rPr>
          <w:rStyle w:val="CommentReference"/>
          <w:i/>
          <w:sz w:val="16"/>
          <w:szCs w:val="16"/>
        </w:rPr>
        <w:t> </w:t>
      </w:r>
      <w:r w:rsidRPr="007F3FDB">
        <w:t>working towards the implementation, adoption and meaningful use of certified EHR systems.</w:t>
      </w:r>
    </w:p>
    <w:p w:rsidR="00A72363" w:rsidRPr="007F3FDB" w:rsidRDefault="00A72363" w:rsidP="00A72363">
      <w:pPr>
        <w:pStyle w:val="BodyText"/>
      </w:pPr>
      <w:r w:rsidRPr="007F3FDB">
        <w:t>The NLC represents the collective EHR implementation experiences and knowledge gained directly from the field of ONC’s outreach programs (</w:t>
      </w:r>
      <w:hyperlink r:id="rId14" w:tooltip="link to Regional Extension Centers (RECs) on Health IT website" w:history="1">
        <w:r w:rsidRPr="007F3FDB">
          <w:rPr>
            <w:rStyle w:val="Hyperlink"/>
            <w:i/>
            <w:iCs/>
          </w:rPr>
          <w:t>REC</w:t>
        </w:r>
      </w:hyperlink>
      <w:r w:rsidRPr="007F3FDB">
        <w:t xml:space="preserve">, </w:t>
      </w:r>
      <w:hyperlink r:id="rId15" w:tooltip="Link to Beacon Community Centers on Health I T . gov website" w:history="1">
        <w:r w:rsidRPr="007F3FDB">
          <w:rPr>
            <w:rStyle w:val="Hyperlink"/>
            <w:i/>
            <w:iCs/>
          </w:rPr>
          <w:t>Beacon</w:t>
        </w:r>
      </w:hyperlink>
      <w:r w:rsidRPr="007F3FDB">
        <w:t xml:space="preserve">, </w:t>
      </w:r>
      <w:hyperlink r:id="rId16" w:tooltip="Link to State Health Information Exchange page on Health IT.gov website" w:history="1">
        <w:r w:rsidRPr="007F3FDB">
          <w:rPr>
            <w:rStyle w:val="Hyperlink"/>
            <w:i/>
            <w:iCs/>
          </w:rPr>
          <w:t>State HIE</w:t>
        </w:r>
      </w:hyperlink>
      <w:r w:rsidRPr="007F3FDB">
        <w:t xml:space="preserve">) and through the </w:t>
      </w:r>
      <w:hyperlink r:id="rId17" w:tooltip="Link to Regional Extension Centers web page on Health IT web site. " w:history="1">
        <w:r w:rsidRPr="007F3FDB">
          <w:rPr>
            <w:rStyle w:val="Hyperlink"/>
            <w:i/>
            <w:iCs/>
          </w:rPr>
          <w:t>Health Information Technology Research Center (HITRC)</w:t>
        </w:r>
      </w:hyperlink>
      <w:r w:rsidRPr="007F3FDB">
        <w:t xml:space="preserve"> Communities of Practice (CoPs). </w:t>
      </w:r>
    </w:p>
    <w:p w:rsidR="00A72363" w:rsidRPr="007F3FDB" w:rsidRDefault="00A72363" w:rsidP="00A72363">
      <w:pPr>
        <w:pStyle w:val="BodyText"/>
      </w:pPr>
      <w:r w:rsidRPr="007F3FDB">
        <w:t xml:space="preserve">The following resource is an example of a tool used in the field today that is recommended by “boots-on-the-ground” professionals for use by others who have made the commitment to implement or upgrade to certified EHR systems. </w:t>
      </w:r>
    </w:p>
    <w:p w:rsidR="00A72363" w:rsidRPr="007F3FDB" w:rsidRDefault="00A72363" w:rsidP="00A72363">
      <w:pPr>
        <w:pStyle w:val="TOCHeading"/>
      </w:pPr>
      <w:bookmarkStart w:id="7" w:name="DescriptionInstructions"/>
      <w:r w:rsidRPr="007F3FDB">
        <w:t xml:space="preserve">Description &amp; Instructions </w:t>
      </w:r>
    </w:p>
    <w:bookmarkEnd w:id="7"/>
    <w:p w:rsidR="00CF1D88" w:rsidRDefault="00A21CDD" w:rsidP="00CF1D88">
      <w:pPr>
        <w:spacing w:before="180" w:after="120" w:line="280" w:lineRule="atLeast"/>
      </w:pPr>
      <w:r>
        <w:t xml:space="preserve">This resource </w:t>
      </w:r>
      <w:r w:rsidR="00D6103A" w:rsidRPr="00497EA5">
        <w:t>is intended to aid providers</w:t>
      </w:r>
      <w:r w:rsidR="00497EA5" w:rsidRPr="00497EA5">
        <w:t xml:space="preserve"> and health IT implementer</w:t>
      </w:r>
      <w:r w:rsidR="00262C0F">
        <w:t xml:space="preserve">s </w:t>
      </w:r>
      <w:r w:rsidR="00E65DA9">
        <w:t xml:space="preserve">in </w:t>
      </w:r>
      <w:r w:rsidR="00262C0F">
        <w:t>understand</w:t>
      </w:r>
      <w:r w:rsidR="00E65DA9">
        <w:t>ing</w:t>
      </w:r>
      <w:r w:rsidR="00262C0F">
        <w:t xml:space="preserve"> </w:t>
      </w:r>
      <w:r w:rsidR="00E65DA9">
        <w:t xml:space="preserve">health information exchange (HIE) </w:t>
      </w:r>
      <w:r w:rsidR="00262C0F">
        <w:t>solutions relate</w:t>
      </w:r>
      <w:r w:rsidR="00E65DA9">
        <w:t xml:space="preserve">d to the </w:t>
      </w:r>
      <w:r w:rsidR="00CF1D88">
        <w:t xml:space="preserve">Meaningful Use Menu Measure </w:t>
      </w:r>
      <w:r w:rsidR="007F6E90">
        <w:t>9</w:t>
      </w:r>
      <w:r w:rsidR="00CF1D88">
        <w:t xml:space="preserve"> – </w:t>
      </w:r>
      <w:r w:rsidR="007F6E90">
        <w:t>Immunization Registries Data Submission</w:t>
      </w:r>
      <w:r w:rsidR="00497EA5" w:rsidRPr="00497EA5">
        <w:t xml:space="preserve">.  </w:t>
      </w:r>
    </w:p>
    <w:p w:rsidR="00CF1D88" w:rsidRDefault="00A21CDD" w:rsidP="00CF1D88">
      <w:pPr>
        <w:spacing w:before="180" w:after="120" w:line="280" w:lineRule="atLeast"/>
      </w:pPr>
      <w:r>
        <w:t xml:space="preserve">This </w:t>
      </w:r>
      <w:r w:rsidR="00916EEE">
        <w:t>scenario provides</w:t>
      </w:r>
      <w:r>
        <w:t xml:space="preserve"> a practical example of how </w:t>
      </w:r>
      <w:r w:rsidRPr="00E61817">
        <w:t xml:space="preserve">the contents of the </w:t>
      </w:r>
      <w:r>
        <w:t>Nationwide Health Information Network (NwHIN) p</w:t>
      </w:r>
      <w:r w:rsidRPr="00E61817">
        <w:t>ortfolio</w:t>
      </w:r>
      <w:r>
        <w:t xml:space="preserve"> can be used to achieve </w:t>
      </w:r>
      <w:r w:rsidRPr="00E61817">
        <w:t>meaningful electronic exchange of health information.</w:t>
      </w:r>
      <w:r>
        <w:t xml:space="preserve">  This is part of a series of </w:t>
      </w:r>
      <w:r w:rsidR="00E65DA9">
        <w:t>HIE</w:t>
      </w:r>
      <w:r>
        <w:t xml:space="preserve"> scenarios intended to provide a straightforward view into the standards, services and policies behind HIE solutions.</w:t>
      </w:r>
    </w:p>
    <w:p w:rsidR="00CF1D88" w:rsidRDefault="00A21CDD" w:rsidP="00A21CDD">
      <w:pPr>
        <w:spacing w:after="200" w:line="276" w:lineRule="auto"/>
      </w:pPr>
      <w:r>
        <w:t xml:space="preserve">Each document in the HIE scenarios series describes an everyday situation where patient care is improved through information exchange between health care professionals.  </w:t>
      </w:r>
    </w:p>
    <w:p w:rsidR="00525331" w:rsidRDefault="00A21CDD" w:rsidP="00525331">
      <w:pPr>
        <w:spacing w:after="200" w:line="276" w:lineRule="auto"/>
      </w:pPr>
      <w:r>
        <w:t>The scenario i</w:t>
      </w:r>
      <w:r w:rsidR="00CF1D88">
        <w:t xml:space="preserve">s presented through a narrative </w:t>
      </w:r>
      <w:r>
        <w:t xml:space="preserve">description of events and a corresponding graphic, followed by </w:t>
      </w:r>
      <w:r w:rsidR="00E65DA9">
        <w:t xml:space="preserve">a </w:t>
      </w:r>
      <w:r>
        <w:t>detailed description of the workflow steps involved.  The resource concludes with an inventory of the key specifications and resources necessary to implement the information exchange described.</w:t>
      </w:r>
    </w:p>
    <w:p w:rsidR="00A72363" w:rsidRPr="007F3FDB" w:rsidRDefault="00A72363" w:rsidP="00A72363">
      <w:pPr>
        <w:spacing w:after="200" w:line="276" w:lineRule="auto"/>
      </w:pPr>
      <w:r w:rsidRPr="007F3FDB">
        <w:t xml:space="preserve">Other scenarios and their related specifications can be found on the S&amp;I Framework Repository at: </w:t>
      </w:r>
      <w:hyperlink r:id="rId18" w:tooltip="Link to S and I Framework Respository website" w:history="1">
        <w:r w:rsidRPr="007F3FDB">
          <w:rPr>
            <w:rStyle w:val="Hyperlink"/>
          </w:rPr>
          <w:t>http://www.siframework.org/</w:t>
        </w:r>
      </w:hyperlink>
      <w:r w:rsidRPr="007F3FDB">
        <w:t xml:space="preserve">.  Additional questions may be sent via email to: </w:t>
      </w:r>
      <w:hyperlink r:id="rId19" w:tooltip="Email address for questions regarding S and I Framework Repository" w:history="1">
        <w:r w:rsidRPr="007F3FDB">
          <w:rPr>
            <w:rStyle w:val="Hyperlink"/>
          </w:rPr>
          <w:t>info@siframework.org</w:t>
        </w:r>
      </w:hyperlink>
      <w:r w:rsidRPr="007F3FDB">
        <w:t>.</w:t>
      </w:r>
    </w:p>
    <w:p w:rsidR="00413EBE" w:rsidRDefault="00413EBE">
      <w:pPr>
        <w:spacing w:after="200" w:line="276" w:lineRule="auto"/>
      </w:pPr>
    </w:p>
    <w:p w:rsidR="000F79D1" w:rsidRDefault="000F79D1">
      <w:pPr>
        <w:spacing w:after="200" w:line="276" w:lineRule="auto"/>
      </w:pPr>
      <w:r>
        <w:br w:type="page"/>
      </w:r>
    </w:p>
    <w:p w:rsidR="00A72363" w:rsidRPr="007F3FDB" w:rsidRDefault="00A72363" w:rsidP="00A72363">
      <w:pPr>
        <w:pStyle w:val="TOCHeading"/>
        <w:rPr>
          <w:szCs w:val="40"/>
        </w:rPr>
      </w:pPr>
      <w:bookmarkStart w:id="8" w:name="Contents"/>
      <w:r w:rsidRPr="007F3FDB">
        <w:lastRenderedPageBreak/>
        <w:t>Table of Contents</w:t>
      </w:r>
    </w:p>
    <w:bookmarkEnd w:id="8"/>
    <w:p w:rsidR="00AC6032"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25627309" w:history="1">
        <w:r w:rsidR="00AC6032" w:rsidRPr="00F5396D">
          <w:rPr>
            <w:rStyle w:val="Hyperlink"/>
          </w:rPr>
          <w:t>1</w:t>
        </w:r>
        <w:r w:rsidR="00AC6032">
          <w:rPr>
            <w:rFonts w:asciiTheme="minorHAnsi" w:eastAsiaTheme="minorEastAsia" w:hAnsiTheme="minorHAnsi" w:cstheme="minorBidi"/>
            <w:sz w:val="22"/>
            <w:szCs w:val="22"/>
          </w:rPr>
          <w:tab/>
        </w:r>
        <w:r w:rsidR="00AC6032" w:rsidRPr="00F5396D">
          <w:rPr>
            <w:rStyle w:val="Hyperlink"/>
          </w:rPr>
          <w:t>Submitting Immunization Data to Public Health</w:t>
        </w:r>
        <w:r w:rsidR="00AC6032">
          <w:rPr>
            <w:webHidden/>
          </w:rPr>
          <w:tab/>
        </w:r>
        <w:r w:rsidR="00AC6032">
          <w:rPr>
            <w:webHidden/>
          </w:rPr>
          <w:fldChar w:fldCharType="begin"/>
        </w:r>
        <w:r w:rsidR="00AC6032">
          <w:rPr>
            <w:webHidden/>
          </w:rPr>
          <w:instrText xml:space="preserve"> PAGEREF _Toc325627309 \h </w:instrText>
        </w:r>
        <w:r w:rsidR="00AC6032">
          <w:rPr>
            <w:webHidden/>
          </w:rPr>
        </w:r>
        <w:r w:rsidR="00AC6032">
          <w:rPr>
            <w:webHidden/>
          </w:rPr>
          <w:fldChar w:fldCharType="separate"/>
        </w:r>
        <w:r w:rsidR="00AC6032">
          <w:rPr>
            <w:webHidden/>
          </w:rPr>
          <w:t>1</w:t>
        </w:r>
        <w:r w:rsidR="00AC6032">
          <w:rPr>
            <w:webHidden/>
          </w:rPr>
          <w:fldChar w:fldCharType="end"/>
        </w:r>
      </w:hyperlink>
    </w:p>
    <w:p w:rsidR="00AC6032" w:rsidRDefault="00F16FFF">
      <w:pPr>
        <w:pStyle w:val="TOC2"/>
        <w:rPr>
          <w:rFonts w:asciiTheme="minorHAnsi" w:eastAsiaTheme="minorEastAsia" w:hAnsiTheme="minorHAnsi" w:cstheme="minorBidi"/>
          <w:sz w:val="22"/>
          <w:szCs w:val="22"/>
        </w:rPr>
      </w:pPr>
      <w:hyperlink w:anchor="_Toc325627310" w:history="1">
        <w:r w:rsidR="00AC6032" w:rsidRPr="00F5396D">
          <w:rPr>
            <w:rStyle w:val="Hyperlink"/>
          </w:rPr>
          <w:t>1.1</w:t>
        </w:r>
        <w:r w:rsidR="00AC6032">
          <w:rPr>
            <w:rFonts w:asciiTheme="minorHAnsi" w:eastAsiaTheme="minorEastAsia" w:hAnsiTheme="minorHAnsi" w:cstheme="minorBidi"/>
            <w:sz w:val="22"/>
            <w:szCs w:val="22"/>
          </w:rPr>
          <w:tab/>
        </w:r>
        <w:r w:rsidR="00AC6032" w:rsidRPr="00F5396D">
          <w:rPr>
            <w:rStyle w:val="Hyperlink"/>
          </w:rPr>
          <w:t>Common workflow steps for this scenario</w:t>
        </w:r>
        <w:r w:rsidR="00AC6032">
          <w:rPr>
            <w:webHidden/>
          </w:rPr>
          <w:tab/>
        </w:r>
        <w:r w:rsidR="00AC6032">
          <w:rPr>
            <w:webHidden/>
          </w:rPr>
          <w:fldChar w:fldCharType="begin"/>
        </w:r>
        <w:r w:rsidR="00AC6032">
          <w:rPr>
            <w:webHidden/>
          </w:rPr>
          <w:instrText xml:space="preserve"> PAGEREF _Toc325627310 \h </w:instrText>
        </w:r>
        <w:r w:rsidR="00AC6032">
          <w:rPr>
            <w:webHidden/>
          </w:rPr>
        </w:r>
        <w:r w:rsidR="00AC6032">
          <w:rPr>
            <w:webHidden/>
          </w:rPr>
          <w:fldChar w:fldCharType="separate"/>
        </w:r>
        <w:r w:rsidR="00AC6032">
          <w:rPr>
            <w:webHidden/>
          </w:rPr>
          <w:t>2</w:t>
        </w:r>
        <w:r w:rsidR="00AC6032">
          <w:rPr>
            <w:webHidden/>
          </w:rPr>
          <w:fldChar w:fldCharType="end"/>
        </w:r>
      </w:hyperlink>
    </w:p>
    <w:p w:rsidR="00AC6032" w:rsidRDefault="00F16FFF">
      <w:pPr>
        <w:pStyle w:val="TOC2"/>
        <w:rPr>
          <w:rFonts w:asciiTheme="minorHAnsi" w:eastAsiaTheme="minorEastAsia" w:hAnsiTheme="minorHAnsi" w:cstheme="minorBidi"/>
          <w:sz w:val="22"/>
          <w:szCs w:val="22"/>
        </w:rPr>
      </w:pPr>
      <w:hyperlink w:anchor="_Toc325627311" w:history="1">
        <w:r w:rsidR="00AC6032" w:rsidRPr="00F5396D">
          <w:rPr>
            <w:rStyle w:val="Hyperlink"/>
          </w:rPr>
          <w:t>1.2</w:t>
        </w:r>
        <w:r w:rsidR="00AC6032">
          <w:rPr>
            <w:rFonts w:asciiTheme="minorHAnsi" w:eastAsiaTheme="minorEastAsia" w:hAnsiTheme="minorHAnsi" w:cstheme="minorBidi"/>
            <w:sz w:val="22"/>
            <w:szCs w:val="22"/>
          </w:rPr>
          <w:tab/>
        </w:r>
        <w:r w:rsidR="00AC6032" w:rsidRPr="00F5396D">
          <w:rPr>
            <w:rStyle w:val="Hyperlink"/>
          </w:rPr>
          <w:t>NwHIN 1.0 specifications and resources recommended for this scenario</w:t>
        </w:r>
        <w:r w:rsidR="00AC6032">
          <w:rPr>
            <w:webHidden/>
          </w:rPr>
          <w:tab/>
        </w:r>
        <w:r w:rsidR="00AC6032">
          <w:rPr>
            <w:webHidden/>
          </w:rPr>
          <w:fldChar w:fldCharType="begin"/>
        </w:r>
        <w:r w:rsidR="00AC6032">
          <w:rPr>
            <w:webHidden/>
          </w:rPr>
          <w:instrText xml:space="preserve"> PAGEREF _Toc325627311 \h </w:instrText>
        </w:r>
        <w:r w:rsidR="00AC6032">
          <w:rPr>
            <w:webHidden/>
          </w:rPr>
        </w:r>
        <w:r w:rsidR="00AC6032">
          <w:rPr>
            <w:webHidden/>
          </w:rPr>
          <w:fldChar w:fldCharType="separate"/>
        </w:r>
        <w:r w:rsidR="00AC6032">
          <w:rPr>
            <w:webHidden/>
          </w:rPr>
          <w:t>2</w:t>
        </w:r>
        <w:r w:rsidR="00AC6032">
          <w:rPr>
            <w:webHidden/>
          </w:rPr>
          <w:fldChar w:fldCharType="end"/>
        </w:r>
      </w:hyperlink>
    </w:p>
    <w:p w:rsidR="00A2135B" w:rsidRDefault="00D068C9" w:rsidP="00137AC9">
      <w:pPr>
        <w:sectPr w:rsidR="00A2135B" w:rsidSect="00A2135B">
          <w:headerReference w:type="default" r:id="rId20"/>
          <w:pgSz w:w="12240" w:h="15840"/>
          <w:pgMar w:top="2160" w:right="1440" w:bottom="1440" w:left="1440" w:header="720" w:footer="720" w:gutter="0"/>
          <w:pgNumType w:fmt="lowerRoman" w:start="1"/>
          <w:cols w:space="720"/>
        </w:sectPr>
      </w:pPr>
      <w:r>
        <w:fldChar w:fldCharType="end"/>
      </w:r>
      <w:bookmarkEnd w:id="2"/>
      <w:bookmarkEnd w:id="3"/>
    </w:p>
    <w:p w:rsidR="008C13A0" w:rsidRDefault="007F6E90" w:rsidP="007F6E90">
      <w:pPr>
        <w:pStyle w:val="Heading1"/>
      </w:pPr>
      <w:bookmarkStart w:id="9" w:name="_Toc325627309"/>
      <w:bookmarkStart w:id="10" w:name="OneSubmittingImmunizationDataPublic"/>
      <w:r>
        <w:t>Submitting Immunization Data to Public Health</w:t>
      </w:r>
      <w:bookmarkEnd w:id="9"/>
    </w:p>
    <w:bookmarkEnd w:id="10"/>
    <w:p w:rsidR="00A21CDD" w:rsidRDefault="007F6E90" w:rsidP="008C13A0">
      <w:pPr>
        <w:pStyle w:val="BodyText"/>
      </w:pPr>
      <w:r w:rsidRPr="007F6E90">
        <w:rPr>
          <w:rStyle w:val="SubtleEmphasis"/>
          <w:i w:val="0"/>
          <w:color w:val="auto"/>
        </w:rPr>
        <w:t>A physician sends a patient’s immunization record to the state’s immunization information system:</w:t>
      </w:r>
      <w:r w:rsidR="00A21CDD" w:rsidRPr="0081629C">
        <w:rPr>
          <w:rFonts w:ascii="Times New Roman" w:eastAsiaTheme="minorEastAsia" w:hAnsi="Times New Roman" w:cs="Times New Roman"/>
          <w:noProof/>
          <w:sz w:val="24"/>
          <w:szCs w:val="24"/>
        </w:rPr>
        <w:drawing>
          <wp:inline distT="0" distB="0" distL="0" distR="0" wp14:anchorId="7C7307A0" wp14:editId="63F87BA9">
            <wp:extent cx="5943600" cy="2675063"/>
            <wp:effectExtent l="0" t="0" r="0" b="0"/>
            <wp:docPr id="29" name="Picture 29" descr="A flow diagram illustrating the transfer of a continuity of care document from emergency department (ED) physician to the patient's primary care physician via Direct. The ED physician sends the properly formatted document to the primary care physician's Direct address, which has been verified in the Provider Directory. The message passes through the hospital's HISP, where it is encrypted and sent to the primary care physician's HISP. The primary care physician's HISP then decrypts the message and routes it to the primary care physician." title="Transition of Care"/>
            <wp:cNvGraphicFramePr/>
            <a:graphic xmlns:a="http://schemas.openxmlformats.org/drawingml/2006/main">
              <a:graphicData uri="http://schemas.openxmlformats.org/drawingml/2006/picture">
                <pic:pic xmlns:pic="http://schemas.openxmlformats.org/drawingml/2006/picture">
                  <pic:nvPicPr>
                    <pic:cNvPr id="9" name="Picture 9" descr="Diagram of an emergency department physician sending a continuity of care document via Direct to the patient's primary care physician." title="Transition of Care"/>
                    <pic:cNvPicPr/>
                  </pic:nvPicPr>
                  <pic:blipFill>
                    <a:blip r:embed="rId21"/>
                    <a:stretch>
                      <a:fillRect/>
                    </a:stretch>
                  </pic:blipFill>
                  <pic:spPr>
                    <a:xfrm>
                      <a:off x="0" y="0"/>
                      <a:ext cx="5943600" cy="2675063"/>
                    </a:xfrm>
                    <a:prstGeom prst="rect">
                      <a:avLst/>
                    </a:prstGeom>
                  </pic:spPr>
                </pic:pic>
              </a:graphicData>
            </a:graphic>
          </wp:inline>
        </w:drawing>
      </w:r>
    </w:p>
    <w:p w:rsidR="00525331" w:rsidRDefault="007F6E90" w:rsidP="00525331">
      <w:pPr>
        <w:pStyle w:val="BodyText"/>
      </w:pPr>
      <w:r w:rsidRPr="007F6E90">
        <w:t>Parents of a one-year old take their child to his primary care physician to be immunized in accordance with Centers for Disease Control and Prevention (CDC) recommendations. Upon completion of the varicella and MMR vaccines, the primary care physician updates the patient’s electronic health record (EHR) and accesses the state’s Immunization Information System (IIS) interface from within the EHR system.  The physician then sends the immunization record to the IIS.</w:t>
      </w:r>
    </w:p>
    <w:p w:rsidR="00CE2611" w:rsidRDefault="00CE2611" w:rsidP="00525331">
      <w:pPr>
        <w:pStyle w:val="BodyText"/>
      </w:pPr>
    </w:p>
    <w:p w:rsidR="00CE2611" w:rsidRDefault="00CE2611" w:rsidP="00CE2611">
      <w:pPr>
        <w:autoSpaceDE w:val="0"/>
        <w:autoSpaceDN w:val="0"/>
        <w:adjustRightInd w:val="0"/>
        <w:rPr>
          <w:rFonts w:ascii="Melior" w:hAnsi="Melior" w:cs="Melior"/>
          <w:sz w:val="18"/>
          <w:szCs w:val="18"/>
        </w:rPr>
      </w:pPr>
      <w:r w:rsidRPr="00CE2611">
        <w:rPr>
          <w:b/>
          <w:bCs/>
          <w:color w:val="1F497D" w:themeColor="text2"/>
          <w:kern w:val="24"/>
          <w:sz w:val="22"/>
          <w:szCs w:val="22"/>
        </w:rPr>
        <w:t>Meaningful Use Stage 1 Objectives related to immunization registries:</w:t>
      </w:r>
      <w:r>
        <w:rPr>
          <w:b/>
          <w:bCs/>
          <w:color w:val="1F497D" w:themeColor="text2"/>
          <w:kern w:val="24"/>
          <w:sz w:val="22"/>
          <w:szCs w:val="22"/>
        </w:rPr>
        <w:t xml:space="preserve"> </w:t>
      </w:r>
      <w:r>
        <w:rPr>
          <w:bCs/>
          <w:color w:val="1F497D" w:themeColor="text2"/>
          <w:kern w:val="24"/>
          <w:sz w:val="22"/>
          <w:szCs w:val="22"/>
        </w:rPr>
        <w:t xml:space="preserve">Capability to submit electronic data to immunization registries or immunization information systems except where prohibited, and in accordance with applicable law and practice. </w:t>
      </w:r>
      <w:r>
        <w:rPr>
          <w:bCs/>
          <w:i/>
          <w:color w:val="1F497D" w:themeColor="text2"/>
          <w:kern w:val="24"/>
          <w:sz w:val="22"/>
          <w:szCs w:val="22"/>
        </w:rPr>
        <w:t>(Meaningful Use Menu Set Measure 9 for EPs, Meaningful Use Menu Set Measure 8 for EH/CAHs)</w:t>
      </w:r>
    </w:p>
    <w:p w:rsidR="00CE2611" w:rsidRPr="00525331" w:rsidRDefault="00CE2611" w:rsidP="00525331">
      <w:pPr>
        <w:pStyle w:val="BodyText"/>
      </w:pPr>
    </w:p>
    <w:p w:rsidR="00525331" w:rsidRDefault="00525331" w:rsidP="00137AC9">
      <w:pPr>
        <w:tabs>
          <w:tab w:val="left" w:pos="90"/>
        </w:tabs>
        <w:ind w:left="90" w:right="42"/>
      </w:pPr>
    </w:p>
    <w:p w:rsidR="00916EEE" w:rsidRDefault="00916EEE">
      <w:pPr>
        <w:spacing w:after="200" w:line="276" w:lineRule="auto"/>
        <w:rPr>
          <w:rFonts w:eastAsiaTheme="majorEastAsia"/>
          <w:b/>
          <w:caps/>
          <w:color w:val="056DB1"/>
          <w:sz w:val="26"/>
          <w:szCs w:val="30"/>
        </w:rPr>
      </w:pPr>
      <w:r>
        <w:br w:type="page"/>
      </w:r>
    </w:p>
    <w:p w:rsidR="00A72363" w:rsidRPr="007F3FDB" w:rsidRDefault="00A72363" w:rsidP="00A72363">
      <w:pPr>
        <w:pStyle w:val="Heading2"/>
        <w:spacing w:before="960"/>
      </w:pPr>
      <w:bookmarkStart w:id="11" w:name="OnePointOneCommonWorkflowSteps"/>
      <w:r w:rsidRPr="007F3FDB">
        <w:t>Common workflow steps for this scenario</w:t>
      </w:r>
    </w:p>
    <w:bookmarkEnd w:id="11"/>
    <w:p w:rsidR="007F6E90" w:rsidRPr="007F6E90" w:rsidRDefault="00A21CDD" w:rsidP="00A72363">
      <w:pPr>
        <w:pStyle w:val="ListNumber"/>
        <w:numPr>
          <w:ilvl w:val="0"/>
          <w:numId w:val="15"/>
        </w:numPr>
        <w:spacing w:after="120"/>
        <w:contextualSpacing w:val="0"/>
      </w:pPr>
      <w:r w:rsidRPr="007F6E90">
        <w:t>T</w:t>
      </w:r>
      <w:bookmarkStart w:id="12" w:name="_Ref307305814"/>
      <w:bookmarkStart w:id="13" w:name="_Toc322449466"/>
      <w:bookmarkEnd w:id="4"/>
      <w:bookmarkEnd w:id="5"/>
      <w:bookmarkEnd w:id="6"/>
      <w:r w:rsidR="007F6E90" w:rsidRPr="007F6E90">
        <w:t>he primary care physician enters the immunization data into his EHR and then accesses the state’s IIS through the EHR, which is possible because the physician practice has signed a user agreement with the state, and the EHR vendor supports HL7 v.2.5.1 and has a Secure File Transfer Protocol (SFTP) interface.</w:t>
      </w:r>
    </w:p>
    <w:p w:rsidR="007F6E90" w:rsidRPr="007F6E90" w:rsidRDefault="007F6E90" w:rsidP="00A72363">
      <w:pPr>
        <w:pStyle w:val="ListNumber"/>
        <w:numPr>
          <w:ilvl w:val="0"/>
          <w:numId w:val="15"/>
        </w:numPr>
        <w:spacing w:after="120"/>
        <w:contextualSpacing w:val="0"/>
      </w:pPr>
      <w:r w:rsidRPr="007F6E90">
        <w:t>The</w:t>
      </w:r>
      <w:r w:rsidR="00A21CDD" w:rsidRPr="007F6E90">
        <w:t xml:space="preserve"> </w:t>
      </w:r>
      <w:bookmarkEnd w:id="12"/>
      <w:bookmarkEnd w:id="13"/>
      <w:r w:rsidRPr="007F6E90">
        <w:t>EHR automatically uploads the physician’s file, which has been properly formatted according to HL7 v.2.5.1 Implementation Guide for Immunization Messaging, using CVX codes, into the state’s SFTP system.  The state’s system processes and stores the immunization record in the state’s immunization registry database.</w:t>
      </w:r>
    </w:p>
    <w:p w:rsidR="00F240F4" w:rsidRPr="007F6E90" w:rsidRDefault="00CF1D88" w:rsidP="00A72363">
      <w:pPr>
        <w:pStyle w:val="ListNumber"/>
        <w:numPr>
          <w:ilvl w:val="0"/>
          <w:numId w:val="15"/>
        </w:numPr>
        <w:spacing w:after="120"/>
        <w:contextualSpacing w:val="0"/>
      </w:pPr>
      <w:r w:rsidRPr="007F6E90">
        <w:t xml:space="preserve">The </w:t>
      </w:r>
      <w:r w:rsidR="007F6E90" w:rsidRPr="007F6E90">
        <w:t>IIS sends an acknowledgement message via email to the primary care physician’s EHR indicating that the immunization record was successfully stored.</w:t>
      </w:r>
    </w:p>
    <w:p w:rsidR="00A72363" w:rsidRPr="007F3FDB" w:rsidRDefault="00A72363" w:rsidP="00A72363">
      <w:pPr>
        <w:pStyle w:val="Heading2"/>
      </w:pPr>
      <w:bookmarkStart w:id="14" w:name="_Toc325626044"/>
      <w:bookmarkStart w:id="15" w:name="OnePointTwoNWHINSPecifications"/>
      <w:r w:rsidRPr="007F3FDB">
        <w:t>NwHIN 1.0 specifications and resources recommended for this scenario</w:t>
      </w:r>
      <w:bookmarkEnd w:id="14"/>
    </w:p>
    <w:tbl>
      <w:tblPr>
        <w:tblStyle w:val="NLCTable"/>
        <w:tblW w:w="10020" w:type="dxa"/>
        <w:tblLook w:val="0420" w:firstRow="1" w:lastRow="0" w:firstColumn="0" w:lastColumn="0" w:noHBand="0" w:noVBand="1"/>
        <w:tblDescription w:val="Table Styles"/>
      </w:tblPr>
      <w:tblGrid>
        <w:gridCol w:w="3658"/>
        <w:gridCol w:w="6362"/>
      </w:tblGrid>
      <w:tr w:rsidR="00AE1BD8" w:rsidTr="00916EEE">
        <w:trPr>
          <w:cnfStyle w:val="100000000000" w:firstRow="1" w:lastRow="0" w:firstColumn="0" w:lastColumn="0" w:oddVBand="0" w:evenVBand="0" w:oddHBand="0" w:evenHBand="0" w:firstRowFirstColumn="0" w:firstRowLastColumn="0" w:lastRowFirstColumn="0" w:lastRowLastColumn="0"/>
        </w:trPr>
        <w:tc>
          <w:tcPr>
            <w:tcW w:w="3658" w:type="dxa"/>
          </w:tcPr>
          <w:p w:rsidR="00AE1BD8" w:rsidRDefault="00AE1BD8" w:rsidP="00A554CD">
            <w:pPr>
              <w:pStyle w:val="TableHeading"/>
            </w:pPr>
            <w:bookmarkStart w:id="16" w:name="ColumnTitle"/>
            <w:bookmarkEnd w:id="15"/>
            <w:bookmarkEnd w:id="16"/>
            <w:r>
              <w:t>Specifications</w:t>
            </w:r>
          </w:p>
        </w:tc>
        <w:tc>
          <w:tcPr>
            <w:tcW w:w="6362" w:type="dxa"/>
          </w:tcPr>
          <w:p w:rsidR="00AE1BD8" w:rsidRDefault="00AE1BD8" w:rsidP="00A554CD">
            <w:pPr>
              <w:pStyle w:val="TableHeading"/>
            </w:pPr>
            <w:r>
              <w:t>Resources</w:t>
            </w:r>
          </w:p>
        </w:tc>
      </w:tr>
      <w:tr w:rsidR="00AE1BD8" w:rsidTr="00916EEE">
        <w:tc>
          <w:tcPr>
            <w:tcW w:w="3658" w:type="dxa"/>
          </w:tcPr>
          <w:p w:rsidR="00AE1BD8" w:rsidRDefault="00AE1BD8" w:rsidP="00AE1BD8">
            <w:pPr>
              <w:pStyle w:val="TableSubheading"/>
            </w:pPr>
            <w:r>
              <w:t>Content Structure</w:t>
            </w:r>
          </w:p>
          <w:p w:rsidR="00AE1BD8" w:rsidRPr="00AE1BD8" w:rsidRDefault="00AE1BD8" w:rsidP="00916EEE">
            <w:pPr>
              <w:pStyle w:val="TableText"/>
            </w:pPr>
            <w:r w:rsidRPr="00AE1BD8">
              <w:t>Guidance that specifies how to structure health information to ensure proper exchange</w:t>
            </w:r>
          </w:p>
        </w:tc>
        <w:tc>
          <w:tcPr>
            <w:tcW w:w="6362" w:type="dxa"/>
          </w:tcPr>
          <w:p w:rsidR="00AE1BD8" w:rsidRPr="007F6E90" w:rsidRDefault="00F16FFF" w:rsidP="00F240F4">
            <w:pPr>
              <w:pStyle w:val="TableBullet"/>
              <w:rPr>
                <w:szCs w:val="20"/>
              </w:rPr>
            </w:pPr>
            <w:hyperlink r:id="rId22" w:history="1">
              <w:r w:rsidR="007F6E90" w:rsidRPr="007F6E90">
                <w:rPr>
                  <w:rStyle w:val="Hyperlink"/>
                  <w:color w:val="548DD4" w:themeColor="text2" w:themeTint="99"/>
                  <w:kern w:val="24"/>
                  <w:szCs w:val="20"/>
                </w:rPr>
                <w:t>HL7 v. 2.5.1 Implementation Guide for Immunization Messaging, Release 1.3</w:t>
              </w:r>
            </w:hyperlink>
          </w:p>
        </w:tc>
      </w:tr>
      <w:tr w:rsidR="00AE1BD8" w:rsidTr="00916EEE">
        <w:trPr>
          <w:cnfStyle w:val="000000010000" w:firstRow="0" w:lastRow="0" w:firstColumn="0" w:lastColumn="0" w:oddVBand="0" w:evenVBand="0" w:oddHBand="0" w:evenHBand="1" w:firstRowFirstColumn="0" w:firstRowLastColumn="0" w:lastRowFirstColumn="0" w:lastRowLastColumn="0"/>
        </w:trPr>
        <w:tc>
          <w:tcPr>
            <w:tcW w:w="3658" w:type="dxa"/>
          </w:tcPr>
          <w:p w:rsidR="00AE1BD8" w:rsidRDefault="00AE1BD8" w:rsidP="00916EEE">
            <w:pPr>
              <w:pStyle w:val="TableSubheading"/>
            </w:pPr>
            <w:r w:rsidRPr="001369CF">
              <w:t>Vocabulary &amp; Code Sets</w:t>
            </w:r>
          </w:p>
          <w:p w:rsidR="00AE1BD8" w:rsidRPr="00916EEE" w:rsidRDefault="00AE1BD8" w:rsidP="00916EEE">
            <w:pPr>
              <w:pStyle w:val="TableText"/>
            </w:pPr>
            <w:r w:rsidRPr="00916EEE">
              <w:t>Specifications that identify common naming conventions necessary for proper health information exchange</w:t>
            </w:r>
          </w:p>
        </w:tc>
        <w:tc>
          <w:tcPr>
            <w:tcW w:w="6362" w:type="dxa"/>
          </w:tcPr>
          <w:p w:rsidR="007F6E90" w:rsidRPr="007F6E90" w:rsidRDefault="00F16FFF" w:rsidP="00F240F4">
            <w:pPr>
              <w:pStyle w:val="TableBullet"/>
              <w:rPr>
                <w:szCs w:val="20"/>
              </w:rPr>
            </w:pPr>
            <w:hyperlink r:id="rId23" w:history="1">
              <w:r w:rsidR="007F6E90" w:rsidRPr="007F6E90">
                <w:rPr>
                  <w:rStyle w:val="Hyperlink"/>
                  <w:color w:val="548DD4" w:themeColor="text2" w:themeTint="99"/>
                  <w:szCs w:val="20"/>
                </w:rPr>
                <w:t>CVX Code Set: August 15, 2011 version</w:t>
              </w:r>
            </w:hyperlink>
          </w:p>
          <w:p w:rsidR="00AE1BD8" w:rsidRPr="007F6E90" w:rsidRDefault="00AE1BD8" w:rsidP="007F6E90">
            <w:pPr>
              <w:pStyle w:val="TableBullet"/>
              <w:numPr>
                <w:ilvl w:val="0"/>
                <w:numId w:val="0"/>
              </w:numPr>
              <w:rPr>
                <w:szCs w:val="20"/>
              </w:rPr>
            </w:pPr>
          </w:p>
        </w:tc>
      </w:tr>
    </w:tbl>
    <w:p w:rsidR="0072000C" w:rsidRDefault="0072000C" w:rsidP="00916EEE">
      <w:pPr>
        <w:pStyle w:val="BodyTextReferences"/>
      </w:pPr>
    </w:p>
    <w:sectPr w:rsidR="0072000C"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FFF" w:rsidRDefault="00F16FFF" w:rsidP="00B76348">
      <w:r>
        <w:separator/>
      </w:r>
    </w:p>
  </w:endnote>
  <w:endnote w:type="continuationSeparator" w:id="0">
    <w:p w:rsidR="00F16FFF" w:rsidRDefault="00F16FFF"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elio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F7F" w:rsidRDefault="00D82F7F"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Pr="00206554" w:rsidRDefault="00D82F7F" w:rsidP="002A2A86">
    <w:pPr>
      <w:tabs>
        <w:tab w:val="left" w:pos="2987"/>
        <w:tab w:val="right" w:pos="9000"/>
      </w:tabs>
      <w:ind w:right="360"/>
      <w:rPr>
        <w:sz w:val="14"/>
        <w:szCs w:val="14"/>
      </w:rPr>
    </w:pPr>
  </w:p>
  <w:p w:rsidR="00D82F7F" w:rsidRDefault="00413EBE" w:rsidP="00413EBE">
    <w:pPr>
      <w:framePr w:w="1921" w:wrap="around" w:vAnchor="text" w:hAnchor="margin" w:xAlign="center" w:y="51"/>
      <w:jc w:val="center"/>
      <w:rPr>
        <w:color w:val="808080" w:themeColor="background1" w:themeShade="80"/>
        <w:sz w:val="14"/>
        <w:szCs w:val="14"/>
      </w:rPr>
    </w:pPr>
    <w:r>
      <w:rPr>
        <w:color w:val="808080" w:themeColor="background1" w:themeShade="80"/>
        <w:sz w:val="14"/>
        <w:szCs w:val="14"/>
      </w:rPr>
      <w:t>May 3</w:t>
    </w:r>
    <w:r w:rsidR="00CF1D88">
      <w:rPr>
        <w:color w:val="808080" w:themeColor="background1" w:themeShade="80"/>
        <w:sz w:val="14"/>
        <w:szCs w:val="14"/>
      </w:rPr>
      <w:t>1, 2012</w:t>
    </w:r>
    <w:r w:rsidR="00D82F7F">
      <w:rPr>
        <w:color w:val="808080" w:themeColor="background1" w:themeShade="80"/>
        <w:sz w:val="14"/>
        <w:szCs w:val="14"/>
      </w:rPr>
      <w:t xml:space="preserve"> • Version 1.0</w:t>
    </w:r>
  </w:p>
  <w:p w:rsidR="00D82F7F" w:rsidRPr="002A2A86" w:rsidRDefault="00D82F7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3C3227">
      <w:rPr>
        <w:rStyle w:val="PageNumber"/>
        <w:noProof/>
        <w:color w:val="808080" w:themeColor="background1" w:themeShade="80"/>
        <w:sz w:val="14"/>
        <w:szCs w:val="14"/>
      </w:rPr>
      <w:t>i</w:t>
    </w:r>
    <w:r w:rsidRPr="002A2A86">
      <w:rPr>
        <w:rStyle w:val="PageNumber"/>
        <w:color w:val="808080" w:themeColor="background1" w:themeShade="80"/>
        <w:sz w:val="14"/>
        <w:szCs w:val="14"/>
      </w:rPr>
      <w:fldChar w:fldCharType="end"/>
    </w:r>
  </w:p>
  <w:p w:rsidR="00D82F7F" w:rsidRDefault="00D82F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FFF" w:rsidRDefault="00F16FFF" w:rsidP="00B76348">
      <w:r>
        <w:separator/>
      </w:r>
    </w:p>
  </w:footnote>
  <w:footnote w:type="continuationSeparator" w:id="0">
    <w:p w:rsidR="00F16FFF" w:rsidRDefault="00F16FFF"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1CF90C16" wp14:editId="19516DAE">
          <wp:simplePos x="0" y="0"/>
          <wp:positionH relativeFrom="column">
            <wp:posOffset>-952500</wp:posOffset>
          </wp:positionH>
          <wp:positionV relativeFrom="paragraph">
            <wp:posOffset>-457200</wp:posOffset>
          </wp:positionV>
          <wp:extent cx="8077200" cy="1828800"/>
          <wp:effectExtent l="0" t="0" r="0" b="0"/>
          <wp:wrapNone/>
          <wp:docPr id="2" name="Picture 2"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63E95CD6" wp14:editId="0A9B7987">
          <wp:extent cx="2688336" cy="384048"/>
          <wp:effectExtent l="0" t="0" r="0" b="0"/>
          <wp:docPr id="3" name="Picture 3"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5534DC"/>
    <w:multiLevelType w:val="multilevel"/>
    <w:tmpl w:val="4A003510"/>
    <w:lvl w:ilvl="0">
      <w:start w:val="1"/>
      <w:numFmt w:val="decimal"/>
      <w:lvlText w:val="%1"/>
      <w:lvlJc w:val="left"/>
      <w:pPr>
        <w:ind w:left="360" w:hanging="360"/>
      </w:pPr>
      <w:rPr>
        <w:rFonts w:ascii="Arial" w:eastAsiaTheme="minorHAnsi" w:hAnsi="Arial" w:cs="Arial" w:hint="default"/>
        <w:color w:val="0000FF" w:themeColor="hyperlink"/>
        <w:sz w:val="20"/>
        <w:u w:val="single"/>
      </w:rPr>
    </w:lvl>
    <w:lvl w:ilvl="1">
      <w:start w:val="2"/>
      <w:numFmt w:val="decimal"/>
      <w:lvlText w:val="%1.%2"/>
      <w:lvlJc w:val="left"/>
      <w:pPr>
        <w:ind w:left="1080" w:hanging="720"/>
      </w:pPr>
      <w:rPr>
        <w:rFonts w:ascii="Arial" w:eastAsiaTheme="minorHAnsi" w:hAnsi="Arial" w:cs="Arial" w:hint="default"/>
        <w:color w:val="0000FF" w:themeColor="hyperlink"/>
        <w:sz w:val="20"/>
        <w:u w:val="single"/>
      </w:rPr>
    </w:lvl>
    <w:lvl w:ilvl="2">
      <w:start w:val="1"/>
      <w:numFmt w:val="decimal"/>
      <w:lvlText w:val="%1.%2.%3"/>
      <w:lvlJc w:val="left"/>
      <w:pPr>
        <w:ind w:left="1800" w:hanging="1080"/>
      </w:pPr>
      <w:rPr>
        <w:rFonts w:ascii="Arial" w:eastAsiaTheme="minorHAnsi" w:hAnsi="Arial" w:cs="Arial" w:hint="default"/>
        <w:color w:val="0000FF" w:themeColor="hyperlink"/>
        <w:sz w:val="20"/>
        <w:u w:val="single"/>
      </w:rPr>
    </w:lvl>
    <w:lvl w:ilvl="3">
      <w:start w:val="1"/>
      <w:numFmt w:val="decimal"/>
      <w:lvlText w:val="%1.%2.%3.%4"/>
      <w:lvlJc w:val="left"/>
      <w:pPr>
        <w:ind w:left="2520" w:hanging="1440"/>
      </w:pPr>
      <w:rPr>
        <w:rFonts w:ascii="Arial" w:eastAsiaTheme="minorHAnsi" w:hAnsi="Arial" w:cs="Arial" w:hint="default"/>
        <w:color w:val="0000FF" w:themeColor="hyperlink"/>
        <w:sz w:val="20"/>
        <w:u w:val="single"/>
      </w:rPr>
    </w:lvl>
    <w:lvl w:ilvl="4">
      <w:start w:val="1"/>
      <w:numFmt w:val="decimal"/>
      <w:lvlText w:val="%1.%2.%3.%4.%5"/>
      <w:lvlJc w:val="left"/>
      <w:pPr>
        <w:ind w:left="3240" w:hanging="1800"/>
      </w:pPr>
      <w:rPr>
        <w:rFonts w:ascii="Arial" w:eastAsiaTheme="minorHAnsi" w:hAnsi="Arial" w:cs="Arial" w:hint="default"/>
        <w:color w:val="0000FF" w:themeColor="hyperlink"/>
        <w:sz w:val="20"/>
        <w:u w:val="single"/>
      </w:rPr>
    </w:lvl>
    <w:lvl w:ilvl="5">
      <w:start w:val="1"/>
      <w:numFmt w:val="decimal"/>
      <w:lvlText w:val="%1.%2.%3.%4.%5.%6"/>
      <w:lvlJc w:val="left"/>
      <w:pPr>
        <w:ind w:left="3960" w:hanging="2160"/>
      </w:pPr>
      <w:rPr>
        <w:rFonts w:ascii="Arial" w:eastAsiaTheme="minorHAnsi" w:hAnsi="Arial" w:cs="Arial" w:hint="default"/>
        <w:color w:val="0000FF" w:themeColor="hyperlink"/>
        <w:sz w:val="20"/>
        <w:u w:val="single"/>
      </w:rPr>
    </w:lvl>
    <w:lvl w:ilvl="6">
      <w:start w:val="1"/>
      <w:numFmt w:val="decimal"/>
      <w:lvlText w:val="%1.%2.%3.%4.%5.%6.%7"/>
      <w:lvlJc w:val="left"/>
      <w:pPr>
        <w:ind w:left="4680" w:hanging="2520"/>
      </w:pPr>
      <w:rPr>
        <w:rFonts w:ascii="Arial" w:eastAsiaTheme="minorHAnsi" w:hAnsi="Arial" w:cs="Arial" w:hint="default"/>
        <w:color w:val="0000FF" w:themeColor="hyperlink"/>
        <w:sz w:val="20"/>
        <w:u w:val="single"/>
      </w:rPr>
    </w:lvl>
    <w:lvl w:ilvl="7">
      <w:start w:val="1"/>
      <w:numFmt w:val="decimal"/>
      <w:lvlText w:val="%1.%2.%3.%4.%5.%6.%7.%8"/>
      <w:lvlJc w:val="left"/>
      <w:pPr>
        <w:ind w:left="5400" w:hanging="2880"/>
      </w:pPr>
      <w:rPr>
        <w:rFonts w:ascii="Arial" w:eastAsiaTheme="minorHAnsi" w:hAnsi="Arial" w:cs="Arial" w:hint="default"/>
        <w:color w:val="0000FF" w:themeColor="hyperlink"/>
        <w:sz w:val="20"/>
        <w:u w:val="single"/>
      </w:rPr>
    </w:lvl>
    <w:lvl w:ilvl="8">
      <w:start w:val="1"/>
      <w:numFmt w:val="decimal"/>
      <w:lvlText w:val="%1.%2.%3.%4.%5.%6.%7.%8.%9"/>
      <w:lvlJc w:val="left"/>
      <w:pPr>
        <w:ind w:left="6120" w:hanging="3240"/>
      </w:pPr>
      <w:rPr>
        <w:rFonts w:ascii="Arial" w:eastAsiaTheme="minorHAnsi" w:hAnsi="Arial" w:cs="Arial" w:hint="default"/>
        <w:color w:val="0000FF" w:themeColor="hyperlink"/>
        <w:sz w:val="20"/>
        <w:u w:val="single"/>
      </w:rPr>
    </w:lvl>
  </w:abstractNum>
  <w:abstractNum w:abstractNumId="7">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3">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3722EB7"/>
    <w:multiLevelType w:val="multilevel"/>
    <w:tmpl w:val="ED1621D0"/>
    <w:lvl w:ilvl="0">
      <w:start w:val="1"/>
      <w:numFmt w:val="decimal"/>
      <w:pStyle w:val="Bullet1"/>
      <w:lvlText w:val="%1."/>
      <w:lvlJc w:val="left"/>
      <w:pPr>
        <w:ind w:left="360" w:hanging="360"/>
      </w:pPr>
      <w:rPr>
        <w:rFonts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5">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6527239"/>
    <w:multiLevelType w:val="hybridMultilevel"/>
    <w:tmpl w:val="6DDAA2C8"/>
    <w:lvl w:ilvl="0" w:tplc="0FB26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2"/>
  </w:num>
  <w:num w:numId="3">
    <w:abstractNumId w:val="13"/>
  </w:num>
  <w:num w:numId="4">
    <w:abstractNumId w:val="11"/>
  </w:num>
  <w:num w:numId="5">
    <w:abstractNumId w:val="1"/>
  </w:num>
  <w:num w:numId="6">
    <w:abstractNumId w:val="5"/>
  </w:num>
  <w:num w:numId="7">
    <w:abstractNumId w:val="0"/>
    <w:lvlOverride w:ilvl="0">
      <w:startOverride w:val="1"/>
    </w:lvlOverride>
  </w:num>
  <w:num w:numId="8">
    <w:abstractNumId w:val="0"/>
    <w:lvlOverride w:ilvl="0">
      <w:startOverride w:val="1"/>
    </w:lvlOverride>
  </w:num>
  <w:num w:numId="9">
    <w:abstractNumId w:val="7"/>
  </w:num>
  <w:num w:numId="10">
    <w:abstractNumId w:val="15"/>
  </w:num>
  <w:num w:numId="11">
    <w:abstractNumId w:val="2"/>
  </w:num>
  <w:num w:numId="12">
    <w:abstractNumId w:val="8"/>
  </w:num>
  <w:num w:numId="13">
    <w:abstractNumId w:val="3"/>
  </w:num>
  <w:num w:numId="14">
    <w:abstractNumId w:val="4"/>
  </w:num>
  <w:num w:numId="15">
    <w:abstractNumId w:val="16"/>
  </w:num>
  <w:num w:numId="16">
    <w:abstractNumId w:val="10"/>
  </w:num>
  <w:num w:numId="17">
    <w:abstractNumId w:val="9"/>
  </w:num>
  <w:num w:numId="18">
    <w:abstractNumId w:val="0"/>
  </w:num>
  <w:num w:numId="19">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0DA3"/>
    <w:rsid w:val="00023419"/>
    <w:rsid w:val="0002669E"/>
    <w:rsid w:val="00031E49"/>
    <w:rsid w:val="000458E3"/>
    <w:rsid w:val="0005254C"/>
    <w:rsid w:val="000573A4"/>
    <w:rsid w:val="0008331E"/>
    <w:rsid w:val="000B7FC5"/>
    <w:rsid w:val="000C62CC"/>
    <w:rsid w:val="000F79D1"/>
    <w:rsid w:val="00110416"/>
    <w:rsid w:val="00137AC9"/>
    <w:rsid w:val="00171FB8"/>
    <w:rsid w:val="00174B47"/>
    <w:rsid w:val="00186908"/>
    <w:rsid w:val="001A7C51"/>
    <w:rsid w:val="001B4BA7"/>
    <w:rsid w:val="001D3A8D"/>
    <w:rsid w:val="001E452F"/>
    <w:rsid w:val="001F64C3"/>
    <w:rsid w:val="00200A11"/>
    <w:rsid w:val="00205CB5"/>
    <w:rsid w:val="00206554"/>
    <w:rsid w:val="002100A3"/>
    <w:rsid w:val="0022735E"/>
    <w:rsid w:val="00237915"/>
    <w:rsid w:val="00245321"/>
    <w:rsid w:val="00246479"/>
    <w:rsid w:val="00246EC4"/>
    <w:rsid w:val="00246EEE"/>
    <w:rsid w:val="00256AEC"/>
    <w:rsid w:val="00262C0F"/>
    <w:rsid w:val="00292842"/>
    <w:rsid w:val="00293EFD"/>
    <w:rsid w:val="002A2A86"/>
    <w:rsid w:val="002B29E7"/>
    <w:rsid w:val="002B6135"/>
    <w:rsid w:val="002B64BE"/>
    <w:rsid w:val="002D0BA1"/>
    <w:rsid w:val="002E23BA"/>
    <w:rsid w:val="002E3D3E"/>
    <w:rsid w:val="002F2477"/>
    <w:rsid w:val="002F6090"/>
    <w:rsid w:val="00301824"/>
    <w:rsid w:val="00305D82"/>
    <w:rsid w:val="00322B91"/>
    <w:rsid w:val="00330503"/>
    <w:rsid w:val="00330AB9"/>
    <w:rsid w:val="003325D2"/>
    <w:rsid w:val="00355630"/>
    <w:rsid w:val="00374E09"/>
    <w:rsid w:val="003A063A"/>
    <w:rsid w:val="003B2DDD"/>
    <w:rsid w:val="003C0F05"/>
    <w:rsid w:val="003C3227"/>
    <w:rsid w:val="003C43A2"/>
    <w:rsid w:val="003C4C3D"/>
    <w:rsid w:val="003D3100"/>
    <w:rsid w:val="003E5083"/>
    <w:rsid w:val="003F18D9"/>
    <w:rsid w:val="003F553D"/>
    <w:rsid w:val="0041141E"/>
    <w:rsid w:val="00413EBE"/>
    <w:rsid w:val="004527F5"/>
    <w:rsid w:val="00453068"/>
    <w:rsid w:val="00461CE0"/>
    <w:rsid w:val="0046321B"/>
    <w:rsid w:val="00476E77"/>
    <w:rsid w:val="00497D58"/>
    <w:rsid w:val="00497EA5"/>
    <w:rsid w:val="004B50E2"/>
    <w:rsid w:val="004D2903"/>
    <w:rsid w:val="004D331F"/>
    <w:rsid w:val="004F1144"/>
    <w:rsid w:val="00505FE5"/>
    <w:rsid w:val="0051307E"/>
    <w:rsid w:val="00525331"/>
    <w:rsid w:val="00542E15"/>
    <w:rsid w:val="00550840"/>
    <w:rsid w:val="00560238"/>
    <w:rsid w:val="00565E16"/>
    <w:rsid w:val="005A0085"/>
    <w:rsid w:val="005C1F17"/>
    <w:rsid w:val="005C5D5F"/>
    <w:rsid w:val="005D1899"/>
    <w:rsid w:val="005D4BD7"/>
    <w:rsid w:val="005E20D0"/>
    <w:rsid w:val="00605EBD"/>
    <w:rsid w:val="006067B8"/>
    <w:rsid w:val="00610E69"/>
    <w:rsid w:val="00614330"/>
    <w:rsid w:val="00633585"/>
    <w:rsid w:val="00637C99"/>
    <w:rsid w:val="00642DF4"/>
    <w:rsid w:val="00647D3A"/>
    <w:rsid w:val="006611B1"/>
    <w:rsid w:val="00661DDC"/>
    <w:rsid w:val="0066681F"/>
    <w:rsid w:val="00674088"/>
    <w:rsid w:val="00685184"/>
    <w:rsid w:val="00695E9B"/>
    <w:rsid w:val="006A2FD6"/>
    <w:rsid w:val="006B16E5"/>
    <w:rsid w:val="006B416A"/>
    <w:rsid w:val="006C1AEF"/>
    <w:rsid w:val="006C3549"/>
    <w:rsid w:val="006C70A4"/>
    <w:rsid w:val="006C7FA8"/>
    <w:rsid w:val="006D0882"/>
    <w:rsid w:val="006D170E"/>
    <w:rsid w:val="006E0102"/>
    <w:rsid w:val="006E6585"/>
    <w:rsid w:val="0072000C"/>
    <w:rsid w:val="0072124D"/>
    <w:rsid w:val="0072403E"/>
    <w:rsid w:val="00724C73"/>
    <w:rsid w:val="007344D0"/>
    <w:rsid w:val="007350FF"/>
    <w:rsid w:val="00750DE8"/>
    <w:rsid w:val="007516B3"/>
    <w:rsid w:val="00760C12"/>
    <w:rsid w:val="00765469"/>
    <w:rsid w:val="007A09A6"/>
    <w:rsid w:val="007A5F81"/>
    <w:rsid w:val="007B6091"/>
    <w:rsid w:val="007D02A8"/>
    <w:rsid w:val="007E2B87"/>
    <w:rsid w:val="007E5419"/>
    <w:rsid w:val="007E6777"/>
    <w:rsid w:val="007F2BAB"/>
    <w:rsid w:val="007F6E90"/>
    <w:rsid w:val="008264B7"/>
    <w:rsid w:val="00833160"/>
    <w:rsid w:val="008357BB"/>
    <w:rsid w:val="00840356"/>
    <w:rsid w:val="0084594B"/>
    <w:rsid w:val="0085245B"/>
    <w:rsid w:val="00872ECC"/>
    <w:rsid w:val="00873445"/>
    <w:rsid w:val="008759C6"/>
    <w:rsid w:val="00881617"/>
    <w:rsid w:val="0088184F"/>
    <w:rsid w:val="0089604C"/>
    <w:rsid w:val="008C13A0"/>
    <w:rsid w:val="008C2B00"/>
    <w:rsid w:val="008D1206"/>
    <w:rsid w:val="008D176C"/>
    <w:rsid w:val="008D27A0"/>
    <w:rsid w:val="008D4B91"/>
    <w:rsid w:val="008D5DFF"/>
    <w:rsid w:val="008E32C1"/>
    <w:rsid w:val="008F2E1F"/>
    <w:rsid w:val="008F6133"/>
    <w:rsid w:val="00903C54"/>
    <w:rsid w:val="00907C3C"/>
    <w:rsid w:val="00916B4F"/>
    <w:rsid w:val="00916D2C"/>
    <w:rsid w:val="00916EEE"/>
    <w:rsid w:val="00921D02"/>
    <w:rsid w:val="00932BA2"/>
    <w:rsid w:val="009456F6"/>
    <w:rsid w:val="00946781"/>
    <w:rsid w:val="00946916"/>
    <w:rsid w:val="00951E3E"/>
    <w:rsid w:val="009555E4"/>
    <w:rsid w:val="0096023D"/>
    <w:rsid w:val="00961FCA"/>
    <w:rsid w:val="009651A7"/>
    <w:rsid w:val="0097766E"/>
    <w:rsid w:val="00981E61"/>
    <w:rsid w:val="00987BBA"/>
    <w:rsid w:val="00995155"/>
    <w:rsid w:val="009A6DED"/>
    <w:rsid w:val="009B7E53"/>
    <w:rsid w:val="00A10D87"/>
    <w:rsid w:val="00A2135B"/>
    <w:rsid w:val="00A21CDD"/>
    <w:rsid w:val="00A21EBE"/>
    <w:rsid w:val="00A454F0"/>
    <w:rsid w:val="00A55141"/>
    <w:rsid w:val="00A56F0D"/>
    <w:rsid w:val="00A704D0"/>
    <w:rsid w:val="00A72363"/>
    <w:rsid w:val="00A74859"/>
    <w:rsid w:val="00A832F5"/>
    <w:rsid w:val="00AA0D4E"/>
    <w:rsid w:val="00AA12F8"/>
    <w:rsid w:val="00AA7D15"/>
    <w:rsid w:val="00AB07DD"/>
    <w:rsid w:val="00AC459C"/>
    <w:rsid w:val="00AC6032"/>
    <w:rsid w:val="00AD3E4D"/>
    <w:rsid w:val="00AE088E"/>
    <w:rsid w:val="00AE17D8"/>
    <w:rsid w:val="00AE1BD8"/>
    <w:rsid w:val="00AE56DF"/>
    <w:rsid w:val="00AF61D5"/>
    <w:rsid w:val="00AF6BB4"/>
    <w:rsid w:val="00B027F5"/>
    <w:rsid w:val="00B043BA"/>
    <w:rsid w:val="00B2740D"/>
    <w:rsid w:val="00B32293"/>
    <w:rsid w:val="00B52CF1"/>
    <w:rsid w:val="00B62E53"/>
    <w:rsid w:val="00B7074E"/>
    <w:rsid w:val="00B74F8C"/>
    <w:rsid w:val="00B76348"/>
    <w:rsid w:val="00B82FF5"/>
    <w:rsid w:val="00BC5D93"/>
    <w:rsid w:val="00BD5E5A"/>
    <w:rsid w:val="00BE1A28"/>
    <w:rsid w:val="00BE69D0"/>
    <w:rsid w:val="00BE6D5A"/>
    <w:rsid w:val="00BF1377"/>
    <w:rsid w:val="00BF4740"/>
    <w:rsid w:val="00C1560B"/>
    <w:rsid w:val="00C17CDA"/>
    <w:rsid w:val="00C37C9D"/>
    <w:rsid w:val="00C4359F"/>
    <w:rsid w:val="00C50668"/>
    <w:rsid w:val="00C569B3"/>
    <w:rsid w:val="00C62EF0"/>
    <w:rsid w:val="00C7457C"/>
    <w:rsid w:val="00C97280"/>
    <w:rsid w:val="00CA3437"/>
    <w:rsid w:val="00CB3601"/>
    <w:rsid w:val="00CD0247"/>
    <w:rsid w:val="00CE1A4A"/>
    <w:rsid w:val="00CE2611"/>
    <w:rsid w:val="00CF1D88"/>
    <w:rsid w:val="00CF3488"/>
    <w:rsid w:val="00D068C9"/>
    <w:rsid w:val="00D10C75"/>
    <w:rsid w:val="00D3506B"/>
    <w:rsid w:val="00D36E2D"/>
    <w:rsid w:val="00D40517"/>
    <w:rsid w:val="00D4279E"/>
    <w:rsid w:val="00D535A2"/>
    <w:rsid w:val="00D6103A"/>
    <w:rsid w:val="00D76AB6"/>
    <w:rsid w:val="00D80A66"/>
    <w:rsid w:val="00D82F7F"/>
    <w:rsid w:val="00D849E9"/>
    <w:rsid w:val="00D934A9"/>
    <w:rsid w:val="00D9620E"/>
    <w:rsid w:val="00DB0DD3"/>
    <w:rsid w:val="00DB3127"/>
    <w:rsid w:val="00DB75AB"/>
    <w:rsid w:val="00DC2CE7"/>
    <w:rsid w:val="00DC4305"/>
    <w:rsid w:val="00DC7577"/>
    <w:rsid w:val="00DD376C"/>
    <w:rsid w:val="00DD4977"/>
    <w:rsid w:val="00DD4F05"/>
    <w:rsid w:val="00DD736C"/>
    <w:rsid w:val="00DE165C"/>
    <w:rsid w:val="00DF20CB"/>
    <w:rsid w:val="00E0580D"/>
    <w:rsid w:val="00E17D18"/>
    <w:rsid w:val="00E22FF3"/>
    <w:rsid w:val="00E52428"/>
    <w:rsid w:val="00E61170"/>
    <w:rsid w:val="00E65DA9"/>
    <w:rsid w:val="00E71C89"/>
    <w:rsid w:val="00E8269E"/>
    <w:rsid w:val="00E91C52"/>
    <w:rsid w:val="00E96FD6"/>
    <w:rsid w:val="00EA60C4"/>
    <w:rsid w:val="00EB04A2"/>
    <w:rsid w:val="00EB5409"/>
    <w:rsid w:val="00ED1D75"/>
    <w:rsid w:val="00EF612B"/>
    <w:rsid w:val="00EF6FFF"/>
    <w:rsid w:val="00F072F5"/>
    <w:rsid w:val="00F12407"/>
    <w:rsid w:val="00F16FFF"/>
    <w:rsid w:val="00F20890"/>
    <w:rsid w:val="00F240F4"/>
    <w:rsid w:val="00F415C1"/>
    <w:rsid w:val="00F51BF2"/>
    <w:rsid w:val="00F52CDB"/>
    <w:rsid w:val="00F52EB8"/>
    <w:rsid w:val="00F621A9"/>
    <w:rsid w:val="00F628A0"/>
    <w:rsid w:val="00F86847"/>
    <w:rsid w:val="00F93A09"/>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95240">
      <w:bodyDiv w:val="1"/>
      <w:marLeft w:val="0"/>
      <w:marRight w:val="0"/>
      <w:marTop w:val="0"/>
      <w:marBottom w:val="0"/>
      <w:divBdr>
        <w:top w:val="none" w:sz="0" w:space="0" w:color="auto"/>
        <w:left w:val="none" w:sz="0" w:space="0" w:color="auto"/>
        <w:bottom w:val="none" w:sz="0" w:space="0" w:color="auto"/>
        <w:right w:val="none" w:sz="0" w:space="0" w:color="auto"/>
      </w:divBdr>
    </w:div>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46098422">
      <w:bodyDiv w:val="1"/>
      <w:marLeft w:val="0"/>
      <w:marRight w:val="0"/>
      <w:marTop w:val="0"/>
      <w:marBottom w:val="0"/>
      <w:divBdr>
        <w:top w:val="none" w:sz="0" w:space="0" w:color="auto"/>
        <w:left w:val="none" w:sz="0" w:space="0" w:color="auto"/>
        <w:bottom w:val="none" w:sz="0" w:space="0" w:color="auto"/>
        <w:right w:val="none" w:sz="0" w:space="0" w:color="auto"/>
      </w:divBdr>
    </w:div>
    <w:div w:id="168370625">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590355972">
      <w:bodyDiv w:val="1"/>
      <w:marLeft w:val="0"/>
      <w:marRight w:val="0"/>
      <w:marTop w:val="0"/>
      <w:marBottom w:val="0"/>
      <w:divBdr>
        <w:top w:val="none" w:sz="0" w:space="0" w:color="auto"/>
        <w:left w:val="none" w:sz="0" w:space="0" w:color="auto"/>
        <w:bottom w:val="none" w:sz="0" w:space="0" w:color="auto"/>
        <w:right w:val="none" w:sz="0" w:space="0" w:color="auto"/>
      </w:divBdr>
    </w:div>
    <w:div w:id="792210184">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 w:id="1848016381">
      <w:bodyDiv w:val="1"/>
      <w:marLeft w:val="0"/>
      <w:marRight w:val="0"/>
      <w:marTop w:val="0"/>
      <w:marBottom w:val="0"/>
      <w:divBdr>
        <w:top w:val="none" w:sz="0" w:space="0" w:color="auto"/>
        <w:left w:val="none" w:sz="0" w:space="0" w:color="auto"/>
        <w:bottom w:val="none" w:sz="0" w:space="0" w:color="auto"/>
        <w:right w:val="none" w:sz="0" w:space="0" w:color="auto"/>
      </w:divBdr>
    </w:div>
    <w:div w:id="187997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siframework.or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23" Type="http://schemas.openxmlformats.org/officeDocument/2006/relationships/hyperlink" Target="http://www2a.cdc.gov/nip/IIS/IISStandards/vaccines.asp?rpt=cvx" TargetMode="External"/><Relationship Id="rId10" Type="http://schemas.openxmlformats.org/officeDocument/2006/relationships/footer" Target="footer1.xml"/><Relationship Id="rId19" Type="http://schemas.openxmlformats.org/officeDocument/2006/relationships/hyperlink" Target="mailto:info@siframework.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 Id="rId22" Type="http://schemas.openxmlformats.org/officeDocument/2006/relationships/hyperlink" Target="http://www.cdc.gov/vaccines/programs/iis/stds/downloads/hl7guide-08-2011.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84FB9-9958-4140-A148-D342849B5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999</Words>
  <Characters>5697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Submitting Immunization Data to Public Health</dc:title>
  <dc:subject>HIE Scenario, Workflow and Specifications</dc:subject>
  <dc:creator/>
  <cp:lastModifiedBy/>
  <cp:revision>1</cp:revision>
  <dcterms:created xsi:type="dcterms:W3CDTF">2014-01-08T17:20:00Z</dcterms:created>
  <dcterms:modified xsi:type="dcterms:W3CDTF">2014-01-08T17:20:00Z</dcterms:modified>
</cp:coreProperties>
</file>