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633585" w:rsidRDefault="0015473F" w:rsidP="00DB75AB">
      <w:pPr>
        <w:pStyle w:val="DocTitle"/>
        <w:rPr>
          <w:color w:val="1F497D" w:themeColor="text2"/>
        </w:rPr>
      </w:pPr>
      <w:r w:rsidRPr="0015473F">
        <w:rPr>
          <w:color w:val="1F497D" w:themeColor="text2"/>
        </w:rPr>
        <w:t>Sending Patient Follow-Up Care Instructions</w:t>
      </w:r>
    </w:p>
    <w:p w:rsidR="00A21CDD" w:rsidRDefault="00A21CDD" w:rsidP="00A21CDD">
      <w:pPr>
        <w:pStyle w:val="DocSubtitle"/>
      </w:pPr>
      <w:r>
        <w:t>HIE Scenario, Workflow and Specifications</w:t>
      </w:r>
    </w:p>
    <w:p w:rsidR="00AA12F8" w:rsidRDefault="00AA12F8" w:rsidP="00D76AB6">
      <w:pPr>
        <w:pStyle w:val="DocInfo"/>
        <w:spacing w:after="1200"/>
      </w:pPr>
    </w:p>
    <w:p w:rsidR="007A09A6" w:rsidRPr="00A2135B" w:rsidRDefault="007A09A6" w:rsidP="00413EBE">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A2135B" w:rsidRDefault="00322B91" w:rsidP="00413EBE">
      <w:pPr>
        <w:pStyle w:val="DocSubtitle"/>
      </w:pPr>
      <w:r w:rsidRPr="00A2135B">
        <w:t>Developed B</w:t>
      </w:r>
      <w:r w:rsidR="007A09A6" w:rsidRPr="00A2135B">
        <w:t>y:</w:t>
      </w:r>
    </w:p>
    <w:p w:rsidR="00262C0F" w:rsidRDefault="00262C0F" w:rsidP="00A21CDD">
      <w:pPr>
        <w:pStyle w:val="DocInfo"/>
      </w:pPr>
      <w:r>
        <w:t>Office of the National Coordinator for Health IT (ONC)</w:t>
      </w:r>
    </w:p>
    <w:p w:rsidR="006B7CEF" w:rsidRPr="006B7CEF" w:rsidRDefault="006B7CEF" w:rsidP="00D76AB6">
      <w:pPr>
        <w:spacing w:after="640"/>
        <w:rPr>
          <w:sz w:val="22"/>
          <w:szCs w:val="22"/>
        </w:rPr>
      </w:pPr>
      <w:r w:rsidRPr="006B7CEF">
        <w:rPr>
          <w:sz w:val="22"/>
          <w:szCs w:val="22"/>
        </w:rPr>
        <w:t>Office of Science and Technology (OST</w:t>
      </w:r>
      <w:r>
        <w:rPr>
          <w:sz w:val="22"/>
          <w:szCs w:val="22"/>
        </w:rPr>
        <w:t>)</w:t>
      </w: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413EBE" w:rsidRDefault="00413EBE" w:rsidP="00413EBE">
      <w:pPr>
        <w:framePr w:w="9301" w:h="187" w:hRule="exact" w:wrap="around" w:vAnchor="text" w:hAnchor="page" w:x="1606" w:y="1464"/>
        <w:jc w:val="center"/>
        <w:rPr>
          <w:color w:val="808080" w:themeColor="background1" w:themeShade="80"/>
          <w:sz w:val="14"/>
          <w:szCs w:val="14"/>
        </w:rPr>
      </w:pPr>
      <w:r>
        <w:rPr>
          <w:color w:val="808080" w:themeColor="background1" w:themeShade="80"/>
          <w:sz w:val="14"/>
          <w:szCs w:val="14"/>
        </w:rPr>
        <w:t>May 31, 2012 • Version 1.0</w:t>
      </w:r>
    </w:p>
    <w:p w:rsidR="00413EBE" w:rsidRPr="002A2A86" w:rsidRDefault="00413EBE" w:rsidP="00413EBE">
      <w:pPr>
        <w:pStyle w:val="Footer"/>
        <w:framePr w:w="9301" w:h="187" w:hRule="exact" w:wrap="around" w:vAnchor="text" w:hAnchor="page" w:x="1606" w:y="1464"/>
        <w:rPr>
          <w:rStyle w:val="PageNumber"/>
          <w:color w:val="808080" w:themeColor="background1" w:themeShade="80"/>
          <w:sz w:val="14"/>
          <w:szCs w:val="14"/>
        </w:rPr>
      </w:pPr>
    </w:p>
    <w:p w:rsidR="00AA12F8" w:rsidRDefault="00AA12F8" w:rsidP="00AA12F8"/>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B67EB6" w:rsidRPr="007F3FDB" w:rsidRDefault="00B67EB6" w:rsidP="00B67EB6">
      <w:pPr>
        <w:pStyle w:val="TOCHeading"/>
      </w:pPr>
      <w:bookmarkStart w:id="0" w:name="_Toc304469819"/>
      <w:bookmarkStart w:id="1" w:name="_Toc304495386"/>
      <w:bookmarkStart w:id="2" w:name="_Toc296551904"/>
      <w:bookmarkStart w:id="3" w:name="_Toc304469895"/>
      <w:bookmarkStart w:id="4" w:name="_Toc304495456"/>
      <w:r w:rsidRPr="007F3FDB">
        <w:t xml:space="preserve">National Learning Consortium </w:t>
      </w:r>
    </w:p>
    <w:p w:rsidR="00B67EB6" w:rsidRPr="007F3FDB" w:rsidRDefault="00B67EB6" w:rsidP="00B67EB6">
      <w:pPr>
        <w:pStyle w:val="BodyText"/>
      </w:pPr>
      <w:r w:rsidRPr="007F3FDB">
        <w:t>The National Learning Consortium (NLC) is a virtual and evolving body of knowledge and tools designed to support healthcare providers and health IT professionals</w:t>
      </w:r>
      <w:r w:rsidRPr="007F3FDB">
        <w:rPr>
          <w:rStyle w:val="CommentReference"/>
          <w:i/>
          <w:sz w:val="16"/>
          <w:szCs w:val="16"/>
        </w:rPr>
        <w:t> </w:t>
      </w:r>
      <w:r w:rsidRPr="007F3FDB">
        <w:t>working towards the implementation, adoption and meaningful use of certified EHR systems.</w:t>
      </w:r>
    </w:p>
    <w:p w:rsidR="00B67EB6" w:rsidRPr="007F3FDB" w:rsidRDefault="00B67EB6" w:rsidP="00B67EB6">
      <w:pPr>
        <w:pStyle w:val="BodyText"/>
      </w:pPr>
      <w:r w:rsidRPr="007F3FDB">
        <w:t>The NLC represents the collective EHR implementation experiences and knowledge gained directly from the field of ONC’s outreach programs (</w:t>
      </w:r>
      <w:hyperlink r:id="rId14" w:tooltip="link to Regional Extension Centers (RECs) on Health IT website" w:history="1">
        <w:r w:rsidRPr="007F3FDB">
          <w:rPr>
            <w:rStyle w:val="Hyperlink"/>
            <w:i/>
            <w:iCs/>
          </w:rPr>
          <w:t>REC</w:t>
        </w:r>
      </w:hyperlink>
      <w:r w:rsidRPr="007F3FDB">
        <w:t xml:space="preserve">, </w:t>
      </w:r>
      <w:hyperlink r:id="rId15" w:tooltip="Link to Beacon Community Centers on Health I T . gov website" w:history="1">
        <w:r w:rsidRPr="007F3FDB">
          <w:rPr>
            <w:rStyle w:val="Hyperlink"/>
            <w:i/>
            <w:iCs/>
          </w:rPr>
          <w:t>Beacon</w:t>
        </w:r>
      </w:hyperlink>
      <w:r w:rsidRPr="007F3FDB">
        <w:t xml:space="preserve">, </w:t>
      </w:r>
      <w:hyperlink r:id="rId16" w:tooltip="Link to State Health Information Exchange page on Health IT.gov website" w:history="1">
        <w:r w:rsidRPr="007F3FDB">
          <w:rPr>
            <w:rStyle w:val="Hyperlink"/>
            <w:i/>
            <w:iCs/>
          </w:rPr>
          <w:t>State HIE</w:t>
        </w:r>
      </w:hyperlink>
      <w:r w:rsidRPr="007F3FDB">
        <w:t xml:space="preserve">) and through the </w:t>
      </w:r>
      <w:hyperlink r:id="rId17" w:tooltip="Link to Regional Extension Centers web page on Health IT web site. " w:history="1">
        <w:r w:rsidRPr="007F3FDB">
          <w:rPr>
            <w:rStyle w:val="Hyperlink"/>
            <w:i/>
            <w:iCs/>
          </w:rPr>
          <w:t>Health Information Technology Research Center (HITRC)</w:t>
        </w:r>
      </w:hyperlink>
      <w:r w:rsidRPr="007F3FDB">
        <w:t xml:space="preserve"> Communities of Practice (</w:t>
      </w:r>
      <w:proofErr w:type="spellStart"/>
      <w:r w:rsidRPr="007F3FDB">
        <w:t>CoPs</w:t>
      </w:r>
      <w:proofErr w:type="spellEnd"/>
      <w:r w:rsidRPr="007F3FDB">
        <w:t xml:space="preserve">). </w:t>
      </w:r>
    </w:p>
    <w:p w:rsidR="00B67EB6" w:rsidRPr="007F3FDB" w:rsidRDefault="00B67EB6" w:rsidP="00B67EB6">
      <w:pPr>
        <w:pStyle w:val="BodyText"/>
      </w:pPr>
      <w:r w:rsidRPr="007F3FDB">
        <w:t xml:space="preserve">The following resource is an example of a tool used in the field today that is recommended by “boots-on-the-ground” professionals for use by others who have made the commitment to implement or upgrade to certified EHR systems. </w:t>
      </w:r>
    </w:p>
    <w:p w:rsidR="00B67EB6" w:rsidRPr="007F3FDB" w:rsidRDefault="00B67EB6" w:rsidP="00B67EB6">
      <w:pPr>
        <w:pStyle w:val="TOCHeading"/>
      </w:pPr>
      <w:bookmarkStart w:id="5" w:name="DescriptionInstructions"/>
      <w:r w:rsidRPr="007F3FDB">
        <w:t xml:space="preserve">Description &amp; Instructions </w:t>
      </w:r>
    </w:p>
    <w:bookmarkEnd w:id="5"/>
    <w:p w:rsidR="00CF1D88" w:rsidRDefault="00A21CDD" w:rsidP="00CF1D88">
      <w:pPr>
        <w:spacing w:before="180" w:after="120" w:line="280" w:lineRule="atLeast"/>
      </w:pPr>
      <w:r>
        <w:t xml:space="preserve">This resource </w:t>
      </w:r>
      <w:r w:rsidR="00D6103A" w:rsidRPr="00497EA5">
        <w:t>is intended to aid providers</w:t>
      </w:r>
      <w:r w:rsidR="00497EA5" w:rsidRPr="00497EA5">
        <w:t xml:space="preserve"> and health IT implementer</w:t>
      </w:r>
      <w:r w:rsidR="00262C0F">
        <w:t xml:space="preserve">s </w:t>
      </w:r>
      <w:r w:rsidR="00E65DA9">
        <w:t xml:space="preserve">in </w:t>
      </w:r>
      <w:r w:rsidR="00262C0F">
        <w:t>understand</w:t>
      </w:r>
      <w:r w:rsidR="00E65DA9">
        <w:t>ing</w:t>
      </w:r>
      <w:r w:rsidR="00262C0F">
        <w:t xml:space="preserve"> </w:t>
      </w:r>
      <w:r w:rsidR="00E65DA9">
        <w:t xml:space="preserve">health information exchange (HIE) </w:t>
      </w:r>
      <w:r w:rsidR="00262C0F">
        <w:t>solutions relate</w:t>
      </w:r>
      <w:r w:rsidR="00E65DA9">
        <w:t xml:space="preserve">d to the </w:t>
      </w:r>
      <w:r w:rsidR="0015473F">
        <w:t>Meaningful Use Menu Measure 5</w:t>
      </w:r>
      <w:r w:rsidR="00CF1D88">
        <w:t xml:space="preserve"> – </w:t>
      </w:r>
      <w:r w:rsidR="0015473F">
        <w:t xml:space="preserve">Patient Electronic </w:t>
      </w:r>
      <w:proofErr w:type="spellStart"/>
      <w:r w:rsidR="0015473F">
        <w:t>Acces</w:t>
      </w:r>
      <w:proofErr w:type="spellEnd"/>
      <w:r w:rsidR="00497EA5" w:rsidRPr="00497EA5">
        <w:t xml:space="preserve">.  </w:t>
      </w:r>
    </w:p>
    <w:p w:rsidR="00CF1D88" w:rsidRDefault="00A21CDD" w:rsidP="00CF1D88">
      <w:pPr>
        <w:spacing w:before="180" w:after="120" w:line="280" w:lineRule="atLeast"/>
      </w:pPr>
      <w:r>
        <w:t xml:space="preserve">This </w:t>
      </w:r>
      <w:r w:rsidR="00916EEE">
        <w:t>scenario provides</w:t>
      </w:r>
      <w:r>
        <w:t xml:space="preserve"> a practical example of how </w:t>
      </w:r>
      <w:r w:rsidRPr="00E61817">
        <w:t xml:space="preserve">the contents of the </w:t>
      </w:r>
      <w:r>
        <w:t>Nationwide Health Information Network (</w:t>
      </w:r>
      <w:proofErr w:type="spellStart"/>
      <w:r>
        <w:t>NwHIN</w:t>
      </w:r>
      <w:proofErr w:type="spellEnd"/>
      <w:r>
        <w:t>) p</w:t>
      </w:r>
      <w:r w:rsidRPr="00E61817">
        <w:t>ortfolio</w:t>
      </w:r>
      <w:r>
        <w:t xml:space="preserve"> can be used to achieve </w:t>
      </w:r>
      <w:r w:rsidRPr="00E61817">
        <w:t>meaningful electronic exchange of health information.</w:t>
      </w:r>
      <w:r>
        <w:t xml:space="preserve">  This is part of a series of </w:t>
      </w:r>
      <w:r w:rsidR="00E65DA9">
        <w:t>HIE</w:t>
      </w:r>
      <w:r>
        <w:t xml:space="preserve"> scenarios intended to provide a straightforward view into the standards, services and policies behind HIE solutions.</w:t>
      </w:r>
    </w:p>
    <w:p w:rsidR="00CF1D88" w:rsidRDefault="00A21CDD" w:rsidP="00A21CDD">
      <w:pPr>
        <w:spacing w:after="200" w:line="276" w:lineRule="auto"/>
      </w:pPr>
      <w:r>
        <w:t xml:space="preserve">Each document in the HIE scenarios series describes an everyday situation where patient care is improved through information exchange between health care professionals.  </w:t>
      </w:r>
    </w:p>
    <w:p w:rsidR="00525331" w:rsidRDefault="00A21CDD" w:rsidP="00525331">
      <w:pPr>
        <w:spacing w:after="200" w:line="276" w:lineRule="auto"/>
      </w:pPr>
      <w:r>
        <w:t>The scenario i</w:t>
      </w:r>
      <w:r w:rsidR="00CF1D88">
        <w:t xml:space="preserve">s presented through a narrative </w:t>
      </w:r>
      <w:r>
        <w:t xml:space="preserve">description of events and a corresponding graphic, followed by </w:t>
      </w:r>
      <w:r w:rsidR="00E65DA9">
        <w:t xml:space="preserve">a </w:t>
      </w:r>
      <w:r>
        <w:t>detailed description of the workflow steps involved.  The resource concludes with an inventory of the key specifications and resources necessary to implement the information exchange described.</w:t>
      </w:r>
    </w:p>
    <w:p w:rsidR="0078212E" w:rsidRPr="007F3FDB" w:rsidRDefault="0078212E" w:rsidP="0078212E">
      <w:pPr>
        <w:spacing w:after="200" w:line="276" w:lineRule="auto"/>
      </w:pPr>
      <w:r w:rsidRPr="007F3FDB">
        <w:t xml:space="preserve">Other scenarios and their related specifications can be found on the S&amp;I Framework Repository at: </w:t>
      </w:r>
      <w:hyperlink r:id="rId18" w:tooltip="Link to S and I Framework Respository website" w:history="1">
        <w:r w:rsidRPr="007F3FDB">
          <w:rPr>
            <w:rStyle w:val="Hyperlink"/>
          </w:rPr>
          <w:t>http://www.siframework.org/</w:t>
        </w:r>
      </w:hyperlink>
      <w:r w:rsidRPr="007F3FDB">
        <w:t xml:space="preserve">.  Additional questions may be sent via email to: </w:t>
      </w:r>
      <w:hyperlink r:id="rId19" w:tooltip="Email address for questions regarding S and I Framework Repository" w:history="1">
        <w:r w:rsidRPr="007F3FDB">
          <w:rPr>
            <w:rStyle w:val="Hyperlink"/>
          </w:rPr>
          <w:t>info@siframework.org</w:t>
        </w:r>
      </w:hyperlink>
      <w:r w:rsidRPr="007F3FDB">
        <w:t>.</w:t>
      </w:r>
    </w:p>
    <w:p w:rsidR="00413EBE" w:rsidRDefault="00413EBE">
      <w:pPr>
        <w:spacing w:after="200" w:line="276" w:lineRule="auto"/>
      </w:pPr>
    </w:p>
    <w:p w:rsidR="000F79D1" w:rsidRDefault="000F79D1">
      <w:pPr>
        <w:spacing w:after="200" w:line="276" w:lineRule="auto"/>
      </w:pPr>
      <w:r>
        <w:br w:type="page"/>
      </w:r>
    </w:p>
    <w:p w:rsidR="00B67EB6" w:rsidRPr="007F3FDB" w:rsidRDefault="00B67EB6" w:rsidP="00B67EB6">
      <w:pPr>
        <w:pStyle w:val="TOCHeading"/>
        <w:rPr>
          <w:szCs w:val="40"/>
        </w:rPr>
      </w:pPr>
      <w:bookmarkStart w:id="6" w:name="Contents"/>
      <w:r w:rsidRPr="007F3FDB">
        <w:t>Table of Contents</w:t>
      </w:r>
    </w:p>
    <w:bookmarkEnd w:id="6"/>
    <w:p w:rsidR="0015473F"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25627808" w:history="1">
        <w:r w:rsidR="0015473F" w:rsidRPr="0034166C">
          <w:rPr>
            <w:rStyle w:val="Hyperlink"/>
          </w:rPr>
          <w:t>1</w:t>
        </w:r>
        <w:r w:rsidR="0015473F">
          <w:rPr>
            <w:rFonts w:asciiTheme="minorHAnsi" w:eastAsiaTheme="minorEastAsia" w:hAnsiTheme="minorHAnsi" w:cstheme="minorBidi"/>
            <w:sz w:val="22"/>
            <w:szCs w:val="22"/>
          </w:rPr>
          <w:tab/>
        </w:r>
        <w:r w:rsidR="0015473F" w:rsidRPr="0034166C">
          <w:rPr>
            <w:rStyle w:val="Hyperlink"/>
          </w:rPr>
          <w:t>Sending a Patient Follow-up Care Instructions</w:t>
        </w:r>
        <w:r w:rsidR="0015473F">
          <w:rPr>
            <w:webHidden/>
          </w:rPr>
          <w:tab/>
        </w:r>
        <w:r w:rsidR="0015473F">
          <w:rPr>
            <w:webHidden/>
          </w:rPr>
          <w:fldChar w:fldCharType="begin"/>
        </w:r>
        <w:r w:rsidR="0015473F">
          <w:rPr>
            <w:webHidden/>
          </w:rPr>
          <w:instrText xml:space="preserve"> PAGEREF _Toc325627808 \h </w:instrText>
        </w:r>
        <w:r w:rsidR="0015473F">
          <w:rPr>
            <w:webHidden/>
          </w:rPr>
        </w:r>
        <w:r w:rsidR="0015473F">
          <w:rPr>
            <w:webHidden/>
          </w:rPr>
          <w:fldChar w:fldCharType="separate"/>
        </w:r>
        <w:r w:rsidR="0015473F">
          <w:rPr>
            <w:webHidden/>
          </w:rPr>
          <w:t>1</w:t>
        </w:r>
        <w:r w:rsidR="0015473F">
          <w:rPr>
            <w:webHidden/>
          </w:rPr>
          <w:fldChar w:fldCharType="end"/>
        </w:r>
      </w:hyperlink>
    </w:p>
    <w:p w:rsidR="0015473F" w:rsidRDefault="005832AE">
      <w:pPr>
        <w:pStyle w:val="TOC2"/>
        <w:rPr>
          <w:rFonts w:asciiTheme="minorHAnsi" w:eastAsiaTheme="minorEastAsia" w:hAnsiTheme="minorHAnsi" w:cstheme="minorBidi"/>
          <w:sz w:val="22"/>
          <w:szCs w:val="22"/>
        </w:rPr>
      </w:pPr>
      <w:hyperlink w:anchor="_Toc325627809" w:history="1">
        <w:r w:rsidR="0015473F" w:rsidRPr="0034166C">
          <w:rPr>
            <w:rStyle w:val="Hyperlink"/>
          </w:rPr>
          <w:t>1.1</w:t>
        </w:r>
        <w:r w:rsidR="0015473F">
          <w:rPr>
            <w:rFonts w:asciiTheme="minorHAnsi" w:eastAsiaTheme="minorEastAsia" w:hAnsiTheme="minorHAnsi" w:cstheme="minorBidi"/>
            <w:sz w:val="22"/>
            <w:szCs w:val="22"/>
          </w:rPr>
          <w:tab/>
        </w:r>
        <w:r w:rsidR="0015473F" w:rsidRPr="0034166C">
          <w:rPr>
            <w:rStyle w:val="Hyperlink"/>
          </w:rPr>
          <w:t>Common workflow steps for this scenario</w:t>
        </w:r>
        <w:r w:rsidR="0015473F">
          <w:rPr>
            <w:webHidden/>
          </w:rPr>
          <w:tab/>
        </w:r>
        <w:r w:rsidR="0015473F">
          <w:rPr>
            <w:webHidden/>
          </w:rPr>
          <w:fldChar w:fldCharType="begin"/>
        </w:r>
        <w:r w:rsidR="0015473F">
          <w:rPr>
            <w:webHidden/>
          </w:rPr>
          <w:instrText xml:space="preserve"> PAGEREF _Toc325627809 \h </w:instrText>
        </w:r>
        <w:r w:rsidR="0015473F">
          <w:rPr>
            <w:webHidden/>
          </w:rPr>
        </w:r>
        <w:r w:rsidR="0015473F">
          <w:rPr>
            <w:webHidden/>
          </w:rPr>
          <w:fldChar w:fldCharType="separate"/>
        </w:r>
        <w:r w:rsidR="0015473F">
          <w:rPr>
            <w:webHidden/>
          </w:rPr>
          <w:t>2</w:t>
        </w:r>
        <w:r w:rsidR="0015473F">
          <w:rPr>
            <w:webHidden/>
          </w:rPr>
          <w:fldChar w:fldCharType="end"/>
        </w:r>
      </w:hyperlink>
    </w:p>
    <w:p w:rsidR="0015473F" w:rsidRDefault="005832AE">
      <w:pPr>
        <w:pStyle w:val="TOC2"/>
        <w:rPr>
          <w:rFonts w:asciiTheme="minorHAnsi" w:eastAsiaTheme="minorEastAsia" w:hAnsiTheme="minorHAnsi" w:cstheme="minorBidi"/>
          <w:sz w:val="22"/>
          <w:szCs w:val="22"/>
        </w:rPr>
      </w:pPr>
      <w:hyperlink w:anchor="_Toc325627810" w:history="1">
        <w:r w:rsidR="0015473F" w:rsidRPr="0034166C">
          <w:rPr>
            <w:rStyle w:val="Hyperlink"/>
          </w:rPr>
          <w:t>1.2</w:t>
        </w:r>
        <w:r w:rsidR="0015473F">
          <w:rPr>
            <w:rFonts w:asciiTheme="minorHAnsi" w:eastAsiaTheme="minorEastAsia" w:hAnsiTheme="minorHAnsi" w:cstheme="minorBidi"/>
            <w:sz w:val="22"/>
            <w:szCs w:val="22"/>
          </w:rPr>
          <w:tab/>
        </w:r>
        <w:r w:rsidR="0015473F" w:rsidRPr="0034166C">
          <w:rPr>
            <w:rStyle w:val="Hyperlink"/>
          </w:rPr>
          <w:t>NwHIN 1.0 specifications and resources recommended for this scenario</w:t>
        </w:r>
        <w:r w:rsidR="0015473F">
          <w:rPr>
            <w:webHidden/>
          </w:rPr>
          <w:tab/>
        </w:r>
        <w:r w:rsidR="0015473F">
          <w:rPr>
            <w:webHidden/>
          </w:rPr>
          <w:fldChar w:fldCharType="begin"/>
        </w:r>
        <w:r w:rsidR="0015473F">
          <w:rPr>
            <w:webHidden/>
          </w:rPr>
          <w:instrText xml:space="preserve"> PAGEREF _Toc325627810 \h </w:instrText>
        </w:r>
        <w:r w:rsidR="0015473F">
          <w:rPr>
            <w:webHidden/>
          </w:rPr>
        </w:r>
        <w:r w:rsidR="0015473F">
          <w:rPr>
            <w:webHidden/>
          </w:rPr>
          <w:fldChar w:fldCharType="separate"/>
        </w:r>
        <w:r w:rsidR="0015473F">
          <w:rPr>
            <w:webHidden/>
          </w:rPr>
          <w:t>2</w:t>
        </w:r>
        <w:r w:rsidR="0015473F">
          <w:rPr>
            <w:webHidden/>
          </w:rPr>
          <w:fldChar w:fldCharType="end"/>
        </w:r>
      </w:hyperlink>
    </w:p>
    <w:p w:rsidR="00A2135B" w:rsidRDefault="00D068C9" w:rsidP="00137AC9">
      <w:pPr>
        <w:sectPr w:rsidR="00A2135B" w:rsidSect="00A2135B">
          <w:headerReference w:type="default" r:id="rId20"/>
          <w:pgSz w:w="12240" w:h="15840"/>
          <w:pgMar w:top="2160" w:right="1440" w:bottom="1440" w:left="1440" w:header="720" w:footer="720" w:gutter="0"/>
          <w:pgNumType w:fmt="lowerRoman" w:start="1"/>
          <w:cols w:space="720"/>
        </w:sectPr>
      </w:pPr>
      <w:r>
        <w:fldChar w:fldCharType="end"/>
      </w:r>
      <w:bookmarkEnd w:id="0"/>
      <w:bookmarkEnd w:id="1"/>
    </w:p>
    <w:p w:rsidR="008C13A0" w:rsidRDefault="0015473F" w:rsidP="0015473F">
      <w:pPr>
        <w:pStyle w:val="Heading1"/>
      </w:pPr>
      <w:bookmarkStart w:id="7" w:name="_Toc325627808"/>
      <w:bookmarkStart w:id="8" w:name="OneSendingaPatientFollowupInstructions"/>
      <w:bookmarkEnd w:id="8"/>
      <w:r w:rsidRPr="0015473F">
        <w:t>Sending a Patient Follow-up Care Instructions</w:t>
      </w:r>
      <w:bookmarkEnd w:id="7"/>
    </w:p>
    <w:p w:rsidR="00A21CDD" w:rsidRDefault="0015473F" w:rsidP="008C13A0">
      <w:pPr>
        <w:pStyle w:val="BodyText"/>
      </w:pPr>
      <w:r w:rsidRPr="0015473F">
        <w:rPr>
          <w:rStyle w:val="SubtleEmphasis"/>
          <w:i w:val="0"/>
          <w:color w:val="auto"/>
        </w:rPr>
        <w:t>A rehabilitation patient accesses her follow-up instructions via a patient portal:</w:t>
      </w:r>
      <w:r w:rsidR="00A21CDD" w:rsidRPr="0081629C">
        <w:rPr>
          <w:rFonts w:ascii="Times New Roman" w:eastAsiaTheme="minorEastAsia" w:hAnsi="Times New Roman" w:cs="Times New Roman"/>
          <w:noProof/>
          <w:sz w:val="24"/>
          <w:szCs w:val="24"/>
        </w:rPr>
        <w:drawing>
          <wp:inline distT="0" distB="0" distL="0" distR="0" wp14:anchorId="5867B7AF" wp14:editId="1DFE9862">
            <wp:extent cx="5943600" cy="2675063"/>
            <wp:effectExtent l="0" t="0" r="0" b="0"/>
            <wp:docPr id="29" name="Picture 29" descr="A flow diagram illustrating the transfer of a continuity of care document from emergency department (ED) physician to the patient's primary care physician via Direct. The ED physician sends the properly formatted document to the primary care physician's Direct address, which has been verified in the Provider Directory. The message passes through the hospital's HISP, where it is encrypted and sent to the primary care physician's HISP. The primary care physician's HISP then decrypts the message and routes it to the primary care physician." title="Transition of Care"/>
            <wp:cNvGraphicFramePr/>
            <a:graphic xmlns:a="http://schemas.openxmlformats.org/drawingml/2006/main">
              <a:graphicData uri="http://schemas.openxmlformats.org/drawingml/2006/picture">
                <pic:pic xmlns:pic="http://schemas.openxmlformats.org/drawingml/2006/picture">
                  <pic:nvPicPr>
                    <pic:cNvPr id="9" name="Picture 9" descr="Diagram of an emergency department physician sending a continuity of care document via Direct to the patient's primary care physician." title="Transition of Care"/>
                    <pic:cNvPicPr/>
                  </pic:nvPicPr>
                  <pic:blipFill>
                    <a:blip r:embed="rId21"/>
                    <a:stretch>
                      <a:fillRect/>
                    </a:stretch>
                  </pic:blipFill>
                  <pic:spPr>
                    <a:xfrm>
                      <a:off x="0" y="0"/>
                      <a:ext cx="5943600" cy="2675063"/>
                    </a:xfrm>
                    <a:prstGeom prst="rect">
                      <a:avLst/>
                    </a:prstGeom>
                  </pic:spPr>
                </pic:pic>
              </a:graphicData>
            </a:graphic>
          </wp:inline>
        </w:drawing>
      </w:r>
    </w:p>
    <w:p w:rsidR="0015473F" w:rsidRDefault="0015473F" w:rsidP="0015473F">
      <w:pPr>
        <w:pStyle w:val="BodyText"/>
      </w:pPr>
      <w:r>
        <w:t xml:space="preserve">A patient is seen by an orthopedic surgeon at her local hospital and undergoes knee surgery.  As part of registering for the hospital’s Patient Portal, the patient is issued a </w:t>
      </w:r>
      <w:proofErr w:type="gramStart"/>
      <w:r>
        <w:t>Direct</w:t>
      </w:r>
      <w:proofErr w:type="gramEnd"/>
      <w:r>
        <w:t xml:space="preserve"> address at the hospital, which she can access from the Patient Portal.</w:t>
      </w:r>
    </w:p>
    <w:p w:rsidR="005B4996" w:rsidRDefault="0015473F" w:rsidP="005B4996">
      <w:pPr>
        <w:tabs>
          <w:tab w:val="left" w:pos="90"/>
        </w:tabs>
        <w:ind w:right="42"/>
      </w:pPr>
      <w:r>
        <w:t xml:space="preserve">While undergoing rehabilitation from the surgery, she regularly sees a physical therapist at a local outpatient clinic. Instead of sending the patient home with follow-up care instructions on printed paper, the physical therapist sends these documents to her </w:t>
      </w:r>
      <w:proofErr w:type="gramStart"/>
      <w:r>
        <w:t>Direct</w:t>
      </w:r>
      <w:proofErr w:type="gramEnd"/>
      <w:r>
        <w:t xml:space="preserve"> address (provided by the local hospital). The Patient Portal sends a notification email to the patient’s personal email address, indicating that a new secure message has arrived at her </w:t>
      </w:r>
      <w:proofErr w:type="gramStart"/>
      <w:r>
        <w:t>Direct</w:t>
      </w:r>
      <w:proofErr w:type="gramEnd"/>
      <w:r>
        <w:t xml:space="preserve"> address.  The patient logs onto the Patient Portal, from which she can retrieve the new </w:t>
      </w:r>
      <w:proofErr w:type="gramStart"/>
      <w:r>
        <w:t>Direct</w:t>
      </w:r>
      <w:proofErr w:type="gramEnd"/>
      <w:r>
        <w:t xml:space="preserve"> message, and view and download the follow-up care instructions. </w:t>
      </w:r>
    </w:p>
    <w:p w:rsidR="005B4996" w:rsidRDefault="005B4996" w:rsidP="005B4996">
      <w:pPr>
        <w:tabs>
          <w:tab w:val="left" w:pos="90"/>
        </w:tabs>
        <w:ind w:left="90" w:right="42"/>
      </w:pPr>
    </w:p>
    <w:p w:rsidR="005B4996" w:rsidRDefault="005B4996" w:rsidP="005B4996">
      <w:pPr>
        <w:tabs>
          <w:tab w:val="left" w:pos="90"/>
        </w:tabs>
        <w:ind w:left="90" w:right="42"/>
      </w:pPr>
    </w:p>
    <w:p w:rsidR="00916EEE" w:rsidRPr="005B4996" w:rsidRDefault="005B4996" w:rsidP="005B4996">
      <w:pPr>
        <w:tabs>
          <w:tab w:val="left" w:pos="90"/>
        </w:tabs>
        <w:ind w:right="42"/>
      </w:pPr>
      <w:r w:rsidRPr="005B4996">
        <w:rPr>
          <w:b/>
          <w:bCs/>
          <w:color w:val="1F497D" w:themeColor="text2"/>
          <w:kern w:val="24"/>
          <w:sz w:val="22"/>
          <w:szCs w:val="22"/>
        </w:rPr>
        <w:t xml:space="preserve">Meaningful Use Stage 1 Objectives related to delivery of health information to patients: </w:t>
      </w:r>
      <w:r w:rsidRPr="005B4996">
        <w:rPr>
          <w:bCs/>
          <w:color w:val="1F497D" w:themeColor="text2"/>
          <w:kern w:val="24"/>
          <w:sz w:val="22"/>
          <w:szCs w:val="22"/>
        </w:rPr>
        <w:t>Provide patients with timely electronic access to their health information (including lab results, problem list, medication lists, and allergies) within four business days of the information being available to the EP (Meaningful Use Menu Set Measure 5 for EPs)</w:t>
      </w:r>
      <w:r w:rsidR="00916EEE">
        <w:br w:type="page"/>
      </w:r>
    </w:p>
    <w:p w:rsidR="00B67EB6" w:rsidRPr="007F3FDB" w:rsidRDefault="00B67EB6" w:rsidP="00B67EB6">
      <w:pPr>
        <w:pStyle w:val="Heading2"/>
        <w:spacing w:before="960"/>
      </w:pPr>
      <w:bookmarkStart w:id="9" w:name="OnePointOneCommonWorkflowSteps"/>
      <w:r w:rsidRPr="007F3FDB">
        <w:t>Common workflow steps for this scenario</w:t>
      </w:r>
    </w:p>
    <w:bookmarkEnd w:id="9"/>
    <w:p w:rsidR="0015473F" w:rsidRDefault="00A21CDD" w:rsidP="00B67EB6">
      <w:pPr>
        <w:pStyle w:val="ListNumber"/>
        <w:numPr>
          <w:ilvl w:val="0"/>
          <w:numId w:val="15"/>
        </w:numPr>
        <w:spacing w:after="120"/>
        <w:contextualSpacing w:val="0"/>
      </w:pPr>
      <w:r w:rsidRPr="00A21CDD">
        <w:t xml:space="preserve">The </w:t>
      </w:r>
      <w:bookmarkStart w:id="10" w:name="_Ref307305814"/>
      <w:bookmarkStart w:id="11" w:name="_Toc322449466"/>
      <w:bookmarkEnd w:id="2"/>
      <w:bookmarkEnd w:id="3"/>
      <w:bookmarkEnd w:id="4"/>
      <w:r w:rsidR="0015473F" w:rsidRPr="0015473F">
        <w:t xml:space="preserve">physical therapist uses his </w:t>
      </w:r>
      <w:proofErr w:type="gramStart"/>
      <w:r w:rsidR="0015473F" w:rsidRPr="0015473F">
        <w:t>Direct</w:t>
      </w:r>
      <w:proofErr w:type="gramEnd"/>
      <w:r w:rsidR="0015473F" w:rsidRPr="0015473F">
        <w:t xml:space="preserve"> account to author a message to the patient.  He specifies the </w:t>
      </w:r>
      <w:proofErr w:type="gramStart"/>
      <w:r w:rsidR="0015473F" w:rsidRPr="0015473F">
        <w:t>Direct</w:t>
      </w:r>
      <w:proofErr w:type="gramEnd"/>
      <w:r w:rsidR="0015473F" w:rsidRPr="0015473F">
        <w:t xml:space="preserve"> address the patient provided as the “recipient” for the message, and attaches the follow-up care instructions.  </w:t>
      </w:r>
    </w:p>
    <w:p w:rsidR="0015473F" w:rsidRDefault="00A21CDD" w:rsidP="00B67EB6">
      <w:pPr>
        <w:pStyle w:val="ListNumber"/>
        <w:numPr>
          <w:ilvl w:val="0"/>
          <w:numId w:val="15"/>
        </w:numPr>
        <w:spacing w:after="120"/>
        <w:contextualSpacing w:val="0"/>
      </w:pPr>
      <w:r w:rsidRPr="00A21CDD">
        <w:t xml:space="preserve">When </w:t>
      </w:r>
      <w:bookmarkEnd w:id="10"/>
      <w:bookmarkEnd w:id="11"/>
      <w:r w:rsidR="0015473F" w:rsidRPr="00B67EB6">
        <w:t>the physical therapist sends the message, it passes through the physical therapist’s Health Information Service Provider (HISP), a contracted brokering agent responsible for the management of security and transport for directed exchange. As it passes through the HISP, the message is encrypted using the x.509 Certificate associated with the patient’s Direct address, and delivered to the patient’s Direct address at the local hospital in accordance with the Applicability Statemen</w:t>
      </w:r>
      <w:r w:rsidR="00B67EB6">
        <w:t>t for Secure Health Transport</w:t>
      </w:r>
    </w:p>
    <w:p w:rsidR="0015473F" w:rsidRDefault="0015473F" w:rsidP="00B67EB6">
      <w:pPr>
        <w:pStyle w:val="ListNumber"/>
        <w:numPr>
          <w:ilvl w:val="0"/>
          <w:numId w:val="15"/>
        </w:numPr>
        <w:spacing w:after="120"/>
        <w:contextualSpacing w:val="0"/>
      </w:pPr>
      <w:r w:rsidRPr="0015473F">
        <w:t xml:space="preserve">When the message is received at the patient’s </w:t>
      </w:r>
      <w:proofErr w:type="gramStart"/>
      <w:r w:rsidRPr="0015473F">
        <w:t>Direct</w:t>
      </w:r>
      <w:proofErr w:type="gramEnd"/>
      <w:r w:rsidRPr="0015473F">
        <w:t xml:space="preserve"> address by the hospital’s HISP, an automated email notification is sent from the patient portal to the patient’s personal, non-Direct email address alerting her of the new secure message that awaits on the Patient Portal.</w:t>
      </w:r>
    </w:p>
    <w:p w:rsidR="00F240F4" w:rsidRDefault="0015473F" w:rsidP="00B67EB6">
      <w:pPr>
        <w:pStyle w:val="ListNumber"/>
        <w:numPr>
          <w:ilvl w:val="0"/>
          <w:numId w:val="15"/>
        </w:numPr>
        <w:spacing w:after="120"/>
        <w:contextualSpacing w:val="0"/>
      </w:pPr>
      <w:r w:rsidRPr="0015473F">
        <w:t xml:space="preserve">When the patient logs into the Patient Portal, she accesses the content in her </w:t>
      </w:r>
      <w:proofErr w:type="gramStart"/>
      <w:r w:rsidRPr="0015473F">
        <w:t>Direct</w:t>
      </w:r>
      <w:proofErr w:type="gramEnd"/>
      <w:r w:rsidRPr="0015473F">
        <w:t xml:space="preserve"> inbox, and downloads the follow-up care instructions that were sent by the physical therapist.</w:t>
      </w:r>
    </w:p>
    <w:p w:rsidR="00B67EB6" w:rsidRPr="007F3FDB" w:rsidRDefault="00B67EB6" w:rsidP="00B67EB6">
      <w:pPr>
        <w:pStyle w:val="Heading2"/>
      </w:pPr>
      <w:bookmarkStart w:id="12" w:name="_Toc325626044"/>
      <w:bookmarkStart w:id="13" w:name="OnePointTwoNWHINSPecifications"/>
      <w:r w:rsidRPr="007F3FDB">
        <w:t>NwHIN 1.0 specifications and resources recommended for this scenario</w:t>
      </w:r>
      <w:bookmarkEnd w:id="12"/>
    </w:p>
    <w:tbl>
      <w:tblPr>
        <w:tblStyle w:val="NLCTable"/>
        <w:tblW w:w="10020" w:type="dxa"/>
        <w:tblLook w:val="0420" w:firstRow="1" w:lastRow="0" w:firstColumn="0" w:lastColumn="0" w:noHBand="0" w:noVBand="1"/>
        <w:tblDescription w:val="Table Styles"/>
      </w:tblPr>
      <w:tblGrid>
        <w:gridCol w:w="3658"/>
        <w:gridCol w:w="6362"/>
      </w:tblGrid>
      <w:tr w:rsidR="00AE1BD8" w:rsidTr="00916EEE">
        <w:trPr>
          <w:cnfStyle w:val="100000000000" w:firstRow="1" w:lastRow="0" w:firstColumn="0" w:lastColumn="0" w:oddVBand="0" w:evenVBand="0" w:oddHBand="0" w:evenHBand="0" w:firstRowFirstColumn="0" w:firstRowLastColumn="0" w:lastRowFirstColumn="0" w:lastRowLastColumn="0"/>
        </w:trPr>
        <w:tc>
          <w:tcPr>
            <w:tcW w:w="3658" w:type="dxa"/>
          </w:tcPr>
          <w:p w:rsidR="00AE1BD8" w:rsidRDefault="00AE1BD8" w:rsidP="00A554CD">
            <w:pPr>
              <w:pStyle w:val="TableHeading"/>
            </w:pPr>
            <w:bookmarkStart w:id="14" w:name="ColumnTitle"/>
            <w:bookmarkStart w:id="15" w:name="NationalLearningConsortium"/>
            <w:bookmarkEnd w:id="13"/>
            <w:bookmarkEnd w:id="14"/>
            <w:bookmarkEnd w:id="15"/>
            <w:r>
              <w:t>Specifications</w:t>
            </w:r>
          </w:p>
        </w:tc>
        <w:tc>
          <w:tcPr>
            <w:tcW w:w="6362" w:type="dxa"/>
          </w:tcPr>
          <w:p w:rsidR="00AE1BD8" w:rsidRDefault="00AE1BD8" w:rsidP="00A554CD">
            <w:pPr>
              <w:pStyle w:val="TableHeading"/>
            </w:pPr>
            <w:r>
              <w:t>Resources</w:t>
            </w:r>
          </w:p>
        </w:tc>
      </w:tr>
      <w:tr w:rsidR="00916EEE" w:rsidTr="00916EEE">
        <w:tc>
          <w:tcPr>
            <w:tcW w:w="3658" w:type="dxa"/>
          </w:tcPr>
          <w:p w:rsidR="00916EEE" w:rsidRDefault="00916EEE" w:rsidP="00916EEE">
            <w:pPr>
              <w:pStyle w:val="TableSubheading"/>
            </w:pPr>
            <w:r>
              <w:t>Transport and Security</w:t>
            </w:r>
          </w:p>
          <w:p w:rsidR="00916EEE" w:rsidRPr="00916EEE" w:rsidRDefault="00916EEE" w:rsidP="00916EEE">
            <w:pPr>
              <w:pStyle w:val="TableText"/>
            </w:pPr>
            <w:r w:rsidRPr="00916EEE">
              <w:t>Mechanisms and processes that safely exchange health information over the Internet</w:t>
            </w:r>
          </w:p>
        </w:tc>
        <w:tc>
          <w:tcPr>
            <w:tcW w:w="6362" w:type="dxa"/>
          </w:tcPr>
          <w:p w:rsidR="00916EEE" w:rsidRPr="00916EEE" w:rsidRDefault="005832AE" w:rsidP="00F240F4">
            <w:pPr>
              <w:pStyle w:val="TableBullet"/>
              <w:rPr>
                <w:rStyle w:val="Hyperlink"/>
                <w:color w:val="auto"/>
                <w:u w:val="none"/>
              </w:rPr>
            </w:pPr>
            <w:hyperlink r:id="rId22" w:history="1">
              <w:r w:rsidR="00916EEE" w:rsidRPr="00916EEE">
                <w:rPr>
                  <w:rStyle w:val="Hyperlink"/>
                  <w:color w:val="548DD4" w:themeColor="text2" w:themeTint="99"/>
                  <w:kern w:val="24"/>
                  <w:szCs w:val="20"/>
                </w:rPr>
                <w:t>Applicability Statement for Secure Health Transport</w:t>
              </w:r>
            </w:hyperlink>
          </w:p>
          <w:p w:rsidR="00916EEE" w:rsidRPr="00916EEE" w:rsidRDefault="005832AE" w:rsidP="00F240F4">
            <w:pPr>
              <w:pStyle w:val="TableBullet"/>
            </w:pPr>
            <w:hyperlink r:id="rId23" w:history="1">
              <w:r w:rsidR="00916EEE" w:rsidRPr="00916EEE">
                <w:rPr>
                  <w:rStyle w:val="Hyperlink"/>
                  <w:color w:val="548DD4" w:themeColor="text2" w:themeTint="99"/>
                  <w:kern w:val="24"/>
                  <w:szCs w:val="20"/>
                </w:rPr>
                <w:t>x.509 for Certificates</w:t>
              </w:r>
            </w:hyperlink>
          </w:p>
        </w:tc>
      </w:tr>
    </w:tbl>
    <w:p w:rsidR="0072000C" w:rsidRDefault="0072000C" w:rsidP="00916EEE">
      <w:pPr>
        <w:pStyle w:val="BodyTextReferences"/>
      </w:pPr>
    </w:p>
    <w:sectPr w:rsidR="0072000C"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2AE" w:rsidRDefault="005832AE" w:rsidP="00B76348">
      <w:r>
        <w:separator/>
      </w:r>
    </w:p>
  </w:endnote>
  <w:endnote w:type="continuationSeparator" w:id="0">
    <w:p w:rsidR="005832AE" w:rsidRDefault="005832AE"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F7F" w:rsidRDefault="00D82F7F"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Pr="00206554" w:rsidRDefault="00D82F7F" w:rsidP="002A2A86">
    <w:pPr>
      <w:tabs>
        <w:tab w:val="left" w:pos="2987"/>
        <w:tab w:val="right" w:pos="9000"/>
      </w:tabs>
      <w:ind w:right="360"/>
      <w:rPr>
        <w:sz w:val="14"/>
        <w:szCs w:val="14"/>
      </w:rPr>
    </w:pPr>
  </w:p>
  <w:p w:rsidR="00D82F7F" w:rsidRDefault="00413EBE" w:rsidP="00413EBE">
    <w:pPr>
      <w:framePr w:w="1921" w:wrap="around" w:vAnchor="text" w:hAnchor="margin" w:xAlign="center" w:y="51"/>
      <w:jc w:val="center"/>
      <w:rPr>
        <w:color w:val="808080" w:themeColor="background1" w:themeShade="80"/>
        <w:sz w:val="14"/>
        <w:szCs w:val="14"/>
      </w:rPr>
    </w:pPr>
    <w:r>
      <w:rPr>
        <w:color w:val="808080" w:themeColor="background1" w:themeShade="80"/>
        <w:sz w:val="14"/>
        <w:szCs w:val="14"/>
      </w:rPr>
      <w:t>May 3</w:t>
    </w:r>
    <w:r w:rsidR="00CF1D88">
      <w:rPr>
        <w:color w:val="808080" w:themeColor="background1" w:themeShade="80"/>
        <w:sz w:val="14"/>
        <w:szCs w:val="14"/>
      </w:rPr>
      <w:t>1, 2012</w:t>
    </w:r>
    <w:r w:rsidR="00D82F7F">
      <w:rPr>
        <w:color w:val="808080" w:themeColor="background1" w:themeShade="80"/>
        <w:sz w:val="14"/>
        <w:szCs w:val="14"/>
      </w:rPr>
      <w:t xml:space="preserve"> • Version 1.0</w:t>
    </w:r>
  </w:p>
  <w:p w:rsidR="00D82F7F" w:rsidRPr="002A2A86" w:rsidRDefault="00D82F7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2B0A8F">
      <w:rPr>
        <w:rStyle w:val="PageNumber"/>
        <w:noProof/>
        <w:color w:val="808080" w:themeColor="background1" w:themeShade="80"/>
        <w:sz w:val="14"/>
        <w:szCs w:val="14"/>
      </w:rPr>
      <w:t>i</w:t>
    </w:r>
    <w:r w:rsidRPr="002A2A86">
      <w:rPr>
        <w:rStyle w:val="PageNumber"/>
        <w:color w:val="808080" w:themeColor="background1" w:themeShade="80"/>
        <w:sz w:val="14"/>
        <w:szCs w:val="14"/>
      </w:rPr>
      <w:fldChar w:fldCharType="end"/>
    </w:r>
  </w:p>
  <w:p w:rsidR="00D82F7F" w:rsidRDefault="00D82F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2AE" w:rsidRDefault="005832AE" w:rsidP="00B76348">
      <w:r>
        <w:separator/>
      </w:r>
    </w:p>
  </w:footnote>
  <w:footnote w:type="continuationSeparator" w:id="0">
    <w:p w:rsidR="005832AE" w:rsidRDefault="005832AE"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5B6C7EA3" wp14:editId="6C431D63">
          <wp:simplePos x="0" y="0"/>
          <wp:positionH relativeFrom="column">
            <wp:posOffset>-952500</wp:posOffset>
          </wp:positionH>
          <wp:positionV relativeFrom="paragraph">
            <wp:posOffset>-457200</wp:posOffset>
          </wp:positionV>
          <wp:extent cx="8077200" cy="1828800"/>
          <wp:effectExtent l="0" t="0" r="0" b="0"/>
          <wp:wrapNone/>
          <wp:docPr id="1" name="Picture 1"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65CB4790" wp14:editId="42854F08">
          <wp:extent cx="2688336" cy="384048"/>
          <wp:effectExtent l="0" t="0" r="0" b="0"/>
          <wp:docPr id="2" name="Picture 2"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2">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722EB7"/>
    <w:multiLevelType w:val="multilevel"/>
    <w:tmpl w:val="ED1621D0"/>
    <w:lvl w:ilvl="0">
      <w:start w:val="1"/>
      <w:numFmt w:val="decimal"/>
      <w:pStyle w:val="Bullet1"/>
      <w:lvlText w:val="%1."/>
      <w:lvlJc w:val="left"/>
      <w:pPr>
        <w:ind w:left="360" w:hanging="360"/>
      </w:pPr>
      <w:rPr>
        <w:rFonts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4">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6527239"/>
    <w:multiLevelType w:val="hybridMultilevel"/>
    <w:tmpl w:val="6DDAA2C8"/>
    <w:lvl w:ilvl="0" w:tplc="0FB26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10"/>
  </w:num>
  <w:num w:numId="5">
    <w:abstractNumId w:val="1"/>
  </w:num>
  <w:num w:numId="6">
    <w:abstractNumId w:val="5"/>
  </w:num>
  <w:num w:numId="7">
    <w:abstractNumId w:val="0"/>
    <w:lvlOverride w:ilvl="0">
      <w:startOverride w:val="1"/>
    </w:lvlOverride>
  </w:num>
  <w:num w:numId="8">
    <w:abstractNumId w:val="0"/>
    <w:lvlOverride w:ilvl="0">
      <w:startOverride w:val="1"/>
    </w:lvlOverride>
  </w:num>
  <w:num w:numId="9">
    <w:abstractNumId w:val="6"/>
  </w:num>
  <w:num w:numId="10">
    <w:abstractNumId w:val="14"/>
  </w:num>
  <w:num w:numId="11">
    <w:abstractNumId w:val="2"/>
  </w:num>
  <w:num w:numId="12">
    <w:abstractNumId w:val="7"/>
  </w:num>
  <w:num w:numId="13">
    <w:abstractNumId w:val="3"/>
  </w:num>
  <w:num w:numId="14">
    <w:abstractNumId w:val="4"/>
  </w:num>
  <w:num w:numId="15">
    <w:abstractNumId w:val="15"/>
  </w:num>
  <w:num w:numId="16">
    <w:abstractNumId w:val="9"/>
  </w:num>
  <w:num w:numId="17">
    <w:abstractNumId w:val="8"/>
  </w:num>
  <w:num w:numId="1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0DA3"/>
    <w:rsid w:val="00023419"/>
    <w:rsid w:val="0002669E"/>
    <w:rsid w:val="00031E49"/>
    <w:rsid w:val="000458E3"/>
    <w:rsid w:val="0005254C"/>
    <w:rsid w:val="000573A4"/>
    <w:rsid w:val="0008331E"/>
    <w:rsid w:val="000B7FC5"/>
    <w:rsid w:val="000C0B2D"/>
    <w:rsid w:val="000C62CC"/>
    <w:rsid w:val="000F79D1"/>
    <w:rsid w:val="00110416"/>
    <w:rsid w:val="00137AC9"/>
    <w:rsid w:val="0015473F"/>
    <w:rsid w:val="00171FB8"/>
    <w:rsid w:val="00174B47"/>
    <w:rsid w:val="00186908"/>
    <w:rsid w:val="001A7C51"/>
    <w:rsid w:val="001B4BA7"/>
    <w:rsid w:val="001D3A8D"/>
    <w:rsid w:val="001E452F"/>
    <w:rsid w:val="001F5133"/>
    <w:rsid w:val="001F64C3"/>
    <w:rsid w:val="00200A11"/>
    <w:rsid w:val="00205CB5"/>
    <w:rsid w:val="00206554"/>
    <w:rsid w:val="002100A3"/>
    <w:rsid w:val="0022735E"/>
    <w:rsid w:val="00237915"/>
    <w:rsid w:val="00245321"/>
    <w:rsid w:val="00246479"/>
    <w:rsid w:val="00246EC4"/>
    <w:rsid w:val="00246EEE"/>
    <w:rsid w:val="00256AEC"/>
    <w:rsid w:val="00262C0F"/>
    <w:rsid w:val="00292842"/>
    <w:rsid w:val="00293EFD"/>
    <w:rsid w:val="002A2A86"/>
    <w:rsid w:val="002B0A8F"/>
    <w:rsid w:val="002B29E7"/>
    <w:rsid w:val="002B6135"/>
    <w:rsid w:val="002B64BE"/>
    <w:rsid w:val="002D0BA1"/>
    <w:rsid w:val="002E23BA"/>
    <w:rsid w:val="002E3D3E"/>
    <w:rsid w:val="002F2477"/>
    <w:rsid w:val="002F6090"/>
    <w:rsid w:val="00301824"/>
    <w:rsid w:val="00305D82"/>
    <w:rsid w:val="00322B91"/>
    <w:rsid w:val="00330503"/>
    <w:rsid w:val="003325D2"/>
    <w:rsid w:val="00355630"/>
    <w:rsid w:val="00374E09"/>
    <w:rsid w:val="003A063A"/>
    <w:rsid w:val="003B2DDD"/>
    <w:rsid w:val="003C0F05"/>
    <w:rsid w:val="003C43A2"/>
    <w:rsid w:val="003C4C3D"/>
    <w:rsid w:val="003D3100"/>
    <w:rsid w:val="003E5083"/>
    <w:rsid w:val="003F553D"/>
    <w:rsid w:val="0041141E"/>
    <w:rsid w:val="00413EBE"/>
    <w:rsid w:val="004527F5"/>
    <w:rsid w:val="00461CE0"/>
    <w:rsid w:val="0046321B"/>
    <w:rsid w:val="00476E77"/>
    <w:rsid w:val="00497D58"/>
    <w:rsid w:val="00497EA5"/>
    <w:rsid w:val="004B50E2"/>
    <w:rsid w:val="004C7CC3"/>
    <w:rsid w:val="004D2903"/>
    <w:rsid w:val="004D331F"/>
    <w:rsid w:val="004F1144"/>
    <w:rsid w:val="00505FE5"/>
    <w:rsid w:val="0051307E"/>
    <w:rsid w:val="00525331"/>
    <w:rsid w:val="00542E15"/>
    <w:rsid w:val="00550840"/>
    <w:rsid w:val="00560238"/>
    <w:rsid w:val="00565E16"/>
    <w:rsid w:val="005832AE"/>
    <w:rsid w:val="005A0085"/>
    <w:rsid w:val="005B4996"/>
    <w:rsid w:val="005C1F17"/>
    <w:rsid w:val="005C5D5F"/>
    <w:rsid w:val="005D1899"/>
    <w:rsid w:val="005D4BD7"/>
    <w:rsid w:val="005E20D0"/>
    <w:rsid w:val="00605EBD"/>
    <w:rsid w:val="006067B8"/>
    <w:rsid w:val="00610E69"/>
    <w:rsid w:val="00614330"/>
    <w:rsid w:val="00633585"/>
    <w:rsid w:val="00637C99"/>
    <w:rsid w:val="00642DF4"/>
    <w:rsid w:val="00646D05"/>
    <w:rsid w:val="00647D3A"/>
    <w:rsid w:val="006611B1"/>
    <w:rsid w:val="00661DDC"/>
    <w:rsid w:val="0066681F"/>
    <w:rsid w:val="00674088"/>
    <w:rsid w:val="00685184"/>
    <w:rsid w:val="00695E9B"/>
    <w:rsid w:val="006A2FD6"/>
    <w:rsid w:val="006B16E5"/>
    <w:rsid w:val="006B416A"/>
    <w:rsid w:val="006B7CEF"/>
    <w:rsid w:val="006C1AEF"/>
    <w:rsid w:val="006C70A4"/>
    <w:rsid w:val="006C7FA8"/>
    <w:rsid w:val="006D0882"/>
    <w:rsid w:val="006E0102"/>
    <w:rsid w:val="006E6585"/>
    <w:rsid w:val="0072000C"/>
    <w:rsid w:val="0072124D"/>
    <w:rsid w:val="0072403E"/>
    <w:rsid w:val="00724C73"/>
    <w:rsid w:val="007344D0"/>
    <w:rsid w:val="007350FF"/>
    <w:rsid w:val="00750DE8"/>
    <w:rsid w:val="007516B3"/>
    <w:rsid w:val="00760C12"/>
    <w:rsid w:val="00765469"/>
    <w:rsid w:val="007728CA"/>
    <w:rsid w:val="0078212E"/>
    <w:rsid w:val="007A09A6"/>
    <w:rsid w:val="007A5F81"/>
    <w:rsid w:val="007B6091"/>
    <w:rsid w:val="007D02A8"/>
    <w:rsid w:val="007E2B87"/>
    <w:rsid w:val="007E5419"/>
    <w:rsid w:val="007E6777"/>
    <w:rsid w:val="007F2BAB"/>
    <w:rsid w:val="008264B7"/>
    <w:rsid w:val="00833160"/>
    <w:rsid w:val="008357BB"/>
    <w:rsid w:val="00840356"/>
    <w:rsid w:val="0084594B"/>
    <w:rsid w:val="0085245B"/>
    <w:rsid w:val="00872ECC"/>
    <w:rsid w:val="00873445"/>
    <w:rsid w:val="00881617"/>
    <w:rsid w:val="0088184F"/>
    <w:rsid w:val="0089604C"/>
    <w:rsid w:val="008C13A0"/>
    <w:rsid w:val="008C2B00"/>
    <w:rsid w:val="008D1206"/>
    <w:rsid w:val="008D176C"/>
    <w:rsid w:val="008D27A0"/>
    <w:rsid w:val="008D4B91"/>
    <w:rsid w:val="008D5DFF"/>
    <w:rsid w:val="008E32C1"/>
    <w:rsid w:val="008F2E1F"/>
    <w:rsid w:val="008F6133"/>
    <w:rsid w:val="00903C54"/>
    <w:rsid w:val="00907C3C"/>
    <w:rsid w:val="00916B4F"/>
    <w:rsid w:val="00916D2C"/>
    <w:rsid w:val="00916EEE"/>
    <w:rsid w:val="00921D02"/>
    <w:rsid w:val="00932BA2"/>
    <w:rsid w:val="009456F6"/>
    <w:rsid w:val="00946781"/>
    <w:rsid w:val="00946916"/>
    <w:rsid w:val="00951E3E"/>
    <w:rsid w:val="009555E4"/>
    <w:rsid w:val="0096023D"/>
    <w:rsid w:val="00961FCA"/>
    <w:rsid w:val="009651A7"/>
    <w:rsid w:val="0097766E"/>
    <w:rsid w:val="00987BBA"/>
    <w:rsid w:val="00995155"/>
    <w:rsid w:val="009A6DED"/>
    <w:rsid w:val="009B7E53"/>
    <w:rsid w:val="00A10D87"/>
    <w:rsid w:val="00A2135B"/>
    <w:rsid w:val="00A21CDD"/>
    <w:rsid w:val="00A21EBE"/>
    <w:rsid w:val="00A454F0"/>
    <w:rsid w:val="00A55141"/>
    <w:rsid w:val="00A56F0D"/>
    <w:rsid w:val="00A704D0"/>
    <w:rsid w:val="00A74859"/>
    <w:rsid w:val="00A832F5"/>
    <w:rsid w:val="00AA0D4E"/>
    <w:rsid w:val="00AA12F8"/>
    <w:rsid w:val="00AA7D15"/>
    <w:rsid w:val="00AB07DD"/>
    <w:rsid w:val="00AC459C"/>
    <w:rsid w:val="00AD3E4D"/>
    <w:rsid w:val="00AE088E"/>
    <w:rsid w:val="00AE17D8"/>
    <w:rsid w:val="00AE1BD8"/>
    <w:rsid w:val="00AE56DF"/>
    <w:rsid w:val="00AF61D5"/>
    <w:rsid w:val="00AF6BB4"/>
    <w:rsid w:val="00B027F5"/>
    <w:rsid w:val="00B043BA"/>
    <w:rsid w:val="00B2740D"/>
    <w:rsid w:val="00B32293"/>
    <w:rsid w:val="00B52CF1"/>
    <w:rsid w:val="00B62E53"/>
    <w:rsid w:val="00B67EB6"/>
    <w:rsid w:val="00B7074E"/>
    <w:rsid w:val="00B74F8C"/>
    <w:rsid w:val="00B76348"/>
    <w:rsid w:val="00B82FF5"/>
    <w:rsid w:val="00B9157E"/>
    <w:rsid w:val="00BC5D93"/>
    <w:rsid w:val="00BD5E5A"/>
    <w:rsid w:val="00BE1A28"/>
    <w:rsid w:val="00BE69D0"/>
    <w:rsid w:val="00BE6D5A"/>
    <w:rsid w:val="00BF1377"/>
    <w:rsid w:val="00BF4740"/>
    <w:rsid w:val="00C13B63"/>
    <w:rsid w:val="00C1560B"/>
    <w:rsid w:val="00C17CDA"/>
    <w:rsid w:val="00C37C9D"/>
    <w:rsid w:val="00C4359F"/>
    <w:rsid w:val="00C50668"/>
    <w:rsid w:val="00C569B3"/>
    <w:rsid w:val="00C62EF0"/>
    <w:rsid w:val="00C7457C"/>
    <w:rsid w:val="00C97280"/>
    <w:rsid w:val="00CA3437"/>
    <w:rsid w:val="00CB3601"/>
    <w:rsid w:val="00CD0247"/>
    <w:rsid w:val="00CE1A4A"/>
    <w:rsid w:val="00CF1D88"/>
    <w:rsid w:val="00CF3488"/>
    <w:rsid w:val="00D068C9"/>
    <w:rsid w:val="00D10C75"/>
    <w:rsid w:val="00D3506B"/>
    <w:rsid w:val="00D36E2D"/>
    <w:rsid w:val="00D4279E"/>
    <w:rsid w:val="00D5130A"/>
    <w:rsid w:val="00D53395"/>
    <w:rsid w:val="00D535A2"/>
    <w:rsid w:val="00D6103A"/>
    <w:rsid w:val="00D76AB6"/>
    <w:rsid w:val="00D80A66"/>
    <w:rsid w:val="00D82F7F"/>
    <w:rsid w:val="00D849E9"/>
    <w:rsid w:val="00D934A9"/>
    <w:rsid w:val="00D9620E"/>
    <w:rsid w:val="00DB0DD3"/>
    <w:rsid w:val="00DB3127"/>
    <w:rsid w:val="00DB75AB"/>
    <w:rsid w:val="00DC2CE7"/>
    <w:rsid w:val="00DC4305"/>
    <w:rsid w:val="00DC7577"/>
    <w:rsid w:val="00DD376C"/>
    <w:rsid w:val="00DD4977"/>
    <w:rsid w:val="00DD4F05"/>
    <w:rsid w:val="00DD736C"/>
    <w:rsid w:val="00DE165C"/>
    <w:rsid w:val="00DF20CB"/>
    <w:rsid w:val="00E0580D"/>
    <w:rsid w:val="00E17D18"/>
    <w:rsid w:val="00E22FF3"/>
    <w:rsid w:val="00E52428"/>
    <w:rsid w:val="00E61170"/>
    <w:rsid w:val="00E65DA9"/>
    <w:rsid w:val="00E8269E"/>
    <w:rsid w:val="00E91C52"/>
    <w:rsid w:val="00EA3AEC"/>
    <w:rsid w:val="00EA60C4"/>
    <w:rsid w:val="00EB04A2"/>
    <w:rsid w:val="00EB5409"/>
    <w:rsid w:val="00ED1D75"/>
    <w:rsid w:val="00EF612B"/>
    <w:rsid w:val="00EF6FFF"/>
    <w:rsid w:val="00F12407"/>
    <w:rsid w:val="00F20890"/>
    <w:rsid w:val="00F240F4"/>
    <w:rsid w:val="00F36F73"/>
    <w:rsid w:val="00F415C1"/>
    <w:rsid w:val="00F51BF2"/>
    <w:rsid w:val="00F52CDB"/>
    <w:rsid w:val="00F52EB8"/>
    <w:rsid w:val="00F621A9"/>
    <w:rsid w:val="00F628A0"/>
    <w:rsid w:val="00F86847"/>
    <w:rsid w:val="00F93A09"/>
    <w:rsid w:val="00F95540"/>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97652">
      <w:bodyDiv w:val="1"/>
      <w:marLeft w:val="0"/>
      <w:marRight w:val="0"/>
      <w:marTop w:val="0"/>
      <w:marBottom w:val="0"/>
      <w:divBdr>
        <w:top w:val="none" w:sz="0" w:space="0" w:color="auto"/>
        <w:left w:val="none" w:sz="0" w:space="0" w:color="auto"/>
        <w:bottom w:val="none" w:sz="0" w:space="0" w:color="auto"/>
        <w:right w:val="none" w:sz="0" w:space="0" w:color="auto"/>
      </w:divBdr>
    </w:div>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270935329">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156991743">
      <w:bodyDiv w:val="1"/>
      <w:marLeft w:val="0"/>
      <w:marRight w:val="0"/>
      <w:marTop w:val="0"/>
      <w:marBottom w:val="0"/>
      <w:divBdr>
        <w:top w:val="none" w:sz="0" w:space="0" w:color="auto"/>
        <w:left w:val="none" w:sz="0" w:space="0" w:color="auto"/>
        <w:bottom w:val="none" w:sz="0" w:space="0" w:color="auto"/>
        <w:right w:val="none" w:sz="0" w:space="0" w:color="auto"/>
      </w:divBdr>
    </w:div>
    <w:div w:id="1307979436">
      <w:bodyDiv w:val="1"/>
      <w:marLeft w:val="0"/>
      <w:marRight w:val="0"/>
      <w:marTop w:val="0"/>
      <w:marBottom w:val="0"/>
      <w:divBdr>
        <w:top w:val="none" w:sz="0" w:space="0" w:color="auto"/>
        <w:left w:val="none" w:sz="0" w:space="0" w:color="auto"/>
        <w:bottom w:val="none" w:sz="0" w:space="0" w:color="auto"/>
        <w:right w:val="none" w:sz="0" w:space="0" w:color="auto"/>
      </w:divBdr>
    </w:div>
    <w:div w:id="1688481015">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 w:id="210672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siframework.or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23" Type="http://schemas.openxmlformats.org/officeDocument/2006/relationships/hyperlink" Target="http://tools.ietf.org/html/rfc5280" TargetMode="External"/><Relationship Id="rId10" Type="http://schemas.openxmlformats.org/officeDocument/2006/relationships/footer" Target="footer1.xml"/><Relationship Id="rId19" Type="http://schemas.openxmlformats.org/officeDocument/2006/relationships/hyperlink" Target="mailto:info@siframework.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hyperlink" Target="http://wiki.directproject.org/Applicability+Statement+for+Secure+Health+Transpor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44E6A-C1E4-4E92-B3BF-622D8548B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Sending Patient Follow-Up Care Instructions</vt:lpstr>
    </vt:vector>
  </TitlesOfParts>
  <LinksUpToDate>false</LinksUpToDate>
  <CharactersWithSpaces>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Sending Patient Follow-Up Care Instructions</dc:title>
  <dc:subject>HIE Scenario, Workflow and Specifications</dc:subject>
  <dc:creator>Imam, Shazia </dc:creator>
  <cp:lastModifiedBy/>
  <cp:revision>1</cp:revision>
  <dcterms:created xsi:type="dcterms:W3CDTF">2012-10-02T18:16:00Z</dcterms:created>
  <dcterms:modified xsi:type="dcterms:W3CDTF">2012-10-02T18:16:00Z</dcterms:modified>
</cp:coreProperties>
</file>