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A4" w:rsidRPr="00287EA4" w:rsidRDefault="00287EA4">
      <w:pPr>
        <w:rPr>
          <w:b/>
        </w:rPr>
      </w:pPr>
      <w:r w:rsidRPr="00287EA4">
        <w:rPr>
          <w:b/>
        </w:rPr>
        <w:t>General subgroup philosophy: Form agnostic</w:t>
      </w:r>
      <w:r>
        <w:rPr>
          <w:b/>
        </w:rPr>
        <w:t xml:space="preserve"> – focus on functionality</w:t>
      </w:r>
    </w:p>
    <w:p w:rsidR="00287EA4" w:rsidRDefault="00287EA4"/>
    <w:tbl>
      <w:tblPr>
        <w:tblStyle w:val="MediumGrid1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1764"/>
        <w:gridCol w:w="2328"/>
        <w:gridCol w:w="2668"/>
        <w:gridCol w:w="1767"/>
        <w:gridCol w:w="1984"/>
        <w:gridCol w:w="2598"/>
      </w:tblGrid>
      <w:tr w:rsidR="007D0125" w:rsidTr="007D0125">
        <w:trPr>
          <w:cnfStyle w:val="100000000000"/>
        </w:trPr>
        <w:tc>
          <w:tcPr>
            <w:cnfStyle w:val="001000000000"/>
            <w:tcW w:w="726" w:type="pct"/>
            <w:shd w:val="clear" w:color="auto" w:fill="548DD4" w:themeFill="text2" w:themeFillTint="99"/>
          </w:tcPr>
          <w:p w:rsidR="007D0125" w:rsidRPr="007D0125" w:rsidRDefault="007D0125" w:rsidP="007F2F02">
            <w:pPr>
              <w:pStyle w:val="SteveStyle"/>
              <w:rPr>
                <w:color w:val="FFFFFF" w:themeColor="background1"/>
                <w:szCs w:val="24"/>
              </w:rPr>
            </w:pPr>
            <w:r w:rsidRPr="007D0125">
              <w:rPr>
                <w:color w:val="FFFFFF" w:themeColor="background1"/>
                <w:szCs w:val="24"/>
              </w:rPr>
              <w:t>Who would use it?</w:t>
            </w:r>
          </w:p>
        </w:tc>
        <w:tc>
          <w:tcPr>
            <w:tcW w:w="575" w:type="pct"/>
            <w:shd w:val="clear" w:color="auto" w:fill="548DD4" w:themeFill="text2" w:themeFillTint="99"/>
          </w:tcPr>
          <w:p w:rsidR="007D0125" w:rsidRPr="007D0125" w:rsidRDefault="007D0125" w:rsidP="007F2F02">
            <w:pPr>
              <w:pStyle w:val="SteveStyle"/>
              <w:cnfStyle w:val="100000000000"/>
              <w:rPr>
                <w:color w:val="FFFFFF" w:themeColor="background1"/>
                <w:szCs w:val="24"/>
              </w:rPr>
            </w:pPr>
            <w:r w:rsidRPr="007D0125">
              <w:rPr>
                <w:color w:val="FFFFFF" w:themeColor="background1"/>
                <w:szCs w:val="24"/>
              </w:rPr>
              <w:t>Setting used in?</w:t>
            </w:r>
          </w:p>
        </w:tc>
        <w:tc>
          <w:tcPr>
            <w:tcW w:w="759" w:type="pct"/>
            <w:shd w:val="clear" w:color="auto" w:fill="548DD4" w:themeFill="text2" w:themeFillTint="99"/>
          </w:tcPr>
          <w:p w:rsidR="007D0125" w:rsidRPr="007D0125" w:rsidRDefault="007D0125" w:rsidP="007F2F02">
            <w:pPr>
              <w:pStyle w:val="SteveStyle"/>
              <w:cnfStyle w:val="100000000000"/>
              <w:rPr>
                <w:color w:val="FFFFFF" w:themeColor="background1"/>
                <w:szCs w:val="24"/>
              </w:rPr>
            </w:pPr>
            <w:r w:rsidRPr="007D0125">
              <w:rPr>
                <w:color w:val="FFFFFF" w:themeColor="background1"/>
                <w:szCs w:val="24"/>
              </w:rPr>
              <w:t>Lifecycle stage</w:t>
            </w:r>
          </w:p>
        </w:tc>
        <w:tc>
          <w:tcPr>
            <w:tcW w:w="870" w:type="pct"/>
            <w:shd w:val="clear" w:color="auto" w:fill="548DD4" w:themeFill="text2" w:themeFillTint="99"/>
          </w:tcPr>
          <w:p w:rsidR="007D0125" w:rsidRPr="007D0125" w:rsidRDefault="007D0125" w:rsidP="007D0125">
            <w:pPr>
              <w:pStyle w:val="SteveStyle"/>
              <w:cnfStyle w:val="100000000000"/>
              <w:rPr>
                <w:color w:val="FFFFFF" w:themeColor="background1"/>
                <w:szCs w:val="24"/>
              </w:rPr>
            </w:pPr>
            <w:r w:rsidRPr="007D0125">
              <w:rPr>
                <w:color w:val="FFFFFF" w:themeColor="background1"/>
                <w:szCs w:val="24"/>
              </w:rPr>
              <w:t>Clinical/Health care purpose</w:t>
            </w:r>
            <w:r>
              <w:rPr>
                <w:color w:val="FFFFFF" w:themeColor="background1"/>
                <w:szCs w:val="24"/>
              </w:rPr>
              <w:t>/what it’s designed to do</w:t>
            </w:r>
          </w:p>
        </w:tc>
        <w:tc>
          <w:tcPr>
            <w:tcW w:w="576" w:type="pct"/>
            <w:shd w:val="clear" w:color="auto" w:fill="548DD4" w:themeFill="text2" w:themeFillTint="99"/>
          </w:tcPr>
          <w:p w:rsidR="007D0125" w:rsidRPr="007D0125" w:rsidRDefault="007D0125" w:rsidP="007F2F02">
            <w:pPr>
              <w:pStyle w:val="SteveStyle"/>
              <w:cnfStyle w:val="100000000000"/>
              <w:rPr>
                <w:color w:val="FFFFFF" w:themeColor="background1"/>
                <w:szCs w:val="24"/>
              </w:rPr>
            </w:pPr>
            <w:r w:rsidRPr="007D0125">
              <w:rPr>
                <w:color w:val="FFFFFF" w:themeColor="background1"/>
                <w:szCs w:val="24"/>
              </w:rPr>
              <w:t>Who creates</w:t>
            </w:r>
            <w:r>
              <w:rPr>
                <w:color w:val="FFFFFF" w:themeColor="background1"/>
                <w:szCs w:val="24"/>
              </w:rPr>
              <w:t>?</w:t>
            </w:r>
          </w:p>
        </w:tc>
        <w:tc>
          <w:tcPr>
            <w:tcW w:w="647" w:type="pct"/>
            <w:shd w:val="clear" w:color="auto" w:fill="548DD4" w:themeFill="text2" w:themeFillTint="99"/>
          </w:tcPr>
          <w:p w:rsidR="007D0125" w:rsidRPr="007D0125" w:rsidRDefault="007D0125" w:rsidP="007F2F02">
            <w:pPr>
              <w:pStyle w:val="SteveStyle"/>
              <w:cnfStyle w:val="100000000000"/>
              <w:rPr>
                <w:color w:val="FFFFFF" w:themeColor="background1"/>
                <w:szCs w:val="24"/>
              </w:rPr>
            </w:pPr>
            <w:r w:rsidRPr="007D0125">
              <w:rPr>
                <w:color w:val="FFFFFF" w:themeColor="background1"/>
                <w:szCs w:val="24"/>
              </w:rPr>
              <w:t>Purpose it was  created</w:t>
            </w:r>
          </w:p>
        </w:tc>
        <w:tc>
          <w:tcPr>
            <w:tcW w:w="847" w:type="pct"/>
            <w:shd w:val="clear" w:color="auto" w:fill="548DD4" w:themeFill="text2" w:themeFillTint="99"/>
          </w:tcPr>
          <w:p w:rsidR="007D0125" w:rsidRPr="007D0125" w:rsidRDefault="007D0125" w:rsidP="007F2F02">
            <w:pPr>
              <w:pStyle w:val="SteveStyle"/>
              <w:cnfStyle w:val="100000000000"/>
              <w:rPr>
                <w:color w:val="FFFFFF" w:themeColor="background1"/>
                <w:szCs w:val="24"/>
              </w:rPr>
            </w:pPr>
            <w:r w:rsidRPr="007D0125">
              <w:rPr>
                <w:color w:val="FFFFFF" w:themeColor="background1"/>
                <w:szCs w:val="24"/>
              </w:rPr>
              <w:t>How its distributed/acquired</w:t>
            </w:r>
          </w:p>
        </w:tc>
      </w:tr>
      <w:tr w:rsidR="007D0125" w:rsidTr="007D0125">
        <w:trPr>
          <w:cnfStyle w:val="000000100000"/>
        </w:trPr>
        <w:tc>
          <w:tcPr>
            <w:cnfStyle w:val="001000000000"/>
            <w:tcW w:w="726" w:type="pct"/>
          </w:tcPr>
          <w:p w:rsidR="007D0125" w:rsidRPr="00287EA4" w:rsidRDefault="007D0125" w:rsidP="007F2F02">
            <w:pPr>
              <w:pStyle w:val="SteveStyle"/>
              <w:rPr>
                <w:b w:val="0"/>
                <w:szCs w:val="24"/>
              </w:rPr>
            </w:pPr>
            <w:r w:rsidRPr="00287EA4">
              <w:rPr>
                <w:b w:val="0"/>
                <w:szCs w:val="24"/>
              </w:rPr>
              <w:t>Consumer-only</w:t>
            </w:r>
          </w:p>
        </w:tc>
        <w:tc>
          <w:tcPr>
            <w:tcW w:w="575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Personal/</w:t>
            </w:r>
          </w:p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Home use</w:t>
            </w:r>
          </w:p>
        </w:tc>
        <w:tc>
          <w:tcPr>
            <w:tcW w:w="759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Prototype</w:t>
            </w:r>
          </w:p>
        </w:tc>
        <w:tc>
          <w:tcPr>
            <w:tcW w:w="870" w:type="pct"/>
          </w:tcPr>
          <w:p w:rsidR="007D0125" w:rsidRDefault="007D0125" w:rsidP="009A0A3E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Quantified self</w:t>
            </w:r>
          </w:p>
        </w:tc>
        <w:tc>
          <w:tcPr>
            <w:tcW w:w="576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Person in garage</w:t>
            </w:r>
          </w:p>
        </w:tc>
        <w:tc>
          <w:tcPr>
            <w:tcW w:w="647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Single use</w:t>
            </w:r>
          </w:p>
        </w:tc>
        <w:tc>
          <w:tcPr>
            <w:tcW w:w="847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Free/open distribution (app store)</w:t>
            </w:r>
          </w:p>
        </w:tc>
      </w:tr>
      <w:tr w:rsidR="007D0125" w:rsidTr="007D0125">
        <w:tc>
          <w:tcPr>
            <w:cnfStyle w:val="001000000000"/>
            <w:tcW w:w="726" w:type="pct"/>
          </w:tcPr>
          <w:p w:rsidR="007D0125" w:rsidRPr="00287EA4" w:rsidRDefault="007D0125" w:rsidP="007F2F02">
            <w:pPr>
              <w:pStyle w:val="SteveStyle"/>
              <w:rPr>
                <w:b w:val="0"/>
                <w:szCs w:val="24"/>
              </w:rPr>
            </w:pPr>
            <w:r w:rsidRPr="00287EA4">
              <w:rPr>
                <w:b w:val="0"/>
                <w:szCs w:val="24"/>
              </w:rPr>
              <w:t>Consumer/health care provider</w:t>
            </w:r>
          </w:p>
        </w:tc>
        <w:tc>
          <w:tcPr>
            <w:tcW w:w="575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Ambulatory</w:t>
            </w:r>
          </w:p>
        </w:tc>
        <w:tc>
          <w:tcPr>
            <w:tcW w:w="759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Beta-release</w:t>
            </w:r>
          </w:p>
        </w:tc>
        <w:tc>
          <w:tcPr>
            <w:tcW w:w="870" w:type="pct"/>
          </w:tcPr>
          <w:p w:rsidR="007D0125" w:rsidRDefault="007D0125" w:rsidP="009A0A3E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Lifestyle monitoring</w:t>
            </w:r>
          </w:p>
        </w:tc>
        <w:tc>
          <w:tcPr>
            <w:tcW w:w="576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 xml:space="preserve">Academic medical center </w:t>
            </w:r>
          </w:p>
        </w:tc>
        <w:tc>
          <w:tcPr>
            <w:tcW w:w="647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Broad Commercial sale</w:t>
            </w:r>
          </w:p>
        </w:tc>
        <w:tc>
          <w:tcPr>
            <w:tcW w:w="847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“Prescribed” by a licensed/authorized distributor</w:t>
            </w:r>
          </w:p>
        </w:tc>
      </w:tr>
      <w:tr w:rsidR="007D0125" w:rsidTr="007D0125">
        <w:trPr>
          <w:cnfStyle w:val="000000100000"/>
        </w:trPr>
        <w:tc>
          <w:tcPr>
            <w:cnfStyle w:val="001000000000"/>
            <w:tcW w:w="726" w:type="pct"/>
          </w:tcPr>
          <w:p w:rsidR="007D0125" w:rsidRPr="00287EA4" w:rsidRDefault="007D0125" w:rsidP="007F2F02">
            <w:pPr>
              <w:pStyle w:val="SteveStyle"/>
              <w:rPr>
                <w:b w:val="0"/>
                <w:szCs w:val="24"/>
              </w:rPr>
            </w:pPr>
            <w:r w:rsidRPr="00287EA4">
              <w:rPr>
                <w:b w:val="0"/>
                <w:szCs w:val="24"/>
              </w:rPr>
              <w:t>Health care provider-only</w:t>
            </w:r>
          </w:p>
        </w:tc>
        <w:tc>
          <w:tcPr>
            <w:tcW w:w="575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Hospital</w:t>
            </w:r>
          </w:p>
        </w:tc>
        <w:tc>
          <w:tcPr>
            <w:tcW w:w="759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General availability (production)</w:t>
            </w:r>
          </w:p>
        </w:tc>
        <w:tc>
          <w:tcPr>
            <w:tcW w:w="870" w:type="pct"/>
          </w:tcPr>
          <w:p w:rsidR="007D0125" w:rsidRDefault="007D0125" w:rsidP="009A0A3E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Self-diagnosis</w:t>
            </w:r>
          </w:p>
        </w:tc>
        <w:tc>
          <w:tcPr>
            <w:tcW w:w="576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Private company</w:t>
            </w:r>
          </w:p>
        </w:tc>
        <w:tc>
          <w:tcPr>
            <w:tcW w:w="647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Specific disease  population</w:t>
            </w:r>
          </w:p>
        </w:tc>
        <w:tc>
          <w:tcPr>
            <w:tcW w:w="847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Only purchase-able by healthcare providers</w:t>
            </w:r>
          </w:p>
        </w:tc>
      </w:tr>
      <w:tr w:rsidR="007D0125" w:rsidTr="007D0125">
        <w:tc>
          <w:tcPr>
            <w:cnfStyle w:val="001000000000"/>
            <w:tcW w:w="726" w:type="pct"/>
          </w:tcPr>
          <w:p w:rsidR="007D0125" w:rsidRDefault="007D0125" w:rsidP="007F2F02">
            <w:pPr>
              <w:pStyle w:val="SteveStyle"/>
              <w:rPr>
                <w:szCs w:val="24"/>
              </w:rPr>
            </w:pPr>
          </w:p>
        </w:tc>
        <w:tc>
          <w:tcPr>
            <w:tcW w:w="575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  <w:tc>
          <w:tcPr>
            <w:tcW w:w="759" w:type="pct"/>
          </w:tcPr>
          <w:p w:rsidR="007D0125" w:rsidRDefault="007D0125" w:rsidP="00287EA4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Maintenance/upgrade mode</w:t>
            </w:r>
          </w:p>
        </w:tc>
        <w:tc>
          <w:tcPr>
            <w:tcW w:w="870" w:type="pct"/>
          </w:tcPr>
          <w:p w:rsidR="007D0125" w:rsidRDefault="007D0125" w:rsidP="00FB79FE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Adherence to protocol (e.g., mediation reminder app)</w:t>
            </w:r>
          </w:p>
        </w:tc>
        <w:tc>
          <w:tcPr>
            <w:tcW w:w="576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  <w:tc>
          <w:tcPr>
            <w:tcW w:w="647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  <w:tc>
          <w:tcPr>
            <w:tcW w:w="847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</w:tr>
      <w:tr w:rsidR="007D0125" w:rsidTr="007D0125">
        <w:trPr>
          <w:cnfStyle w:val="000000100000"/>
        </w:trPr>
        <w:tc>
          <w:tcPr>
            <w:cnfStyle w:val="001000000000"/>
            <w:tcW w:w="726" w:type="pct"/>
          </w:tcPr>
          <w:p w:rsidR="007D0125" w:rsidRDefault="007D0125" w:rsidP="007F2F02">
            <w:pPr>
              <w:pStyle w:val="SteveStyle"/>
              <w:rPr>
                <w:szCs w:val="24"/>
              </w:rPr>
            </w:pPr>
          </w:p>
        </w:tc>
        <w:tc>
          <w:tcPr>
            <w:tcW w:w="575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</w:p>
        </w:tc>
        <w:tc>
          <w:tcPr>
            <w:tcW w:w="759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>Sunset/termination</w:t>
            </w:r>
          </w:p>
        </w:tc>
        <w:tc>
          <w:tcPr>
            <w:tcW w:w="870" w:type="pct"/>
          </w:tcPr>
          <w:p w:rsidR="007D0125" w:rsidRDefault="007D0125" w:rsidP="00FB79FE">
            <w:pPr>
              <w:pStyle w:val="SteveStyle"/>
              <w:cnfStyle w:val="000000100000"/>
              <w:rPr>
                <w:szCs w:val="24"/>
              </w:rPr>
            </w:pPr>
            <w:r>
              <w:rPr>
                <w:szCs w:val="24"/>
              </w:rPr>
              <w:t xml:space="preserve"> Diagnosis/Diagnostic</w:t>
            </w:r>
          </w:p>
        </w:tc>
        <w:tc>
          <w:tcPr>
            <w:tcW w:w="576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</w:p>
        </w:tc>
        <w:tc>
          <w:tcPr>
            <w:tcW w:w="647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</w:p>
        </w:tc>
        <w:tc>
          <w:tcPr>
            <w:tcW w:w="847" w:type="pct"/>
          </w:tcPr>
          <w:p w:rsidR="007D0125" w:rsidRDefault="007D0125" w:rsidP="007F2F02">
            <w:pPr>
              <w:pStyle w:val="SteveStyle"/>
              <w:cnfStyle w:val="000000100000"/>
              <w:rPr>
                <w:szCs w:val="24"/>
              </w:rPr>
            </w:pPr>
          </w:p>
        </w:tc>
      </w:tr>
      <w:tr w:rsidR="007D0125" w:rsidTr="007D0125">
        <w:tc>
          <w:tcPr>
            <w:cnfStyle w:val="001000000000"/>
            <w:tcW w:w="726" w:type="pct"/>
          </w:tcPr>
          <w:p w:rsidR="007D0125" w:rsidRDefault="007D0125" w:rsidP="007F2F02">
            <w:pPr>
              <w:pStyle w:val="SteveStyle"/>
              <w:rPr>
                <w:szCs w:val="24"/>
              </w:rPr>
            </w:pPr>
          </w:p>
        </w:tc>
        <w:tc>
          <w:tcPr>
            <w:tcW w:w="575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  <w:tc>
          <w:tcPr>
            <w:tcW w:w="759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  <w:tc>
          <w:tcPr>
            <w:tcW w:w="870" w:type="pct"/>
          </w:tcPr>
          <w:p w:rsidR="007D0125" w:rsidRDefault="007D0125" w:rsidP="002D507F">
            <w:pPr>
              <w:pStyle w:val="SteveStyle"/>
              <w:cnfStyle w:val="000000000000"/>
              <w:rPr>
                <w:szCs w:val="24"/>
              </w:rPr>
            </w:pPr>
            <w:r>
              <w:rPr>
                <w:szCs w:val="24"/>
              </w:rPr>
              <w:t>Implanted</w:t>
            </w:r>
          </w:p>
        </w:tc>
        <w:tc>
          <w:tcPr>
            <w:tcW w:w="576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  <w:tc>
          <w:tcPr>
            <w:tcW w:w="647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  <w:tc>
          <w:tcPr>
            <w:tcW w:w="847" w:type="pct"/>
          </w:tcPr>
          <w:p w:rsidR="007D0125" w:rsidRDefault="007D0125" w:rsidP="007F2F02">
            <w:pPr>
              <w:pStyle w:val="SteveStyle"/>
              <w:cnfStyle w:val="000000000000"/>
              <w:rPr>
                <w:szCs w:val="24"/>
              </w:rPr>
            </w:pPr>
          </w:p>
        </w:tc>
      </w:tr>
    </w:tbl>
    <w:p w:rsidR="00E66A96" w:rsidRDefault="00E66A96" w:rsidP="007F2F02">
      <w:pPr>
        <w:pStyle w:val="SteveStyle"/>
        <w:rPr>
          <w:szCs w:val="24"/>
        </w:rPr>
      </w:pPr>
    </w:p>
    <w:sectPr w:rsidR="00E66A96" w:rsidSect="00287EA4">
      <w:headerReference w:type="default" r:id="rId8"/>
      <w:footerReference w:type="default" r:id="rId9"/>
      <w:pgSz w:w="15840" w:h="12240" w:orient="landscape"/>
      <w:pgMar w:top="432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8F" w:rsidRDefault="0087738F" w:rsidP="00DF63A3">
      <w:pPr>
        <w:spacing w:after="0" w:line="240" w:lineRule="auto"/>
      </w:pPr>
      <w:r>
        <w:separator/>
      </w:r>
    </w:p>
  </w:endnote>
  <w:endnote w:type="continuationSeparator" w:id="0">
    <w:p w:rsidR="0087738F" w:rsidRDefault="0087738F" w:rsidP="00DF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16932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DF63A3" w:rsidRPr="00DF63A3" w:rsidRDefault="00DF63A3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3A3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5B0EFB"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</w:instrText>
            </w:r>
            <w:r w:rsidR="005B0EFB"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5C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5B0EFB"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F63A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5B0EFB"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NUMPAGES  </w:instrText>
            </w:r>
            <w:r w:rsidR="005B0EFB"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A5C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5B0EFB" w:rsidRPr="00DF63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63A3" w:rsidRPr="00DF63A3" w:rsidRDefault="00DF63A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8F" w:rsidRDefault="0087738F" w:rsidP="00DF63A3">
      <w:pPr>
        <w:spacing w:after="0" w:line="240" w:lineRule="auto"/>
      </w:pPr>
      <w:r>
        <w:separator/>
      </w:r>
    </w:p>
  </w:footnote>
  <w:footnote w:type="continuationSeparator" w:id="0">
    <w:p w:rsidR="0087738F" w:rsidRDefault="0087738F" w:rsidP="00DF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A3" w:rsidRPr="00DF63A3" w:rsidRDefault="00376E28" w:rsidP="00DF63A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FDASIA Taxonomy Subgroup Draft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A3D"/>
    <w:multiLevelType w:val="multilevel"/>
    <w:tmpl w:val="3D2E69F8"/>
    <w:styleLink w:val="RegText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520" w:hanging="360"/>
      </w:pPr>
      <w:rPr>
        <w:rFonts w:hint="default"/>
      </w:rPr>
    </w:lvl>
    <w:lvl w:ilvl="3">
      <w:start w:val="1"/>
      <w:numFmt w:val="upperLetter"/>
      <w:lvlRestart w:val="0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  <w:u w:val="single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u w:val="singl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125"/>
    <w:rsid w:val="00086328"/>
    <w:rsid w:val="00123F4E"/>
    <w:rsid w:val="00193556"/>
    <w:rsid w:val="001C118B"/>
    <w:rsid w:val="00287EA4"/>
    <w:rsid w:val="00376E28"/>
    <w:rsid w:val="004D6236"/>
    <w:rsid w:val="004E2F74"/>
    <w:rsid w:val="005B0EFB"/>
    <w:rsid w:val="005D3ACC"/>
    <w:rsid w:val="006E48F4"/>
    <w:rsid w:val="00797762"/>
    <w:rsid w:val="007D0125"/>
    <w:rsid w:val="007F2F02"/>
    <w:rsid w:val="008631A3"/>
    <w:rsid w:val="0087286E"/>
    <w:rsid w:val="0087738F"/>
    <w:rsid w:val="008A5CB5"/>
    <w:rsid w:val="009E27DE"/>
    <w:rsid w:val="00A06E99"/>
    <w:rsid w:val="00AA352F"/>
    <w:rsid w:val="00B872D3"/>
    <w:rsid w:val="00BD29F5"/>
    <w:rsid w:val="00DF63A3"/>
    <w:rsid w:val="00E57FE7"/>
    <w:rsid w:val="00E66A96"/>
    <w:rsid w:val="00EB0854"/>
    <w:rsid w:val="00EC367D"/>
    <w:rsid w:val="00F9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3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F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3A3"/>
  </w:style>
  <w:style w:type="paragraph" w:styleId="Footer">
    <w:name w:val="footer"/>
    <w:basedOn w:val="Normal"/>
    <w:link w:val="FooterChar"/>
    <w:uiPriority w:val="99"/>
    <w:unhideWhenUsed/>
    <w:rsid w:val="00DF6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A3"/>
  </w:style>
  <w:style w:type="paragraph" w:customStyle="1" w:styleId="SteveStyle">
    <w:name w:val="SteveStyle"/>
    <w:basedOn w:val="Normal"/>
    <w:qFormat/>
    <w:rsid w:val="007F2F02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RegText">
    <w:name w:val="RegText"/>
    <w:uiPriority w:val="99"/>
    <w:rsid w:val="00A06E99"/>
    <w:pPr>
      <w:numPr>
        <w:numId w:val="1"/>
      </w:numPr>
    </w:pPr>
  </w:style>
  <w:style w:type="table" w:styleId="TableGrid">
    <w:name w:val="Table Grid"/>
    <w:basedOn w:val="TableNormal"/>
    <w:uiPriority w:val="59"/>
    <w:rsid w:val="0028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287E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D01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6890-E75F-4F4C-B17C-58555624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Steven.Posnack</dc:creator>
  <cp:keywords/>
  <dc:description/>
  <cp:lastModifiedBy>Caitlin Collins</cp:lastModifiedBy>
  <cp:revision>2</cp:revision>
  <dcterms:created xsi:type="dcterms:W3CDTF">2013-05-24T20:08:00Z</dcterms:created>
  <dcterms:modified xsi:type="dcterms:W3CDTF">2013-05-24T20:08:00Z</dcterms:modified>
</cp:coreProperties>
</file>