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678B" w:rsidRPr="0064678B" w:rsidRDefault="0064678B" w:rsidP="0064678B">
      <w:pPr>
        <w:widowControl w:val="0"/>
        <w:autoSpaceDE w:val="0"/>
        <w:autoSpaceDN w:val="0"/>
        <w:adjustRightInd w:val="0"/>
        <w:spacing w:after="240"/>
        <w:rPr>
          <w:rFonts w:ascii="Times" w:hAnsi="Times" w:cs="Times"/>
          <w:b/>
          <w:sz w:val="20"/>
          <w:szCs w:val="20"/>
        </w:rPr>
      </w:pPr>
      <w:r w:rsidRPr="0064678B">
        <w:rPr>
          <w:rFonts w:ascii="Courier" w:hAnsi="Courier" w:cs="Courier"/>
          <w:b/>
          <w:sz w:val="22"/>
          <w:szCs w:val="22"/>
        </w:rPr>
        <w:t>Sec. 170.314 2014 Edition electronic health record certification criteria.</w:t>
      </w:r>
    </w:p>
    <w:p w:rsidR="00A93ACC" w:rsidRDefault="0064678B" w:rsidP="00A93ACC">
      <w:pPr>
        <w:pStyle w:val="ListParagraph"/>
        <w:widowControl w:val="0"/>
        <w:numPr>
          <w:ilvl w:val="0"/>
          <w:numId w:val="4"/>
        </w:numPr>
        <w:autoSpaceDE w:val="0"/>
        <w:autoSpaceDN w:val="0"/>
        <w:adjustRightInd w:val="0"/>
        <w:spacing w:after="240"/>
        <w:rPr>
          <w:rFonts w:ascii="Times" w:hAnsi="Times" w:cs="Times"/>
          <w:i/>
          <w:iCs/>
        </w:rPr>
      </w:pPr>
      <w:r>
        <w:rPr>
          <w:rFonts w:ascii="Times" w:hAnsi="Times" w:cs="Times"/>
          <w:i/>
          <w:iCs/>
        </w:rPr>
        <w:t>Patient engagement.</w:t>
      </w:r>
    </w:p>
    <w:p w:rsidR="0064678B" w:rsidRPr="00A93ACC" w:rsidRDefault="0064678B" w:rsidP="0064678B">
      <w:pPr>
        <w:pStyle w:val="ListParagraph"/>
        <w:widowControl w:val="0"/>
        <w:autoSpaceDE w:val="0"/>
        <w:autoSpaceDN w:val="0"/>
        <w:adjustRightInd w:val="0"/>
        <w:spacing w:after="240"/>
        <w:ind w:left="1080"/>
        <w:rPr>
          <w:rFonts w:ascii="Times" w:hAnsi="Times" w:cs="Times"/>
          <w:i/>
          <w:iCs/>
        </w:rPr>
      </w:pPr>
    </w:p>
    <w:p w:rsidR="00A93ACC" w:rsidRPr="00A93ACC" w:rsidRDefault="00A93ACC" w:rsidP="00A93ACC">
      <w:pPr>
        <w:pStyle w:val="ListParagraph"/>
        <w:widowControl w:val="0"/>
        <w:numPr>
          <w:ilvl w:val="1"/>
          <w:numId w:val="5"/>
        </w:numPr>
        <w:autoSpaceDE w:val="0"/>
        <w:autoSpaceDN w:val="0"/>
        <w:adjustRightInd w:val="0"/>
        <w:spacing w:after="240"/>
        <w:rPr>
          <w:rFonts w:ascii="Times" w:hAnsi="Times" w:cs="Times"/>
          <w:i/>
          <w:iCs/>
        </w:rPr>
      </w:pPr>
      <w:r w:rsidRPr="00A93ACC">
        <w:rPr>
          <w:rFonts w:ascii="Times" w:hAnsi="Times" w:cs="Times"/>
          <w:i/>
          <w:iCs/>
        </w:rPr>
        <w:t xml:space="preserve">View, download, and transmit to 3rd party. </w:t>
      </w:r>
    </w:p>
    <w:p w:rsidR="00A93ACC" w:rsidRDefault="00A93ACC" w:rsidP="00A93ACC">
      <w:pPr>
        <w:pStyle w:val="ListParagraph"/>
        <w:widowControl w:val="0"/>
        <w:numPr>
          <w:ilvl w:val="2"/>
          <w:numId w:val="6"/>
        </w:numPr>
        <w:autoSpaceDE w:val="0"/>
        <w:autoSpaceDN w:val="0"/>
        <w:adjustRightInd w:val="0"/>
        <w:spacing w:after="240"/>
        <w:rPr>
          <w:rFonts w:ascii="Times" w:hAnsi="Times" w:cs="Times"/>
        </w:rPr>
      </w:pPr>
      <w:r w:rsidRPr="00A93ACC">
        <w:rPr>
          <w:rFonts w:ascii="Times" w:hAnsi="Times" w:cs="Times"/>
        </w:rPr>
        <w:t>EHR technology must provide patients (and their authorized representatives) with an online means to view, download, and transmit to a 3rd party the data specified below. Access to these capabilities must be through a secure channel that ensures all content is encrypted and integrity-protected in accordance with the standard for encryption and hashing algorithms specified at § 170.210(f).</w:t>
      </w:r>
    </w:p>
    <w:p w:rsidR="00A93ACC" w:rsidRDefault="00A93ACC" w:rsidP="00A93ACC">
      <w:pPr>
        <w:pStyle w:val="ListParagraph"/>
        <w:widowControl w:val="0"/>
        <w:numPr>
          <w:ilvl w:val="3"/>
          <w:numId w:val="6"/>
        </w:numPr>
        <w:autoSpaceDE w:val="0"/>
        <w:autoSpaceDN w:val="0"/>
        <w:adjustRightInd w:val="0"/>
        <w:spacing w:after="240"/>
        <w:rPr>
          <w:rFonts w:ascii="Times" w:hAnsi="Times" w:cs="Times"/>
        </w:rPr>
      </w:pPr>
      <w:r w:rsidRPr="00A93ACC">
        <w:rPr>
          <w:rFonts w:ascii="Times" w:hAnsi="Times" w:cs="Times"/>
          <w:i/>
          <w:iCs/>
        </w:rPr>
        <w:t xml:space="preserve">View. </w:t>
      </w:r>
      <w:r w:rsidRPr="00A93ACC">
        <w:rPr>
          <w:rFonts w:ascii="Times" w:hAnsi="Times" w:cs="Times"/>
        </w:rPr>
        <w:t>Electronically view in accordance with the standard adopted at § 170.204(a), at a minimum, the following data:</w:t>
      </w:r>
    </w:p>
    <w:p w:rsidR="00A93ACC" w:rsidRDefault="00A93ACC" w:rsidP="00A93ACC">
      <w:pPr>
        <w:pStyle w:val="ListParagraph"/>
        <w:widowControl w:val="0"/>
        <w:numPr>
          <w:ilvl w:val="4"/>
          <w:numId w:val="6"/>
        </w:numPr>
        <w:autoSpaceDE w:val="0"/>
        <w:autoSpaceDN w:val="0"/>
        <w:adjustRightInd w:val="0"/>
        <w:spacing w:after="240"/>
        <w:rPr>
          <w:rFonts w:ascii="Times" w:hAnsi="Times" w:cs="Times"/>
        </w:rPr>
      </w:pPr>
      <w:r w:rsidRPr="00A93ACC">
        <w:rPr>
          <w:rFonts w:ascii="Times" w:hAnsi="Times" w:cs="Times"/>
        </w:rPr>
        <w:t>The Common MU Data Set (which should be in their English (i.e., non- coded) representation if they associate with a vocabulary/code set).</w:t>
      </w:r>
    </w:p>
    <w:p w:rsidR="00A93ACC" w:rsidRDefault="00A93ACC" w:rsidP="00A93ACC">
      <w:pPr>
        <w:pStyle w:val="ListParagraph"/>
        <w:widowControl w:val="0"/>
        <w:numPr>
          <w:ilvl w:val="4"/>
          <w:numId w:val="6"/>
        </w:numPr>
        <w:autoSpaceDE w:val="0"/>
        <w:autoSpaceDN w:val="0"/>
        <w:adjustRightInd w:val="0"/>
        <w:spacing w:after="240"/>
        <w:rPr>
          <w:rFonts w:ascii="Times" w:hAnsi="Times" w:cs="Times"/>
        </w:rPr>
      </w:pPr>
      <w:r w:rsidRPr="00A93ACC">
        <w:rPr>
          <w:rFonts w:ascii="Times" w:hAnsi="Times" w:cs="Times"/>
          <w:i/>
          <w:iCs/>
        </w:rPr>
        <w:t xml:space="preserve">Ambulatory setting only. </w:t>
      </w:r>
      <w:r w:rsidRPr="00A93ACC">
        <w:rPr>
          <w:rFonts w:ascii="Times" w:hAnsi="Times" w:cs="Times"/>
        </w:rPr>
        <w:t>Provider’s name and office contact information.</w:t>
      </w:r>
    </w:p>
    <w:p w:rsidR="00A93ACC" w:rsidRDefault="00A93ACC" w:rsidP="00A93ACC">
      <w:pPr>
        <w:pStyle w:val="ListParagraph"/>
        <w:widowControl w:val="0"/>
        <w:numPr>
          <w:ilvl w:val="4"/>
          <w:numId w:val="6"/>
        </w:numPr>
        <w:autoSpaceDE w:val="0"/>
        <w:autoSpaceDN w:val="0"/>
        <w:adjustRightInd w:val="0"/>
        <w:spacing w:after="240"/>
        <w:rPr>
          <w:rFonts w:ascii="Times" w:hAnsi="Times" w:cs="Times"/>
        </w:rPr>
      </w:pPr>
      <w:r w:rsidRPr="00A93ACC">
        <w:rPr>
          <w:rFonts w:ascii="Times" w:hAnsi="Times" w:cs="Times"/>
          <w:i/>
          <w:iCs/>
        </w:rPr>
        <w:t xml:space="preserve">Inpatient setting only. </w:t>
      </w:r>
      <w:r w:rsidRPr="00A93ACC">
        <w:rPr>
          <w:rFonts w:ascii="Times" w:hAnsi="Times" w:cs="Times"/>
        </w:rPr>
        <w:t>Admission and discharge dates and locations; discharge instructions; and reason(s) for hospitalization.</w:t>
      </w:r>
    </w:p>
    <w:p w:rsidR="0064678B" w:rsidRPr="0064678B" w:rsidRDefault="00A93ACC" w:rsidP="00A93ACC">
      <w:pPr>
        <w:pStyle w:val="ListParagraph"/>
        <w:widowControl w:val="0"/>
        <w:numPr>
          <w:ilvl w:val="3"/>
          <w:numId w:val="6"/>
        </w:numPr>
        <w:autoSpaceDE w:val="0"/>
        <w:autoSpaceDN w:val="0"/>
        <w:adjustRightInd w:val="0"/>
        <w:spacing w:after="240"/>
        <w:rPr>
          <w:rFonts w:ascii="Times" w:hAnsi="Times" w:cs="Times"/>
        </w:rPr>
      </w:pPr>
      <w:r w:rsidRPr="00A93ACC">
        <w:rPr>
          <w:rFonts w:ascii="Times" w:hAnsi="Times" w:cs="Times"/>
          <w:i/>
          <w:iCs/>
        </w:rPr>
        <w:t>Download.</w:t>
      </w:r>
    </w:p>
    <w:p w:rsidR="00707692" w:rsidRDefault="00A93ACC" w:rsidP="00707692">
      <w:pPr>
        <w:pStyle w:val="ListParagraph"/>
        <w:widowControl w:val="0"/>
        <w:numPr>
          <w:ilvl w:val="4"/>
          <w:numId w:val="6"/>
        </w:numPr>
        <w:autoSpaceDE w:val="0"/>
        <w:autoSpaceDN w:val="0"/>
        <w:adjustRightInd w:val="0"/>
        <w:spacing w:after="240"/>
        <w:rPr>
          <w:rFonts w:ascii="Times" w:hAnsi="Times" w:cs="Times"/>
        </w:rPr>
      </w:pPr>
      <w:r w:rsidRPr="00A93ACC">
        <w:rPr>
          <w:rFonts w:ascii="Times" w:hAnsi="Times" w:cs="Times"/>
        </w:rPr>
        <w:t>Electronically download an ambulatory summary or inpatient summary (as applicable to the EHR technology setting for which certification is requested) in human readable format or formatted according to the standard adopted at § 170.205(a)(3) that includes, at a minimum, the following data (which, for the human readable version, should be in their English representation if they associate with a vocabulary/code set):</w:t>
      </w:r>
    </w:p>
    <w:p w:rsidR="00707692" w:rsidRDefault="00A93ACC" w:rsidP="00707692">
      <w:pPr>
        <w:pStyle w:val="ListParagraph"/>
        <w:widowControl w:val="0"/>
        <w:numPr>
          <w:ilvl w:val="5"/>
          <w:numId w:val="6"/>
        </w:numPr>
        <w:autoSpaceDE w:val="0"/>
        <w:autoSpaceDN w:val="0"/>
        <w:adjustRightInd w:val="0"/>
        <w:spacing w:after="240"/>
        <w:rPr>
          <w:rFonts w:ascii="Times" w:hAnsi="Times" w:cs="Times"/>
        </w:rPr>
      </w:pPr>
      <w:r w:rsidRPr="00707692">
        <w:rPr>
          <w:rFonts w:ascii="Times" w:hAnsi="Times" w:cs="Times"/>
          <w:i/>
          <w:iCs/>
        </w:rPr>
        <w:t xml:space="preserve">Ambulatory setting only. </w:t>
      </w:r>
      <w:r w:rsidRPr="00707692">
        <w:rPr>
          <w:rFonts w:ascii="Times" w:hAnsi="Times" w:cs="Times"/>
        </w:rPr>
        <w:t>All of the data specified in paragraph (e)(1)(</w:t>
      </w:r>
      <w:proofErr w:type="spellStart"/>
      <w:r w:rsidRPr="00707692">
        <w:rPr>
          <w:rFonts w:ascii="Times" w:hAnsi="Times" w:cs="Times"/>
        </w:rPr>
        <w:t>i</w:t>
      </w:r>
      <w:proofErr w:type="spellEnd"/>
      <w:r w:rsidRPr="00707692">
        <w:rPr>
          <w:rFonts w:ascii="Times" w:hAnsi="Times" w:cs="Times"/>
        </w:rPr>
        <w:t>)(A)(</w:t>
      </w:r>
      <w:r w:rsidRPr="00707692">
        <w:rPr>
          <w:rFonts w:ascii="Times" w:hAnsi="Times" w:cs="Times"/>
          <w:i/>
          <w:iCs/>
        </w:rPr>
        <w:t>1</w:t>
      </w:r>
      <w:r w:rsidRPr="00707692">
        <w:rPr>
          <w:rFonts w:ascii="Times" w:hAnsi="Times" w:cs="Times"/>
        </w:rPr>
        <w:t>) and (</w:t>
      </w:r>
      <w:r w:rsidRPr="00707692">
        <w:rPr>
          <w:rFonts w:ascii="Times" w:hAnsi="Times" w:cs="Times"/>
          <w:i/>
          <w:iCs/>
        </w:rPr>
        <w:t>2</w:t>
      </w:r>
      <w:r w:rsidRPr="00707692">
        <w:rPr>
          <w:rFonts w:ascii="Times" w:hAnsi="Times" w:cs="Times"/>
        </w:rPr>
        <w:t>) of this section.</w:t>
      </w:r>
    </w:p>
    <w:p w:rsidR="00707692" w:rsidRDefault="00A93ACC" w:rsidP="00707692">
      <w:pPr>
        <w:pStyle w:val="ListParagraph"/>
        <w:widowControl w:val="0"/>
        <w:numPr>
          <w:ilvl w:val="5"/>
          <w:numId w:val="6"/>
        </w:numPr>
        <w:autoSpaceDE w:val="0"/>
        <w:autoSpaceDN w:val="0"/>
        <w:adjustRightInd w:val="0"/>
        <w:spacing w:after="240"/>
        <w:rPr>
          <w:rFonts w:ascii="Times" w:hAnsi="Times" w:cs="Times"/>
        </w:rPr>
      </w:pPr>
      <w:r w:rsidRPr="00707692">
        <w:rPr>
          <w:rFonts w:ascii="Times" w:hAnsi="Times" w:cs="Times"/>
          <w:i/>
          <w:iCs/>
        </w:rPr>
        <w:t xml:space="preserve">Inpatient setting only. </w:t>
      </w:r>
      <w:r w:rsidRPr="00707692">
        <w:rPr>
          <w:rFonts w:ascii="Times" w:hAnsi="Times" w:cs="Times"/>
        </w:rPr>
        <w:t>All of the data specified in paragraphs (e)(1)(</w:t>
      </w:r>
      <w:proofErr w:type="spellStart"/>
      <w:r w:rsidRPr="00707692">
        <w:rPr>
          <w:rFonts w:ascii="Times" w:hAnsi="Times" w:cs="Times"/>
        </w:rPr>
        <w:t>i</w:t>
      </w:r>
      <w:proofErr w:type="spellEnd"/>
      <w:r w:rsidRPr="00707692">
        <w:rPr>
          <w:rFonts w:ascii="Times" w:hAnsi="Times" w:cs="Times"/>
        </w:rPr>
        <w:t>)(A)(</w:t>
      </w:r>
      <w:r w:rsidRPr="00707692">
        <w:rPr>
          <w:rFonts w:ascii="Times" w:hAnsi="Times" w:cs="Times"/>
          <w:i/>
          <w:iCs/>
        </w:rPr>
        <w:t>1</w:t>
      </w:r>
      <w:r w:rsidRPr="00707692">
        <w:rPr>
          <w:rFonts w:ascii="Times" w:hAnsi="Times" w:cs="Times"/>
        </w:rPr>
        <w:t>) and (</w:t>
      </w:r>
      <w:r w:rsidRPr="00707692">
        <w:rPr>
          <w:rFonts w:ascii="Times" w:hAnsi="Times" w:cs="Times"/>
          <w:i/>
          <w:iCs/>
        </w:rPr>
        <w:t>3</w:t>
      </w:r>
      <w:r w:rsidRPr="00707692">
        <w:rPr>
          <w:rFonts w:ascii="Times" w:hAnsi="Times" w:cs="Times"/>
        </w:rPr>
        <w:t>) of this section.</w:t>
      </w:r>
    </w:p>
    <w:p w:rsidR="0064678B" w:rsidRPr="00707692" w:rsidRDefault="00A93ACC" w:rsidP="00707692">
      <w:pPr>
        <w:pStyle w:val="ListParagraph"/>
        <w:widowControl w:val="0"/>
        <w:numPr>
          <w:ilvl w:val="4"/>
          <w:numId w:val="6"/>
        </w:numPr>
        <w:autoSpaceDE w:val="0"/>
        <w:autoSpaceDN w:val="0"/>
        <w:adjustRightInd w:val="0"/>
        <w:spacing w:after="240"/>
        <w:rPr>
          <w:rFonts w:ascii="Times" w:hAnsi="Times" w:cs="Times"/>
        </w:rPr>
      </w:pPr>
      <w:r w:rsidRPr="00707692">
        <w:rPr>
          <w:rFonts w:ascii="Times" w:hAnsi="Times" w:cs="Times"/>
          <w:i/>
          <w:iCs/>
        </w:rPr>
        <w:t xml:space="preserve">Inpatient setting only. </w:t>
      </w:r>
      <w:r w:rsidRPr="00707692">
        <w:rPr>
          <w:rFonts w:ascii="Times" w:hAnsi="Times" w:cs="Times"/>
        </w:rPr>
        <w:t>Electronically download transition of care/referral summaries that were created as a result of a transition of care (pursuant to the capability expressed in the certification criterion adopted at paragraph (b)(2) of this section).</w:t>
      </w:r>
    </w:p>
    <w:p w:rsidR="0064678B" w:rsidRPr="0064678B" w:rsidRDefault="00A93ACC" w:rsidP="0064678B">
      <w:pPr>
        <w:pStyle w:val="ListParagraph"/>
        <w:widowControl w:val="0"/>
        <w:numPr>
          <w:ilvl w:val="3"/>
          <w:numId w:val="6"/>
        </w:numPr>
        <w:autoSpaceDE w:val="0"/>
        <w:autoSpaceDN w:val="0"/>
        <w:adjustRightInd w:val="0"/>
        <w:spacing w:after="240"/>
        <w:rPr>
          <w:rFonts w:ascii="Times" w:hAnsi="Times" w:cs="Times"/>
        </w:rPr>
      </w:pPr>
      <w:r w:rsidRPr="0064678B">
        <w:rPr>
          <w:rFonts w:ascii="Times" w:hAnsi="Times" w:cs="Times"/>
          <w:i/>
          <w:iCs/>
        </w:rPr>
        <w:lastRenderedPageBreak/>
        <w:t xml:space="preserve">Transmit to third party. </w:t>
      </w:r>
    </w:p>
    <w:p w:rsidR="0064678B" w:rsidRDefault="00A93ACC" w:rsidP="00A93ACC">
      <w:pPr>
        <w:pStyle w:val="ListParagraph"/>
        <w:widowControl w:val="0"/>
        <w:numPr>
          <w:ilvl w:val="4"/>
          <w:numId w:val="6"/>
        </w:numPr>
        <w:autoSpaceDE w:val="0"/>
        <w:autoSpaceDN w:val="0"/>
        <w:adjustRightInd w:val="0"/>
        <w:spacing w:after="240"/>
        <w:rPr>
          <w:rFonts w:ascii="Times" w:hAnsi="Times" w:cs="Times"/>
        </w:rPr>
      </w:pPr>
      <w:r w:rsidRPr="0064678B">
        <w:rPr>
          <w:rFonts w:ascii="Times" w:hAnsi="Times" w:cs="Times"/>
        </w:rPr>
        <w:t>Electronically transmit the ambulatory summary or inpatient summary (as applicable to the EHR technology setting for which certification is requested) created in paragraph (e)(1)(</w:t>
      </w:r>
      <w:proofErr w:type="spellStart"/>
      <w:r w:rsidRPr="0064678B">
        <w:rPr>
          <w:rFonts w:ascii="Times" w:hAnsi="Times" w:cs="Times"/>
        </w:rPr>
        <w:t>i</w:t>
      </w:r>
      <w:proofErr w:type="spellEnd"/>
      <w:r w:rsidRPr="0064678B">
        <w:rPr>
          <w:rFonts w:ascii="Times" w:hAnsi="Times" w:cs="Times"/>
        </w:rPr>
        <w:t>)(B)(</w:t>
      </w:r>
      <w:r w:rsidRPr="0064678B">
        <w:rPr>
          <w:rFonts w:ascii="Times" w:hAnsi="Times" w:cs="Times"/>
          <w:i/>
          <w:iCs/>
        </w:rPr>
        <w:t>1</w:t>
      </w:r>
      <w:r w:rsidRPr="0064678B">
        <w:rPr>
          <w:rFonts w:ascii="Times" w:hAnsi="Times" w:cs="Times"/>
        </w:rPr>
        <w:t>) of this section in accordance with the standard specified in § 170.202(a).</w:t>
      </w:r>
    </w:p>
    <w:p w:rsidR="0064678B" w:rsidRDefault="00FA3417" w:rsidP="00A93ACC">
      <w:pPr>
        <w:pStyle w:val="ListParagraph"/>
        <w:widowControl w:val="0"/>
        <w:numPr>
          <w:ilvl w:val="4"/>
          <w:numId w:val="6"/>
        </w:numPr>
        <w:autoSpaceDE w:val="0"/>
        <w:autoSpaceDN w:val="0"/>
        <w:adjustRightInd w:val="0"/>
        <w:spacing w:after="240"/>
        <w:rPr>
          <w:rFonts w:ascii="Times" w:hAnsi="Times" w:cs="Times"/>
        </w:rPr>
      </w:pPr>
      <w:bookmarkStart w:id="0" w:name="_GoBack"/>
      <w:bookmarkEnd w:id="0"/>
      <w:r>
        <w:rPr>
          <w:rFonts w:ascii="Times" w:hAnsi="Times" w:cs="Times"/>
          <w:noProof/>
        </w:rPr>
        <w:pict>
          <v:shapetype id="_x0000_t202" coordsize="21600,21600" o:spt="202" path="m,l,21600r21600,l21600,xe">
            <v:stroke joinstyle="miter"/>
            <v:path gradientshapeok="t" o:connecttype="rect"/>
          </v:shapetype>
          <v:shape id="Text Box 3" o:spid="_x0000_s1026" type="#_x0000_t202" style="position:absolute;left:0;text-align:left;margin-left:0;margin-top:96.85pt;width:459pt;height:180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" filled="f" stroked="f">
            <v:textbox>
              <w:txbxContent>
                <w:p w:rsidR="00707692" w:rsidRDefault="00707692" w:rsidP="0064678B">
                  <w:pPr>
                    <w:widowControl w:val="0"/>
                    <w:shd w:val="clear" w:color="auto" w:fill="E6E6E6"/>
                    <w:autoSpaceDE w:val="0"/>
                    <w:autoSpaceDN w:val="0"/>
                    <w:adjustRightInd w:val="0"/>
                    <w:spacing w:after="240"/>
                    <w:rPr>
                      <w:rFonts w:ascii="Times" w:hAnsi="Times" w:cs="Times"/>
                    </w:rPr>
                  </w:pPr>
                  <w:r>
                    <w:rPr>
                      <w:rFonts w:ascii="Helvetica" w:hAnsi="Helvetica" w:cs="Helvetica"/>
                      <w:b/>
                      <w:bCs/>
                      <w:sz w:val="22"/>
                      <w:szCs w:val="22"/>
                    </w:rPr>
                    <w:t>§ 170.202 Transport standards.</w:t>
                  </w:r>
                </w:p>
                <w:p w:rsidR="00707692" w:rsidRDefault="00707692" w:rsidP="0064678B">
                  <w:pPr>
                    <w:widowControl w:val="0"/>
                    <w:shd w:val="clear" w:color="auto" w:fill="E6E6E6"/>
                    <w:autoSpaceDE w:val="0"/>
                    <w:autoSpaceDN w:val="0"/>
                    <w:adjustRightInd w:val="0"/>
                    <w:spacing w:after="240"/>
                    <w:rPr>
                      <w:rFonts w:ascii="Times" w:hAnsi="Times" w:cs="Times"/>
                    </w:rPr>
                  </w:pPr>
                  <w:r>
                    <w:rPr>
                      <w:rFonts w:ascii="Times" w:hAnsi="Times" w:cs="Times"/>
                    </w:rPr>
                    <w:t>The Secretary adopts the following transport standards:</w:t>
                  </w:r>
                </w:p>
                <w:p w:rsidR="00707692" w:rsidRDefault="00707692" w:rsidP="0064678B">
                  <w:pPr>
                    <w:widowControl w:val="0"/>
                    <w:shd w:val="clear" w:color="auto" w:fill="E6E6E6"/>
                    <w:autoSpaceDE w:val="0"/>
                    <w:autoSpaceDN w:val="0"/>
                    <w:adjustRightInd w:val="0"/>
                    <w:spacing w:after="240"/>
                    <w:rPr>
                      <w:rFonts w:ascii="Times" w:hAnsi="Times" w:cs="Times"/>
                    </w:rPr>
                  </w:pPr>
                  <w:r>
                    <w:rPr>
                      <w:rFonts w:ascii="Times" w:hAnsi="Times" w:cs="Times"/>
                    </w:rPr>
                    <w:t xml:space="preserve">(a) </w:t>
                  </w:r>
                  <w:r>
                    <w:rPr>
                      <w:rFonts w:ascii="Times" w:hAnsi="Times" w:cs="Times"/>
                      <w:i/>
                      <w:iCs/>
                    </w:rPr>
                    <w:t xml:space="preserve">Standard. </w:t>
                  </w:r>
                  <w:r>
                    <w:rPr>
                      <w:rFonts w:ascii="Times" w:hAnsi="Times" w:cs="Times"/>
                    </w:rPr>
                    <w:t>ONC Applicability Statement for Secure Health Transport (incorporated by reference in § 170.299).</w:t>
                  </w:r>
                </w:p>
                <w:p w:rsidR="00707692" w:rsidRDefault="00707692" w:rsidP="0064678B">
                  <w:pPr>
                    <w:widowControl w:val="0"/>
                    <w:shd w:val="clear" w:color="auto" w:fill="E6E6E6"/>
                    <w:autoSpaceDE w:val="0"/>
                    <w:autoSpaceDN w:val="0"/>
                    <w:adjustRightInd w:val="0"/>
                    <w:spacing w:after="240"/>
                    <w:rPr>
                      <w:rFonts w:ascii="Times" w:hAnsi="Times" w:cs="Times"/>
                    </w:rPr>
                  </w:pPr>
                  <w:r>
                    <w:rPr>
                      <w:rFonts w:ascii="Times" w:hAnsi="Times" w:cs="Times"/>
                    </w:rPr>
                    <w:t xml:space="preserve">(b) </w:t>
                  </w:r>
                  <w:r>
                    <w:rPr>
                      <w:rFonts w:ascii="Times" w:hAnsi="Times" w:cs="Times"/>
                      <w:i/>
                      <w:iCs/>
                    </w:rPr>
                    <w:t xml:space="preserve">Standard. </w:t>
                  </w:r>
                  <w:r>
                    <w:rPr>
                      <w:rFonts w:ascii="Times" w:hAnsi="Times" w:cs="Times"/>
                    </w:rPr>
                    <w:t>ONC XDR and XDM for Direct Messaging Specification (incorporated by reference in § 170.299).</w:t>
                  </w:r>
                </w:p>
                <w:p w:rsidR="00707692" w:rsidRDefault="00707692" w:rsidP="0064678B">
                  <w:pPr>
                    <w:widowControl w:val="0"/>
                    <w:shd w:val="clear" w:color="auto" w:fill="E6E6E6"/>
                    <w:autoSpaceDE w:val="0"/>
                    <w:autoSpaceDN w:val="0"/>
                    <w:adjustRightInd w:val="0"/>
                    <w:spacing w:after="240"/>
                    <w:rPr>
                      <w:rFonts w:ascii="Times" w:hAnsi="Times" w:cs="Times"/>
                    </w:rPr>
                  </w:pPr>
                  <w:r>
                    <w:rPr>
                      <w:rFonts w:ascii="Times" w:hAnsi="Times" w:cs="Times"/>
                    </w:rPr>
                    <w:t xml:space="preserve">(c) </w:t>
                  </w:r>
                  <w:r>
                    <w:rPr>
                      <w:rFonts w:ascii="Times" w:hAnsi="Times" w:cs="Times"/>
                      <w:i/>
                      <w:iCs/>
                    </w:rPr>
                    <w:t xml:space="preserve">Standard. </w:t>
                  </w:r>
                  <w:r>
                    <w:rPr>
                      <w:rFonts w:ascii="Times" w:hAnsi="Times" w:cs="Times"/>
                    </w:rPr>
                    <w:t>ONC Transport and Security Specification (incorporated by reference in § 170.299).</w:t>
                  </w:r>
                </w:p>
                <w:p w:rsidR="00707692" w:rsidRDefault="00707692" w:rsidP="0064678B">
                  <w:pPr>
                    <w:shd w:val="clear" w:color="auto" w:fill="E6E6E6"/>
                  </w:pPr>
                </w:p>
              </w:txbxContent>
            </v:textbox>
            <w10:wrap type="square"/>
          </v:shape>
        </w:pict>
      </w:r>
      <w:r w:rsidR="00A93ACC" w:rsidRPr="0064678B">
        <w:rPr>
          <w:rFonts w:ascii="Times" w:hAnsi="Times" w:cs="Times"/>
          <w:i/>
          <w:iCs/>
        </w:rPr>
        <w:t xml:space="preserve">Inpatient setting only. </w:t>
      </w:r>
      <w:r w:rsidR="00A93ACC" w:rsidRPr="0064678B">
        <w:rPr>
          <w:rFonts w:ascii="Times" w:hAnsi="Times" w:cs="Times"/>
        </w:rPr>
        <w:t>Electronically transmit transition of care/referral summaries (as a result of a transition of care/referral) selected by the patient (or their authorized representative) in accordance with the standard specified in § 170.202(a).</w:t>
      </w:r>
    </w:p>
    <w:p w:rsidR="0064678B" w:rsidRPr="0064678B" w:rsidRDefault="0064678B" w:rsidP="0064678B">
      <w:pPr>
        <w:widowControl w:val="0"/>
        <w:autoSpaceDE w:val="0"/>
        <w:autoSpaceDN w:val="0"/>
        <w:adjustRightInd w:val="0"/>
        <w:spacing w:after="240"/>
        <w:rPr>
          <w:rFonts w:ascii="Times" w:hAnsi="Times" w:cs="Times"/>
        </w:rPr>
      </w:pPr>
    </w:p>
    <w:p w:rsidR="0064678B" w:rsidRPr="0064678B" w:rsidRDefault="00A93ACC" w:rsidP="0064678B">
      <w:pPr>
        <w:pStyle w:val="ListParagraph"/>
        <w:widowControl w:val="0"/>
        <w:numPr>
          <w:ilvl w:val="2"/>
          <w:numId w:val="6"/>
        </w:numPr>
        <w:autoSpaceDE w:val="0"/>
        <w:autoSpaceDN w:val="0"/>
        <w:adjustRightInd w:val="0"/>
        <w:spacing w:after="240"/>
        <w:rPr>
          <w:rFonts w:ascii="Times" w:hAnsi="Times" w:cs="Times"/>
        </w:rPr>
      </w:pPr>
      <w:r w:rsidRPr="0064678B">
        <w:rPr>
          <w:rFonts w:ascii="Times" w:hAnsi="Times" w:cs="Times"/>
          <w:i/>
          <w:iCs/>
        </w:rPr>
        <w:t xml:space="preserve">Activity history log. </w:t>
      </w:r>
    </w:p>
    <w:p w:rsidR="0064678B" w:rsidRDefault="00A93ACC" w:rsidP="00A93ACC">
      <w:pPr>
        <w:pStyle w:val="ListParagraph"/>
        <w:widowControl w:val="0"/>
        <w:numPr>
          <w:ilvl w:val="3"/>
          <w:numId w:val="6"/>
        </w:numPr>
        <w:autoSpaceDE w:val="0"/>
        <w:autoSpaceDN w:val="0"/>
        <w:adjustRightInd w:val="0"/>
        <w:spacing w:after="240"/>
        <w:rPr>
          <w:rFonts w:ascii="Times" w:hAnsi="Times" w:cs="Times"/>
        </w:rPr>
      </w:pPr>
      <w:r w:rsidRPr="0064678B">
        <w:rPr>
          <w:rFonts w:ascii="Times" w:hAnsi="Times" w:cs="Times"/>
        </w:rPr>
        <w:t>When electronic health information is viewed, downlo</w:t>
      </w:r>
      <w:r w:rsidR="0079587E">
        <w:rPr>
          <w:rFonts w:ascii="Times" w:hAnsi="Times" w:cs="Times"/>
        </w:rPr>
        <w:t>aded, or transmitted to a third</w:t>
      </w:r>
      <w:r w:rsidRPr="0064678B">
        <w:rPr>
          <w:rFonts w:ascii="Times" w:hAnsi="Times" w:cs="Times"/>
        </w:rPr>
        <w:t xml:space="preserve"> party using the capabilities included in paragraphs (e)(1)(</w:t>
      </w:r>
      <w:proofErr w:type="spellStart"/>
      <w:r w:rsidRPr="0064678B">
        <w:rPr>
          <w:rFonts w:ascii="Times" w:hAnsi="Times" w:cs="Times"/>
        </w:rPr>
        <w:t>i</w:t>
      </w:r>
      <w:proofErr w:type="spellEnd"/>
      <w:r w:rsidRPr="0064678B">
        <w:rPr>
          <w:rFonts w:ascii="Times" w:hAnsi="Times" w:cs="Times"/>
        </w:rPr>
        <w:t>)(A) through (C) of this section, the following information must be recorded and made accessible to the patient:</w:t>
      </w:r>
    </w:p>
    <w:p w:rsidR="0064678B" w:rsidRDefault="00A93ACC" w:rsidP="00A93ACC">
      <w:pPr>
        <w:pStyle w:val="ListParagraph"/>
        <w:widowControl w:val="0"/>
        <w:numPr>
          <w:ilvl w:val="4"/>
          <w:numId w:val="6"/>
        </w:numPr>
        <w:autoSpaceDE w:val="0"/>
        <w:autoSpaceDN w:val="0"/>
        <w:adjustRightInd w:val="0"/>
        <w:spacing w:after="240"/>
        <w:rPr>
          <w:rFonts w:ascii="Times" w:hAnsi="Times" w:cs="Times"/>
        </w:rPr>
      </w:pPr>
      <w:r w:rsidRPr="0064678B">
        <w:rPr>
          <w:rFonts w:ascii="Times" w:hAnsi="Times" w:cs="Times"/>
        </w:rPr>
        <w:t>The action(s) (i.e., view, download, transmission) that occurred;</w:t>
      </w:r>
    </w:p>
    <w:p w:rsidR="0064678B" w:rsidRDefault="00A93ACC" w:rsidP="00A93ACC">
      <w:pPr>
        <w:pStyle w:val="ListParagraph"/>
        <w:widowControl w:val="0"/>
        <w:numPr>
          <w:ilvl w:val="4"/>
          <w:numId w:val="6"/>
        </w:numPr>
        <w:autoSpaceDE w:val="0"/>
        <w:autoSpaceDN w:val="0"/>
        <w:adjustRightInd w:val="0"/>
        <w:spacing w:after="240"/>
        <w:rPr>
          <w:rFonts w:ascii="Times" w:hAnsi="Times" w:cs="Times"/>
        </w:rPr>
      </w:pPr>
      <w:r w:rsidRPr="0064678B">
        <w:rPr>
          <w:rFonts w:ascii="Times" w:hAnsi="Times" w:cs="Times"/>
        </w:rPr>
        <w:t>The date and time each action occurred in accordance with the standard specified at § 170.210(g); and</w:t>
      </w:r>
    </w:p>
    <w:p w:rsidR="0064678B" w:rsidRDefault="00A93ACC" w:rsidP="00A93ACC">
      <w:pPr>
        <w:pStyle w:val="ListParagraph"/>
        <w:widowControl w:val="0"/>
        <w:numPr>
          <w:ilvl w:val="4"/>
          <w:numId w:val="6"/>
        </w:numPr>
        <w:autoSpaceDE w:val="0"/>
        <w:autoSpaceDN w:val="0"/>
        <w:adjustRightInd w:val="0"/>
        <w:spacing w:after="240"/>
        <w:rPr>
          <w:rFonts w:ascii="Times" w:hAnsi="Times" w:cs="Times"/>
        </w:rPr>
      </w:pPr>
      <w:r w:rsidRPr="0064678B">
        <w:rPr>
          <w:rFonts w:ascii="Times" w:hAnsi="Times" w:cs="Times"/>
        </w:rPr>
        <w:t>The user who took the action.</w:t>
      </w:r>
    </w:p>
    <w:p w:rsidR="0064678B" w:rsidRDefault="00A93ACC" w:rsidP="00A93ACC">
      <w:pPr>
        <w:pStyle w:val="ListParagraph"/>
        <w:widowControl w:val="0"/>
        <w:numPr>
          <w:ilvl w:val="3"/>
          <w:numId w:val="6"/>
        </w:numPr>
        <w:autoSpaceDE w:val="0"/>
        <w:autoSpaceDN w:val="0"/>
        <w:adjustRightInd w:val="0"/>
        <w:spacing w:after="240"/>
        <w:rPr>
          <w:rFonts w:ascii="Times" w:hAnsi="Times" w:cs="Times"/>
        </w:rPr>
      </w:pPr>
      <w:r w:rsidRPr="0064678B">
        <w:rPr>
          <w:rFonts w:ascii="Times" w:hAnsi="Times" w:cs="Times"/>
        </w:rPr>
        <w:t>EHR technology presented for certification may demonstrate compliance with paragraph (e)(1)(ii)(A) of this section if it is also certified to the certification criterion adopted at</w:t>
      </w:r>
      <w:r w:rsidR="0064678B">
        <w:rPr>
          <w:rFonts w:ascii="Times" w:hAnsi="Times" w:cs="Times"/>
        </w:rPr>
        <w:t xml:space="preserve"> </w:t>
      </w:r>
      <w:r w:rsidRPr="0064678B">
        <w:rPr>
          <w:rFonts w:ascii="Times" w:hAnsi="Times" w:cs="Times"/>
        </w:rPr>
        <w:t>§ 170.314(d)(2) and the information required to be recorded in paragraph (e)(1)(ii)(A) is accessible by the patient.</w:t>
      </w:r>
    </w:p>
    <w:p w:rsidR="00D52EFF" w:rsidRDefault="00D52EFF" w:rsidP="00D52EFF">
      <w:pPr>
        <w:pStyle w:val="ListParagraph"/>
        <w:widowControl w:val="0"/>
        <w:autoSpaceDE w:val="0"/>
        <w:autoSpaceDN w:val="0"/>
        <w:adjustRightInd w:val="0"/>
        <w:spacing w:after="240"/>
        <w:ind w:left="3240"/>
        <w:rPr>
          <w:rFonts w:ascii="Times" w:hAnsi="Times" w:cs="Times"/>
        </w:rPr>
      </w:pPr>
    </w:p>
    <w:p w:rsidR="0064678B" w:rsidRPr="0064678B" w:rsidRDefault="00A93ACC" w:rsidP="00A93ACC">
      <w:pPr>
        <w:pStyle w:val="ListParagraph"/>
        <w:widowControl w:val="0"/>
        <w:numPr>
          <w:ilvl w:val="1"/>
          <w:numId w:val="6"/>
        </w:numPr>
        <w:autoSpaceDE w:val="0"/>
        <w:autoSpaceDN w:val="0"/>
        <w:adjustRightInd w:val="0"/>
        <w:spacing w:after="240"/>
        <w:rPr>
          <w:rFonts w:ascii="Times" w:hAnsi="Times" w:cs="Times"/>
        </w:rPr>
      </w:pPr>
      <w:r w:rsidRPr="0064678B">
        <w:rPr>
          <w:rFonts w:ascii="Times" w:hAnsi="Times" w:cs="Times"/>
          <w:i/>
          <w:iCs/>
        </w:rPr>
        <w:t xml:space="preserve">Ambulatory setting only—clinical summary. </w:t>
      </w:r>
    </w:p>
    <w:p w:rsidR="0064678B" w:rsidRDefault="00A93ACC" w:rsidP="0064678B">
      <w:pPr>
        <w:pStyle w:val="ListParagraph"/>
        <w:widowControl w:val="0"/>
        <w:numPr>
          <w:ilvl w:val="2"/>
          <w:numId w:val="6"/>
        </w:numPr>
        <w:autoSpaceDE w:val="0"/>
        <w:autoSpaceDN w:val="0"/>
        <w:adjustRightInd w:val="0"/>
        <w:spacing w:after="240"/>
        <w:rPr>
          <w:rFonts w:ascii="Times" w:hAnsi="Times" w:cs="Times"/>
        </w:rPr>
      </w:pPr>
      <w:r w:rsidRPr="0064678B">
        <w:rPr>
          <w:rFonts w:ascii="Times" w:hAnsi="Times" w:cs="Times"/>
          <w:i/>
          <w:iCs/>
        </w:rPr>
        <w:t xml:space="preserve">Create. </w:t>
      </w:r>
      <w:r w:rsidRPr="0064678B">
        <w:rPr>
          <w:rFonts w:ascii="Times" w:hAnsi="Times" w:cs="Times"/>
        </w:rPr>
        <w:t>Enable a user to create a clinical summary for a patient in human readable format and formatted according to the standards adopted at</w:t>
      </w:r>
      <w:r w:rsidR="0064678B">
        <w:rPr>
          <w:rFonts w:ascii="Times" w:hAnsi="Times" w:cs="Times"/>
        </w:rPr>
        <w:t xml:space="preserve"> </w:t>
      </w:r>
      <w:r w:rsidRPr="0064678B">
        <w:rPr>
          <w:rFonts w:ascii="Times" w:hAnsi="Times" w:cs="Times"/>
        </w:rPr>
        <w:t>§ 170.205(a</w:t>
      </w:r>
      <w:proofErr w:type="gramStart"/>
      <w:r w:rsidRPr="0064678B">
        <w:rPr>
          <w:rFonts w:ascii="Times" w:hAnsi="Times" w:cs="Times"/>
        </w:rPr>
        <w:t>)(</w:t>
      </w:r>
      <w:proofErr w:type="gramEnd"/>
      <w:r w:rsidRPr="0064678B">
        <w:rPr>
          <w:rFonts w:ascii="Times" w:hAnsi="Times" w:cs="Times"/>
        </w:rPr>
        <w:t>3). </w:t>
      </w:r>
    </w:p>
    <w:p w:rsidR="0064678B" w:rsidRDefault="00A93ACC" w:rsidP="00A93ACC">
      <w:pPr>
        <w:pStyle w:val="ListParagraph"/>
        <w:widowControl w:val="0"/>
        <w:numPr>
          <w:ilvl w:val="2"/>
          <w:numId w:val="6"/>
        </w:numPr>
        <w:autoSpaceDE w:val="0"/>
        <w:autoSpaceDN w:val="0"/>
        <w:adjustRightInd w:val="0"/>
        <w:spacing w:after="240"/>
        <w:rPr>
          <w:rFonts w:ascii="Times" w:hAnsi="Times" w:cs="Times"/>
        </w:rPr>
      </w:pPr>
      <w:r w:rsidRPr="0064678B">
        <w:rPr>
          <w:rFonts w:ascii="Times" w:hAnsi="Times" w:cs="Times"/>
          <w:i/>
          <w:iCs/>
        </w:rPr>
        <w:t xml:space="preserve">Customization. </w:t>
      </w:r>
      <w:r w:rsidRPr="0064678B">
        <w:rPr>
          <w:rFonts w:ascii="Times" w:hAnsi="Times" w:cs="Times"/>
        </w:rPr>
        <w:t>Enable a user to</w:t>
      </w:r>
      <w:r w:rsidR="0064678B">
        <w:rPr>
          <w:rFonts w:ascii="Times" w:hAnsi="Times" w:cs="Times"/>
        </w:rPr>
        <w:t xml:space="preserve"> </w:t>
      </w:r>
      <w:r w:rsidRPr="0064678B">
        <w:rPr>
          <w:rFonts w:ascii="Times" w:hAnsi="Times" w:cs="Times"/>
        </w:rPr>
        <w:t>customize the data included in the clinical summary.</w:t>
      </w:r>
    </w:p>
    <w:p w:rsidR="0064678B" w:rsidRDefault="00A93ACC" w:rsidP="00A93ACC">
      <w:pPr>
        <w:pStyle w:val="ListParagraph"/>
        <w:widowControl w:val="0"/>
        <w:numPr>
          <w:ilvl w:val="2"/>
          <w:numId w:val="6"/>
        </w:numPr>
        <w:autoSpaceDE w:val="0"/>
        <w:autoSpaceDN w:val="0"/>
        <w:adjustRightInd w:val="0"/>
        <w:spacing w:after="240"/>
        <w:rPr>
          <w:rFonts w:ascii="Times" w:hAnsi="Times" w:cs="Times"/>
        </w:rPr>
      </w:pPr>
      <w:r w:rsidRPr="0064678B">
        <w:rPr>
          <w:rFonts w:ascii="Times" w:hAnsi="Times" w:cs="Times"/>
          <w:i/>
          <w:iCs/>
        </w:rPr>
        <w:t xml:space="preserve">Minimum data from which to select. </w:t>
      </w:r>
      <w:r w:rsidRPr="0064678B">
        <w:rPr>
          <w:rFonts w:ascii="Times" w:hAnsi="Times" w:cs="Times"/>
        </w:rPr>
        <w:t>EHR technology must permit a user to select, at a minimum, the following data when creating a clinical summary:</w:t>
      </w:r>
    </w:p>
    <w:p w:rsidR="0064678B" w:rsidRDefault="00A93ACC" w:rsidP="00A93ACC">
      <w:pPr>
        <w:pStyle w:val="ListParagraph"/>
        <w:widowControl w:val="0"/>
        <w:numPr>
          <w:ilvl w:val="3"/>
          <w:numId w:val="6"/>
        </w:numPr>
        <w:autoSpaceDE w:val="0"/>
        <w:autoSpaceDN w:val="0"/>
        <w:adjustRightInd w:val="0"/>
        <w:spacing w:after="240"/>
        <w:rPr>
          <w:rFonts w:ascii="Times" w:hAnsi="Times" w:cs="Times"/>
        </w:rPr>
      </w:pPr>
      <w:r w:rsidRPr="0064678B">
        <w:rPr>
          <w:rFonts w:ascii="Times" w:hAnsi="Times" w:cs="Times"/>
        </w:rPr>
        <w:t>Common MU Data Set (which, for the human readable version, should be in their English representation if they associate with a vocabulary/code set)</w:t>
      </w:r>
    </w:p>
    <w:p w:rsidR="0064678B" w:rsidRDefault="00A93ACC" w:rsidP="00A93ACC">
      <w:pPr>
        <w:pStyle w:val="ListParagraph"/>
        <w:widowControl w:val="0"/>
        <w:numPr>
          <w:ilvl w:val="3"/>
          <w:numId w:val="6"/>
        </w:numPr>
        <w:autoSpaceDE w:val="0"/>
        <w:autoSpaceDN w:val="0"/>
        <w:adjustRightInd w:val="0"/>
        <w:spacing w:after="240"/>
        <w:rPr>
          <w:rFonts w:ascii="Times" w:hAnsi="Times" w:cs="Times"/>
        </w:rPr>
      </w:pPr>
      <w:r w:rsidRPr="0064678B">
        <w:rPr>
          <w:rFonts w:ascii="Times" w:hAnsi="Times" w:cs="Times"/>
        </w:rPr>
        <w:t>The provider’s name and office contact information; date and location of visit; reason for visit; immunizations and/or medications administered during the visit; diagnostic tests pending; clinical instructions; future appointments; referrals to other providers; future scheduled tests; and recommended patient decision aids.</w:t>
      </w:r>
    </w:p>
    <w:p w:rsidR="00D52EFF" w:rsidRDefault="00D52EFF" w:rsidP="00D52EFF">
      <w:pPr>
        <w:pStyle w:val="ListParagraph"/>
        <w:widowControl w:val="0"/>
        <w:autoSpaceDE w:val="0"/>
        <w:autoSpaceDN w:val="0"/>
        <w:adjustRightInd w:val="0"/>
        <w:spacing w:after="240"/>
        <w:ind w:left="3240"/>
        <w:rPr>
          <w:rFonts w:ascii="Times" w:hAnsi="Times" w:cs="Times"/>
        </w:rPr>
      </w:pPr>
    </w:p>
    <w:p w:rsidR="0064678B" w:rsidRDefault="00A93ACC" w:rsidP="00A93ACC">
      <w:pPr>
        <w:pStyle w:val="ListParagraph"/>
        <w:widowControl w:val="0"/>
        <w:numPr>
          <w:ilvl w:val="1"/>
          <w:numId w:val="6"/>
        </w:numPr>
        <w:autoSpaceDE w:val="0"/>
        <w:autoSpaceDN w:val="0"/>
        <w:adjustRightInd w:val="0"/>
        <w:spacing w:after="240"/>
        <w:rPr>
          <w:rFonts w:ascii="Times" w:hAnsi="Times" w:cs="Times"/>
        </w:rPr>
      </w:pPr>
      <w:r w:rsidRPr="0064678B">
        <w:rPr>
          <w:rFonts w:ascii="Times" w:hAnsi="Times" w:cs="Times"/>
          <w:i/>
          <w:iCs/>
        </w:rPr>
        <w:t xml:space="preserve">Ambulatory setting only—secure messaging. </w:t>
      </w:r>
      <w:r w:rsidRPr="0064678B">
        <w:rPr>
          <w:rFonts w:ascii="Times" w:hAnsi="Times" w:cs="Times"/>
        </w:rPr>
        <w:t>Enable a user to electronically send messages to, and receive messages from, a patient in a manner that ensures:</w:t>
      </w:r>
    </w:p>
    <w:p w:rsidR="0064678B" w:rsidRDefault="00A93ACC" w:rsidP="00A93ACC">
      <w:pPr>
        <w:pStyle w:val="ListParagraph"/>
        <w:widowControl w:val="0"/>
        <w:numPr>
          <w:ilvl w:val="2"/>
          <w:numId w:val="6"/>
        </w:numPr>
        <w:autoSpaceDE w:val="0"/>
        <w:autoSpaceDN w:val="0"/>
        <w:adjustRightInd w:val="0"/>
        <w:spacing w:after="240"/>
        <w:rPr>
          <w:rFonts w:ascii="Times" w:hAnsi="Times" w:cs="Times"/>
        </w:rPr>
      </w:pPr>
      <w:r w:rsidRPr="0064678B">
        <w:rPr>
          <w:rFonts w:ascii="Times" w:hAnsi="Times" w:cs="Times"/>
        </w:rPr>
        <w:t>Both the patient (or authorized representative) and EHR technology user are authenticated; and</w:t>
      </w:r>
    </w:p>
    <w:p w:rsidR="00A93ACC" w:rsidRDefault="00A93ACC" w:rsidP="00A93ACC">
      <w:pPr>
        <w:pStyle w:val="ListParagraph"/>
        <w:widowControl w:val="0"/>
        <w:numPr>
          <w:ilvl w:val="2"/>
          <w:numId w:val="6"/>
        </w:numPr>
        <w:autoSpaceDE w:val="0"/>
        <w:autoSpaceDN w:val="0"/>
        <w:adjustRightInd w:val="0"/>
        <w:spacing w:after="240"/>
        <w:rPr>
          <w:rFonts w:ascii="Times" w:hAnsi="Times" w:cs="Times"/>
        </w:rPr>
      </w:pPr>
      <w:r w:rsidRPr="0064678B">
        <w:rPr>
          <w:rFonts w:ascii="Times" w:hAnsi="Times" w:cs="Times"/>
        </w:rPr>
        <w:t>The message content is encrypted and integrity-protected in accordance with the standard for encryption and hashing algorithms specified at</w:t>
      </w:r>
      <w:r w:rsidR="0064678B">
        <w:rPr>
          <w:rFonts w:ascii="Times" w:hAnsi="Times" w:cs="Times"/>
        </w:rPr>
        <w:t xml:space="preserve"> </w:t>
      </w:r>
      <w:r w:rsidRPr="0064678B">
        <w:rPr>
          <w:rFonts w:ascii="Times" w:hAnsi="Times" w:cs="Times"/>
        </w:rPr>
        <w:t>§ 170.210(f).</w:t>
      </w:r>
    </w:p>
    <w:p w:rsidR="00D52EFF" w:rsidRPr="00D52EFF" w:rsidRDefault="00FA3417" w:rsidP="00D52EFF">
      <w:pPr>
        <w:widowControl w:val="0"/>
        <w:autoSpaceDE w:val="0"/>
        <w:autoSpaceDN w:val="0"/>
        <w:adjustRightInd w:val="0"/>
        <w:spacing w:after="240"/>
        <w:rPr>
          <w:rFonts w:ascii="Times" w:hAnsi="Times" w:cs="Times"/>
        </w:rPr>
      </w:pPr>
      <w:r>
        <w:rPr>
          <w:rFonts w:ascii="Times" w:hAnsi="Times" w:cs="Times"/>
          <w:noProof/>
        </w:rPr>
        <w:pict>
          <v:shape id="Text Box 4" o:spid="_x0000_s1027" type="#_x0000_t202" style="position:absolute;margin-left:0;margin-top:16.3pt;width:468pt;height:13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" filled="f" stroked="f">
            <v:textbox>
              <w:txbxContent>
                <w:p w:rsidR="00707692" w:rsidRDefault="00707692" w:rsidP="00D52EFF">
                  <w:pPr>
                    <w:widowControl w:val="0"/>
                    <w:shd w:val="clear" w:color="auto" w:fill="E6E6E6"/>
                    <w:autoSpaceDE w:val="0"/>
                    <w:autoSpaceDN w:val="0"/>
                    <w:adjustRightInd w:val="0"/>
                    <w:spacing w:after="240"/>
                    <w:rPr>
                      <w:rFonts w:ascii="Times" w:hAnsi="Times" w:cs="Times"/>
                    </w:rPr>
                  </w:pPr>
                  <w:r>
                    <w:rPr>
                      <w:rFonts w:ascii="Helvetica" w:hAnsi="Helvetica" w:cs="Helvetica"/>
                      <w:b/>
                      <w:bCs/>
                      <w:sz w:val="22"/>
                      <w:szCs w:val="22"/>
                    </w:rPr>
                    <w:t>§ 170.210 Standards for health information technology to protect electronic health information created, maintained, and exchanged.</w:t>
                  </w:r>
                </w:p>
                <w:p w:rsidR="00707692" w:rsidRDefault="00707692" w:rsidP="00D52EFF">
                  <w:pPr>
                    <w:widowControl w:val="0"/>
                    <w:shd w:val="clear" w:color="auto" w:fill="E6E6E6"/>
                    <w:autoSpaceDE w:val="0"/>
                    <w:autoSpaceDN w:val="0"/>
                    <w:adjustRightInd w:val="0"/>
                    <w:spacing w:after="240"/>
                    <w:rPr>
                      <w:rFonts w:ascii="Times" w:hAnsi="Times" w:cs="Times"/>
                    </w:rPr>
                  </w:pPr>
                  <w:r>
                    <w:rPr>
                      <w:rFonts w:ascii="Times" w:hAnsi="Times" w:cs="Times"/>
                    </w:rPr>
                    <w:t>…</w:t>
                  </w:r>
                </w:p>
                <w:p w:rsidR="00707692" w:rsidRDefault="00707692" w:rsidP="00D52EFF">
                  <w:pPr>
                    <w:widowControl w:val="0"/>
                    <w:shd w:val="clear" w:color="auto" w:fill="E6E6E6"/>
                    <w:autoSpaceDE w:val="0"/>
                    <w:autoSpaceDN w:val="0"/>
                    <w:adjustRightInd w:val="0"/>
                    <w:spacing w:after="240"/>
                    <w:rPr>
                      <w:rFonts w:ascii="Times" w:hAnsi="Times" w:cs="Times"/>
                    </w:rPr>
                  </w:pPr>
                  <w:r>
                    <w:rPr>
                      <w:rFonts w:ascii="Times" w:hAnsi="Times" w:cs="Times"/>
                    </w:rPr>
                    <w:t xml:space="preserve">(f) </w:t>
                  </w:r>
                  <w:r>
                    <w:rPr>
                      <w:rFonts w:ascii="Times" w:hAnsi="Times" w:cs="Times"/>
                      <w:i/>
                      <w:iCs/>
                    </w:rPr>
                    <w:t xml:space="preserve">Encryption and hashing of electronic health information. </w:t>
                  </w:r>
                  <w:r>
                    <w:rPr>
                      <w:rFonts w:ascii="Times" w:hAnsi="Times" w:cs="Times"/>
                    </w:rPr>
                    <w:t>Any encryption and hashing algorithm identified by the National Institute of Standards and Technology (NIST) as an approved security function in Annex A of the FIPS Publication 140–2 (incorporated by reference in § 170.299).</w:t>
                  </w:r>
                </w:p>
                <w:p w:rsidR="00707692" w:rsidRPr="00D52EFF" w:rsidRDefault="00707692" w:rsidP="00D52EFF">
                  <w:pPr>
                    <w:widowControl w:val="0"/>
                    <w:shd w:val="clear" w:color="auto" w:fill="E6E6E6"/>
                    <w:autoSpaceDE w:val="0"/>
                    <w:autoSpaceDN w:val="0"/>
                    <w:adjustRightInd w:val="0"/>
                    <w:spacing w:after="240"/>
                    <w:rPr>
                      <w:rFonts w:ascii="Times" w:hAnsi="Times" w:cs="Times"/>
                    </w:rPr>
                  </w:pPr>
                </w:p>
              </w:txbxContent>
            </v:textbox>
            <w10:wrap type="square"/>
          </v:shape>
        </w:pict>
      </w:r>
    </w:p>
    <w:p w:rsidR="006942C0" w:rsidRPr="00CE4B73" w:rsidRDefault="006942C0">
      <w:pPr>
        <w:rPr>
          <w:sz w:val="20"/>
          <w:szCs w:val="20"/>
        </w:rPr>
      </w:pPr>
    </w:p>
    <w:sectPr w:rsidR="006942C0" w:rsidRPr="00CE4B73" w:rsidSect="00865611">
      <w:pgSz w:w="12240" w:h="15840"/>
      <w:pgMar w:top="1440" w:right="1800" w:bottom="1440" w:left="180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ＭＳ 明朝">
    <w:charset w:val="4E"/>
    <w:family w:val="auto"/>
    <w:pitch w:val="variable"/>
    <w:sig w:usb0="E00002FF" w:usb1="6AC7FDFB" w:usb2="00000012" w:usb3="00000000" w:csb0="0002009F" w:csb1="00000000"/>
  </w:font>
  <w:font w:name="Times">
    <w:panose1 w:val="02020603050405020304"/>
    <w:charset w:val="00"/>
    <w:family w:val="roman"/>
    <w:pitch w:val="variable"/>
    <w:sig w:usb0="20002A87" w:usb1="80000000" w:usb2="00000008" w:usb3="00000000" w:csb0="000001FF" w:csb1="00000000"/>
  </w:font>
  <w:font w:name="Helvetica">
    <w:panose1 w:val="020B0604020202020204"/>
    <w:charset w:val="00"/>
    <w:family w:val="swiss"/>
    <w:pitch w:val="variable"/>
    <w:sig w:usb0="2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273B6"/>
    <w:multiLevelType w:val="multilevel"/>
    <w:tmpl w:val="9CCEF22E"/>
    <w:lvl w:ilvl="0">
      <w:start w:val="5"/>
      <w:numFmt w:val="lowerLetter"/>
      <w:lvlText w:val="(%1)"/>
      <w:lvlJc w:val="left"/>
      <w:pPr>
        <w:ind w:left="720" w:hanging="360"/>
      </w:pPr>
      <w:rPr>
        <w:rFonts w:hint="default"/>
      </w:rPr>
    </w:lvl>
    <w:lvl w:ilvl="1">
      <w:start w:val="1"/>
      <w:numFmt w:val="decimal"/>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upperLetter"/>
      <w:lvlText w:val="(%4)"/>
      <w:lvlJc w:val="left"/>
      <w:pPr>
        <w:ind w:left="1800" w:hanging="360"/>
      </w:pPr>
      <w:rPr>
        <w:rFonts w:hint="default"/>
      </w:rPr>
    </w:lvl>
    <w:lvl w:ilvl="4">
      <w:start w:val="1"/>
      <w:numFmt w:val="decimal"/>
      <w:lvlText w:val="(%5)"/>
      <w:lvlJc w:val="left"/>
      <w:pPr>
        <w:ind w:left="216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left"/>
      <w:pPr>
        <w:ind w:left="6480" w:hanging="180"/>
      </w:pPr>
      <w:rPr>
        <w:rFonts w:hint="default"/>
      </w:rPr>
    </w:lvl>
  </w:abstractNum>
  <w:abstractNum w:abstractNumId="1">
    <w:nsid w:val="2788583A"/>
    <w:multiLevelType w:val="multilevel"/>
    <w:tmpl w:val="4E28E98C"/>
    <w:lvl w:ilvl="0">
      <w:start w:val="5"/>
      <w:numFmt w:val="lowerLetter"/>
      <w:lvlText w:val="(%1)"/>
      <w:lvlJc w:val="left"/>
      <w:pPr>
        <w:ind w:left="1080" w:hanging="720"/>
      </w:pPr>
      <w:rPr>
        <w:rFonts w:hint="default"/>
      </w:rPr>
    </w:lvl>
    <w:lvl w:ilvl="1">
      <w:start w:val="1"/>
      <w:numFmt w:val="decimal"/>
      <w:lvlText w:val="(%2)"/>
      <w:lvlJc w:val="left"/>
      <w:pPr>
        <w:ind w:left="1080" w:hanging="360"/>
      </w:pPr>
      <w:rPr>
        <w:rFonts w:hint="default"/>
      </w:rPr>
    </w:lvl>
    <w:lvl w:ilvl="2">
      <w:start w:val="1"/>
      <w:numFmt w:val="lowerRoman"/>
      <w:lvlText w:val="(%3)"/>
      <w:lvlJc w:val="left"/>
      <w:pPr>
        <w:ind w:left="2160" w:hanging="1080"/>
      </w:pPr>
      <w:rPr>
        <w:rFonts w:hint="default"/>
      </w:rPr>
    </w:lvl>
    <w:lvl w:ilvl="3">
      <w:start w:val="1"/>
      <w:numFmt w:val="upperLetter"/>
      <w:lvlText w:val="(%4)"/>
      <w:lvlJc w:val="left"/>
      <w:pPr>
        <w:ind w:left="1800" w:hanging="360"/>
      </w:pPr>
      <w:rPr>
        <w:rFonts w:hint="default"/>
      </w:rPr>
    </w:lvl>
    <w:lvl w:ilvl="4">
      <w:start w:val="1"/>
      <w:numFmt w:val="decimal"/>
      <w:lvlText w:val="(%5)"/>
      <w:lvlJc w:val="left"/>
      <w:pPr>
        <w:ind w:left="216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left"/>
      <w:pPr>
        <w:ind w:left="6480" w:hanging="180"/>
      </w:pPr>
      <w:rPr>
        <w:rFonts w:hint="default"/>
      </w:rPr>
    </w:lvl>
  </w:abstractNum>
  <w:abstractNum w:abstractNumId="2">
    <w:nsid w:val="2C684229"/>
    <w:multiLevelType w:val="hybridMultilevel"/>
    <w:tmpl w:val="BC7A45C0"/>
    <w:lvl w:ilvl="0" w:tplc="A7108B6C">
      <w:start w:val="1"/>
      <w:numFmt w:val="decimal"/>
      <w:lvlText w:val="(%1)"/>
      <w:lvlJc w:val="left"/>
      <w:pPr>
        <w:ind w:left="3320" w:hanging="1160"/>
      </w:pPr>
      <w:rPr>
        <w:rFonts w:hint="default"/>
      </w:rPr>
    </w:lvl>
    <w:lvl w:ilvl="1" w:tplc="63008C0E">
      <w:start w:val="1"/>
      <w:numFmt w:val="lowerRoman"/>
      <w:lvlText w:val="(%2)"/>
      <w:lvlJc w:val="left"/>
      <w:pPr>
        <w:ind w:left="4040" w:hanging="1160"/>
      </w:pPr>
      <w:rPr>
        <w:rFonts w:hint="default"/>
      </w:r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nsid w:val="44564DAC"/>
    <w:multiLevelType w:val="multilevel"/>
    <w:tmpl w:val="EFE4C206"/>
    <w:lvl w:ilvl="0">
      <w:start w:val="5"/>
      <w:numFmt w:val="lowerLetter"/>
      <w:lvlText w:val="(%1)"/>
      <w:lvlJc w:val="left"/>
      <w:pPr>
        <w:ind w:left="1080" w:hanging="720"/>
      </w:pPr>
      <w:rPr>
        <w:rFonts w:hint="default"/>
      </w:rPr>
    </w:lvl>
    <w:lvl w:ilvl="1">
      <w:start w:val="1"/>
      <w:numFmt w:val="decimal"/>
      <w:lvlText w:val="(%2)"/>
      <w:lvlJc w:val="left"/>
      <w:pPr>
        <w:ind w:left="1800" w:hanging="720"/>
      </w:pPr>
      <w:rPr>
        <w:rFonts w:hint="default"/>
      </w:rPr>
    </w:lvl>
    <w:lvl w:ilvl="2">
      <w:start w:val="1"/>
      <w:numFmt w:val="lowerRoman"/>
      <w:lvlText w:val="(%3)"/>
      <w:lvlJc w:val="left"/>
      <w:pPr>
        <w:ind w:left="2520" w:hanging="720"/>
      </w:pPr>
      <w:rPr>
        <w:rFonts w:hint="default"/>
      </w:rPr>
    </w:lvl>
    <w:lvl w:ilvl="3">
      <w:start w:val="1"/>
      <w:numFmt w:val="upperLetter"/>
      <w:lvlText w:val="(%4)"/>
      <w:lvlJc w:val="left"/>
      <w:pPr>
        <w:tabs>
          <w:tab w:val="num" w:pos="2520"/>
        </w:tabs>
        <w:ind w:left="3240" w:hanging="720"/>
      </w:pPr>
      <w:rPr>
        <w:rFonts w:hint="default"/>
      </w:rPr>
    </w:lvl>
    <w:lvl w:ilvl="4">
      <w:start w:val="1"/>
      <w:numFmt w:val="decimal"/>
      <w:lvlText w:val="(%5)"/>
      <w:lvlJc w:val="left"/>
      <w:pPr>
        <w:ind w:left="3960" w:hanging="720"/>
      </w:pPr>
      <w:rPr>
        <w:rFonts w:hint="default"/>
      </w:rPr>
    </w:lvl>
    <w:lvl w:ilvl="5">
      <w:start w:val="1"/>
      <w:numFmt w:val="lowerRoman"/>
      <w:lvlText w:val="(%6)"/>
      <w:lvlJc w:val="left"/>
      <w:pPr>
        <w:ind w:left="4680" w:hanging="72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left"/>
      <w:pPr>
        <w:ind w:left="6480" w:hanging="180"/>
      </w:pPr>
      <w:rPr>
        <w:rFonts w:hint="default"/>
      </w:rPr>
    </w:lvl>
  </w:abstractNum>
  <w:abstractNum w:abstractNumId="4">
    <w:nsid w:val="582B2982"/>
    <w:multiLevelType w:val="hybridMultilevel"/>
    <w:tmpl w:val="BD865EC4"/>
    <w:lvl w:ilvl="0" w:tplc="5BDEC1FE">
      <w:start w:val="1"/>
      <w:numFmt w:val="lowerRoman"/>
      <w:lvlText w:val="(%1)"/>
      <w:lvlJc w:val="left"/>
      <w:pPr>
        <w:ind w:left="1880" w:hanging="1160"/>
      </w:pPr>
      <w:rPr>
        <w:rFonts w:ascii="Courier" w:hAnsi="Courier" w:cs="Courier" w:hint="default"/>
        <w:sz w:val="1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6B963A16"/>
    <w:multiLevelType w:val="multilevel"/>
    <w:tmpl w:val="47A4BF2E"/>
    <w:lvl w:ilvl="0">
      <w:start w:val="5"/>
      <w:numFmt w:val="lowerLetter"/>
      <w:lvlText w:val="(%1)"/>
      <w:lvlJc w:val="left"/>
      <w:pPr>
        <w:ind w:left="1080" w:hanging="720"/>
      </w:pPr>
      <w:rPr>
        <w:rFonts w:hint="default"/>
      </w:rPr>
    </w:lvl>
    <w:lvl w:ilvl="1">
      <w:start w:val="1"/>
      <w:numFmt w:val="decimal"/>
      <w:lvlText w:val="(%2)"/>
      <w:lvlJc w:val="left"/>
      <w:pPr>
        <w:ind w:left="1656" w:hanging="576"/>
      </w:pPr>
      <w:rPr>
        <w:rFonts w:hint="default"/>
      </w:rPr>
    </w:lvl>
    <w:lvl w:ilvl="2">
      <w:start w:val="1"/>
      <w:numFmt w:val="lowerRoman"/>
      <w:lvlText w:val="(%3)"/>
      <w:lvlJc w:val="left"/>
      <w:pPr>
        <w:ind w:left="2160" w:hanging="1080"/>
      </w:pPr>
      <w:rPr>
        <w:rFonts w:hint="default"/>
      </w:rPr>
    </w:lvl>
    <w:lvl w:ilvl="3">
      <w:start w:val="1"/>
      <w:numFmt w:val="upperLetter"/>
      <w:lvlText w:val="(%4)"/>
      <w:lvlJc w:val="left"/>
      <w:pPr>
        <w:ind w:left="1800" w:hanging="360"/>
      </w:pPr>
      <w:rPr>
        <w:rFonts w:hint="default"/>
      </w:rPr>
    </w:lvl>
    <w:lvl w:ilvl="4">
      <w:start w:val="1"/>
      <w:numFmt w:val="decimal"/>
      <w:lvlText w:val="(%5)"/>
      <w:lvlJc w:val="left"/>
      <w:pPr>
        <w:ind w:left="216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left"/>
      <w:pPr>
        <w:ind w:left="6480" w:hanging="180"/>
      </w:pPr>
      <w:rPr>
        <w:rFonts w:hint="default"/>
      </w:rPr>
    </w:lvl>
  </w:abstractNum>
  <w:num w:numId="1">
    <w:abstractNumId w:val="0"/>
  </w:num>
  <w:num w:numId="2">
    <w:abstractNumId w:val="2"/>
  </w:num>
  <w:num w:numId="3">
    <w:abstractNumId w:val="4"/>
  </w:num>
  <w:num w:numId="4">
    <w:abstractNumId w:val="1"/>
  </w:num>
  <w:num w:numId="5">
    <w:abstractNumId w:val="5"/>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865611"/>
    <w:rsid w:val="000B0F94"/>
    <w:rsid w:val="001229E1"/>
    <w:rsid w:val="00282D98"/>
    <w:rsid w:val="002C3691"/>
    <w:rsid w:val="0050317F"/>
    <w:rsid w:val="00540877"/>
    <w:rsid w:val="0064678B"/>
    <w:rsid w:val="006942C0"/>
    <w:rsid w:val="006E1830"/>
    <w:rsid w:val="00707692"/>
    <w:rsid w:val="0079587E"/>
    <w:rsid w:val="00822B89"/>
    <w:rsid w:val="00865611"/>
    <w:rsid w:val="0095022C"/>
    <w:rsid w:val="00963D57"/>
    <w:rsid w:val="00A93ACC"/>
    <w:rsid w:val="00AF1C97"/>
    <w:rsid w:val="00C72CEF"/>
    <w:rsid w:val="00CE4B73"/>
    <w:rsid w:val="00D4503C"/>
    <w:rsid w:val="00D52EFF"/>
    <w:rsid w:val="00FA3417"/>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341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561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5611"/>
    <w:pPr>
      <w:ind w:left="720"/>
      <w:contextualSpacing/>
    </w:p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674</Words>
  <Characters>3842</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Dixie Baker</dc:creator>
  <cp:lastModifiedBy>Caitlin Collins</cp:lastModifiedBy>
  <cp:revision>2</cp:revision>
  <dcterms:created xsi:type="dcterms:W3CDTF">2013-05-22T13:04:00Z</dcterms:created>
  <dcterms:modified xsi:type="dcterms:W3CDTF">2013-05-22T13:04:00Z</dcterms:modified>
</cp:coreProperties>
</file>