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C1" w:rsidRPr="00352C84" w:rsidRDefault="006C6DF2" w:rsidP="004B6A04">
      <w:pPr>
        <w:rPr>
          <w:b/>
          <w:sz w:val="24"/>
          <w:szCs w:val="24"/>
        </w:rPr>
      </w:pPr>
      <w:r w:rsidRPr="00352C84">
        <w:rPr>
          <w:rStyle w:val="Heading1Char"/>
        </w:rPr>
        <w:t>PSTT0</w:t>
      </w:r>
      <w:r w:rsidR="0040796F" w:rsidRPr="00352C84">
        <w:rPr>
          <w:rStyle w:val="Heading1Char"/>
        </w:rPr>
        <w:t>4</w:t>
      </w:r>
      <w:r w:rsidRPr="00352C84">
        <w:rPr>
          <w:rStyle w:val="Heading1Char"/>
        </w:rPr>
        <w:t>:</w:t>
      </w:r>
      <w:r w:rsidRPr="00352C84">
        <w:rPr>
          <w:rStyle w:val="Heading1Char"/>
        </w:rPr>
        <w:tab/>
      </w:r>
      <w:r w:rsidR="002C02D0" w:rsidRPr="00352C84">
        <w:rPr>
          <w:rStyle w:val="Heading1Char"/>
        </w:rPr>
        <w:t>What, if any, security risk issues (or Health Insurance Portability and Accountability Act (HIPAA) Security Rule provisions) should be subject to Meaningful Use attestation in Stage 3?</w:t>
      </w:r>
      <w:r w:rsidR="002C02D0" w:rsidRPr="00352C84">
        <w:rPr>
          <w:b/>
          <w:sz w:val="24"/>
          <w:szCs w:val="24"/>
        </w:rPr>
        <w:t xml:space="preserve">  </w:t>
      </w:r>
    </w:p>
    <w:p w:rsidR="006C6DF2" w:rsidRPr="00352C84" w:rsidRDefault="002C02D0">
      <w:pPr>
        <w:rPr>
          <w:b/>
          <w:sz w:val="24"/>
          <w:szCs w:val="24"/>
        </w:rPr>
      </w:pPr>
      <w:r w:rsidRPr="00352C84">
        <w:rPr>
          <w:i/>
          <w:sz w:val="24"/>
          <w:szCs w:val="24"/>
        </w:rPr>
        <w:t xml:space="preserve">[For example, the requirement to make staff/workforce aware of the HIPAA Security Rule and to train them on Security Rule provisions is one of the top 5 areas of Security Rule noncompliance identified by the HHS Office for Civil Rights over the past 5 years.  In addition, entities covered by the Security Rule must also send periodic security reminders to staff.  The HITPC is considering requiring EPs/EHs/CAHs to attest to implementing HIPAA Security Rule provisions regarding workforce/staff outreach &amp; training and sending periodic security reminders; we seek feedback on this proposal.]  </w:t>
      </w:r>
    </w:p>
    <w:tbl>
      <w:tblPr>
        <w:tblStyle w:val="MediumShading2-Accent11"/>
        <w:tblW w:w="13068" w:type="dxa"/>
        <w:tblLayout w:type="fixed"/>
        <w:tblLook w:val="04A0"/>
      </w:tblPr>
      <w:tblGrid>
        <w:gridCol w:w="537"/>
        <w:gridCol w:w="2181"/>
        <w:gridCol w:w="720"/>
        <w:gridCol w:w="1890"/>
        <w:gridCol w:w="2610"/>
        <w:gridCol w:w="5130"/>
      </w:tblGrid>
      <w:tr w:rsidR="0080485A" w:rsidRPr="00352C84" w:rsidTr="00DB12DB">
        <w:trPr>
          <w:cnfStyle w:val="100000000000"/>
          <w:cantSplit/>
        </w:trPr>
        <w:tc>
          <w:tcPr>
            <w:cnfStyle w:val="001000000100"/>
            <w:tcW w:w="537" w:type="dxa"/>
          </w:tcPr>
          <w:p w:rsidR="0080485A" w:rsidRPr="00352C84" w:rsidRDefault="0080485A">
            <w:r w:rsidRPr="00352C84">
              <w:t>#</w:t>
            </w:r>
          </w:p>
        </w:tc>
        <w:tc>
          <w:tcPr>
            <w:tcW w:w="2181" w:type="dxa"/>
          </w:tcPr>
          <w:p w:rsidR="0080485A" w:rsidRPr="00352C84" w:rsidRDefault="0080485A">
            <w:pPr>
              <w:cnfStyle w:val="100000000000"/>
            </w:pPr>
            <w:r w:rsidRPr="00352C84">
              <w:t>Comment ID</w:t>
            </w:r>
          </w:p>
        </w:tc>
        <w:tc>
          <w:tcPr>
            <w:tcW w:w="720" w:type="dxa"/>
          </w:tcPr>
          <w:p w:rsidR="0080485A" w:rsidRPr="00352C84" w:rsidRDefault="0080485A" w:rsidP="0080485A">
            <w:pPr>
              <w:jc w:val="center"/>
              <w:cnfStyle w:val="100000000000"/>
              <w:rPr>
                <w:rFonts w:ascii="Calibri" w:hAnsi="Calibri"/>
                <w:b w:val="0"/>
                <w:bCs w:val="0"/>
                <w:color w:val="FFFFFF"/>
                <w:sz w:val="16"/>
                <w:szCs w:val="16"/>
              </w:rPr>
            </w:pPr>
            <w:r w:rsidRPr="00352C84">
              <w:rPr>
                <w:rFonts w:ascii="Calibri" w:hAnsi="Calibri"/>
                <w:color w:val="FFFFFF"/>
                <w:sz w:val="16"/>
                <w:szCs w:val="16"/>
              </w:rPr>
              <w:t>PSTT0</w:t>
            </w:r>
            <w:r w:rsidR="0040796F" w:rsidRPr="00352C84">
              <w:rPr>
                <w:rFonts w:ascii="Calibri" w:hAnsi="Calibri"/>
                <w:color w:val="FFFFFF"/>
                <w:sz w:val="16"/>
                <w:szCs w:val="16"/>
              </w:rPr>
              <w:t>4</w:t>
            </w:r>
          </w:p>
        </w:tc>
        <w:tc>
          <w:tcPr>
            <w:tcW w:w="1890" w:type="dxa"/>
          </w:tcPr>
          <w:p w:rsidR="0080485A" w:rsidRPr="00352C84" w:rsidRDefault="0080485A" w:rsidP="007D2B85">
            <w:pPr>
              <w:jc w:val="center"/>
              <w:cnfStyle w:val="100000000000"/>
            </w:pPr>
            <w:r w:rsidRPr="00352C84">
              <w:t>Name of Respondent</w:t>
            </w:r>
          </w:p>
        </w:tc>
        <w:tc>
          <w:tcPr>
            <w:tcW w:w="2610" w:type="dxa"/>
          </w:tcPr>
          <w:p w:rsidR="0080485A" w:rsidRPr="00352C84" w:rsidRDefault="0080485A">
            <w:pPr>
              <w:cnfStyle w:val="100000000000"/>
            </w:pPr>
            <w:r w:rsidRPr="00352C84">
              <w:t>Organization</w:t>
            </w:r>
          </w:p>
        </w:tc>
        <w:tc>
          <w:tcPr>
            <w:tcW w:w="5130" w:type="dxa"/>
          </w:tcPr>
          <w:p w:rsidR="009F11B9" w:rsidRDefault="00AF3179" w:rsidP="00703CA2">
            <w:pPr>
              <w:jc w:val="center"/>
              <w:cnfStyle w:val="100000000000"/>
              <w:rPr>
                <w:b w:val="0"/>
                <w:bCs w:val="0"/>
                <w:color w:val="auto"/>
              </w:rPr>
            </w:pPr>
            <w:r>
              <w:t>Summary of Comments</w:t>
            </w:r>
          </w:p>
        </w:tc>
      </w:tr>
      <w:tr w:rsidR="002C02D0" w:rsidRPr="00352C84" w:rsidTr="00DB12DB">
        <w:trPr>
          <w:cnfStyle w:val="000000100000"/>
          <w:cantSplit/>
        </w:trPr>
        <w:tc>
          <w:tcPr>
            <w:cnfStyle w:val="001000000000"/>
            <w:tcW w:w="537" w:type="dxa"/>
          </w:tcPr>
          <w:p w:rsidR="002C02D0" w:rsidRPr="00352C84" w:rsidRDefault="002C02D0" w:rsidP="002B70A0">
            <w:r w:rsidRPr="00352C84">
              <w:t>1</w:t>
            </w:r>
          </w:p>
        </w:tc>
        <w:tc>
          <w:tcPr>
            <w:tcW w:w="2181" w:type="dxa"/>
          </w:tcPr>
          <w:p w:rsidR="002C02D0" w:rsidRPr="00352C84" w:rsidRDefault="00E142D0" w:rsidP="003B0182">
            <w:pPr>
              <w:cnfStyle w:val="000000100000"/>
              <w:rPr>
                <w:rFonts w:ascii="Calibri" w:hAnsi="Calibri"/>
                <w:color w:val="0000FF"/>
                <w:sz w:val="16"/>
                <w:szCs w:val="16"/>
                <w:u w:val="single"/>
              </w:rPr>
            </w:pPr>
            <w:hyperlink r:id="rId8" w:anchor="!documentDetail;D=HHS-OS-2012-0007-0534" w:tooltip="The document ID for this document is HHS-OS-2012-0007-0534" w:history="1">
              <w:r w:rsidR="002C02D0" w:rsidRPr="00352C84">
                <w:rPr>
                  <w:rFonts w:ascii="Calibri" w:hAnsi="Calibri"/>
                  <w:color w:val="0000FF"/>
                  <w:sz w:val="16"/>
                  <w:u w:val="single"/>
                </w:rPr>
                <w:t>HHS-OS-2012-0007-0534</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#2/p.2-3</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Samantha  Halpert</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Federation of American Hospitals</w:t>
            </w:r>
          </w:p>
        </w:tc>
        <w:tc>
          <w:tcPr>
            <w:tcW w:w="5130" w:type="dxa"/>
          </w:tcPr>
          <w:p w:rsidR="002C02D0" w:rsidRPr="00352C84" w:rsidRDefault="002722CB" w:rsidP="00D06BCA">
            <w:pPr>
              <w:pStyle w:val="ListParagraph"/>
              <w:numPr>
                <w:ilvl w:val="0"/>
                <w:numId w:val="1"/>
              </w:numPr>
              <w:ind w:left="288" w:hanging="144"/>
              <w:cnfStyle w:val="000000100000"/>
              <w:rPr>
                <w:sz w:val="16"/>
                <w:szCs w:val="16"/>
              </w:rPr>
            </w:pPr>
            <w:r>
              <w:rPr>
                <w:sz w:val="16"/>
                <w:szCs w:val="16"/>
              </w:rPr>
              <w:t>D</w:t>
            </w:r>
            <w:r w:rsidR="00754CE4" w:rsidRPr="00352C84">
              <w:rPr>
                <w:sz w:val="16"/>
                <w:szCs w:val="16"/>
              </w:rPr>
              <w:t xml:space="preserve">eferred </w:t>
            </w:r>
            <w:r w:rsidR="00D06BCA" w:rsidRPr="00352C84">
              <w:rPr>
                <w:sz w:val="16"/>
                <w:szCs w:val="16"/>
              </w:rPr>
              <w:t>to the Confidentiality Coalition for comments regarding privacy and security.</w:t>
            </w:r>
          </w:p>
          <w:p w:rsidR="00D06BCA" w:rsidRPr="00352C84" w:rsidRDefault="00D06BCA" w:rsidP="00BB59E6">
            <w:pPr>
              <w:pStyle w:val="ListParagraph"/>
              <w:numPr>
                <w:ilvl w:val="0"/>
                <w:numId w:val="1"/>
              </w:numPr>
              <w:ind w:left="288" w:hanging="144"/>
              <w:cnfStyle w:val="000000100000"/>
              <w:rPr>
                <w:sz w:val="16"/>
                <w:szCs w:val="16"/>
              </w:rPr>
            </w:pPr>
            <w:r w:rsidRPr="00352C84">
              <w:rPr>
                <w:sz w:val="16"/>
                <w:szCs w:val="16"/>
              </w:rPr>
              <w:t>See Comment #24, Confidentiality Coalition.</w:t>
            </w:r>
          </w:p>
        </w:tc>
      </w:tr>
      <w:tr w:rsidR="002C02D0" w:rsidRPr="00352C84" w:rsidTr="00DB12DB">
        <w:trPr>
          <w:cantSplit/>
        </w:trPr>
        <w:tc>
          <w:tcPr>
            <w:cnfStyle w:val="001000000000"/>
            <w:tcW w:w="537" w:type="dxa"/>
          </w:tcPr>
          <w:p w:rsidR="002C02D0" w:rsidRPr="00352C84" w:rsidRDefault="002C02D0" w:rsidP="002B70A0">
            <w:r w:rsidRPr="00352C84">
              <w:t>2</w:t>
            </w:r>
          </w:p>
        </w:tc>
        <w:tc>
          <w:tcPr>
            <w:tcW w:w="2181" w:type="dxa"/>
          </w:tcPr>
          <w:p w:rsidR="002C02D0" w:rsidRPr="00352C84" w:rsidRDefault="00E142D0" w:rsidP="003B0182">
            <w:pPr>
              <w:cnfStyle w:val="000000000000"/>
              <w:rPr>
                <w:rFonts w:ascii="Calibri" w:hAnsi="Calibri"/>
                <w:color w:val="0000FF"/>
                <w:sz w:val="16"/>
                <w:szCs w:val="16"/>
                <w:u w:val="single"/>
              </w:rPr>
            </w:pPr>
            <w:hyperlink r:id="rId9" w:anchor="!documentDetail;D=HHS-OS-2012-0007-0388" w:history="1">
              <w:r w:rsidR="002C02D0" w:rsidRPr="00352C84">
                <w:rPr>
                  <w:rFonts w:ascii="Calibri" w:hAnsi="Calibri"/>
                  <w:color w:val="0000FF"/>
                  <w:sz w:val="16"/>
                  <w:u w:val="single"/>
                </w:rPr>
                <w:t>HHS-OS-2012-0007-0388</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 1</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 </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Crowe Horwath LLP</w:t>
            </w:r>
          </w:p>
        </w:tc>
        <w:tc>
          <w:tcPr>
            <w:tcW w:w="5130" w:type="dxa"/>
          </w:tcPr>
          <w:p w:rsidR="005F7A31" w:rsidRPr="00703CA2" w:rsidRDefault="00754CE4" w:rsidP="005F7A31">
            <w:pPr>
              <w:pStyle w:val="ListParagraph"/>
              <w:numPr>
                <w:ilvl w:val="0"/>
                <w:numId w:val="1"/>
              </w:numPr>
              <w:ind w:left="288" w:hanging="144"/>
              <w:cnfStyle w:val="000000000000"/>
              <w:rPr>
                <w:sz w:val="16"/>
                <w:szCs w:val="16"/>
              </w:rPr>
            </w:pPr>
            <w:r w:rsidRPr="00703CA2">
              <w:rPr>
                <w:sz w:val="16"/>
                <w:szCs w:val="16"/>
              </w:rPr>
              <w:t>Stated that</w:t>
            </w:r>
            <w:r w:rsidR="005F7A31" w:rsidRPr="00703CA2">
              <w:rPr>
                <w:sz w:val="16"/>
                <w:szCs w:val="16"/>
              </w:rPr>
              <w:t xml:space="preserve"> HIPAA Security Rule awareness and training for staff/workforce is appropriate.</w:t>
            </w:r>
          </w:p>
          <w:p w:rsidR="00031F55" w:rsidRPr="00703CA2" w:rsidRDefault="00754CE4" w:rsidP="005F7A31">
            <w:pPr>
              <w:pStyle w:val="ListParagraph"/>
              <w:numPr>
                <w:ilvl w:val="0"/>
                <w:numId w:val="1"/>
              </w:numPr>
              <w:ind w:left="288" w:hanging="144"/>
              <w:cnfStyle w:val="000000000000"/>
              <w:rPr>
                <w:sz w:val="16"/>
                <w:szCs w:val="16"/>
              </w:rPr>
            </w:pPr>
            <w:r w:rsidRPr="00703CA2">
              <w:rPr>
                <w:sz w:val="16"/>
                <w:szCs w:val="16"/>
              </w:rPr>
              <w:t>Suggested</w:t>
            </w:r>
            <w:r w:rsidR="005F7A31" w:rsidRPr="00703CA2">
              <w:rPr>
                <w:sz w:val="16"/>
                <w:szCs w:val="16"/>
              </w:rPr>
              <w:t xml:space="preserve"> adding in a revision to ensure all workforce members are also trained on security awareness and are informed of the various facets of phishing attempts as part of the HIPAA Security Rule training is appropriate.</w:t>
            </w:r>
          </w:p>
          <w:p w:rsidR="005F7A31" w:rsidRPr="00703CA2" w:rsidRDefault="00754CE4" w:rsidP="005F7A31">
            <w:pPr>
              <w:pStyle w:val="ListParagraph"/>
              <w:numPr>
                <w:ilvl w:val="0"/>
                <w:numId w:val="1"/>
              </w:numPr>
              <w:ind w:left="288" w:hanging="144"/>
              <w:cnfStyle w:val="000000000000"/>
              <w:rPr>
                <w:sz w:val="16"/>
                <w:szCs w:val="16"/>
              </w:rPr>
            </w:pPr>
            <w:r w:rsidRPr="00703CA2">
              <w:rPr>
                <w:sz w:val="16"/>
                <w:szCs w:val="16"/>
              </w:rPr>
              <w:t>Stated</w:t>
            </w:r>
            <w:r w:rsidR="00031F55" w:rsidRPr="00703CA2">
              <w:rPr>
                <w:sz w:val="16"/>
                <w:szCs w:val="16"/>
              </w:rPr>
              <w:t xml:space="preserve"> e</w:t>
            </w:r>
            <w:r w:rsidR="005F7A31" w:rsidRPr="00703CA2">
              <w:rPr>
                <w:sz w:val="16"/>
                <w:szCs w:val="16"/>
              </w:rPr>
              <w:t>mployees/</w:t>
            </w:r>
            <w:r w:rsidR="00031F55" w:rsidRPr="00703CA2">
              <w:rPr>
                <w:sz w:val="16"/>
                <w:szCs w:val="16"/>
              </w:rPr>
              <w:t>w</w:t>
            </w:r>
            <w:r w:rsidR="005F7A31" w:rsidRPr="00703CA2">
              <w:rPr>
                <w:sz w:val="16"/>
                <w:szCs w:val="16"/>
              </w:rPr>
              <w:t>orkforce should be trained on how to identify and respond to security incidents</w:t>
            </w:r>
            <w:r w:rsidR="00031F55" w:rsidRPr="00703CA2">
              <w:rPr>
                <w:sz w:val="16"/>
                <w:szCs w:val="16"/>
              </w:rPr>
              <w:t>, including the person(s) in the organization who should be contacted.</w:t>
            </w:r>
          </w:p>
          <w:p w:rsidR="005F7A31" w:rsidRPr="00703CA2" w:rsidRDefault="00754CE4" w:rsidP="005F7A31">
            <w:pPr>
              <w:pStyle w:val="ListParagraph"/>
              <w:numPr>
                <w:ilvl w:val="0"/>
                <w:numId w:val="1"/>
              </w:numPr>
              <w:ind w:left="288" w:hanging="144"/>
              <w:cnfStyle w:val="000000000000"/>
              <w:rPr>
                <w:sz w:val="16"/>
                <w:szCs w:val="16"/>
              </w:rPr>
            </w:pPr>
            <w:r w:rsidRPr="00703CA2">
              <w:rPr>
                <w:sz w:val="16"/>
                <w:szCs w:val="16"/>
              </w:rPr>
              <w:t>Suggested</w:t>
            </w:r>
            <w:r w:rsidR="00031F55" w:rsidRPr="00703CA2">
              <w:rPr>
                <w:sz w:val="16"/>
                <w:szCs w:val="16"/>
              </w:rPr>
              <w:t xml:space="preserve"> that t</w:t>
            </w:r>
            <w:r w:rsidR="005F7A31" w:rsidRPr="00703CA2">
              <w:rPr>
                <w:sz w:val="16"/>
                <w:szCs w:val="16"/>
              </w:rPr>
              <w:t>he</w:t>
            </w:r>
            <w:r w:rsidR="00031F55" w:rsidRPr="00703CA2">
              <w:rPr>
                <w:sz w:val="16"/>
                <w:szCs w:val="16"/>
              </w:rPr>
              <w:t xml:space="preserve"> following are</w:t>
            </w:r>
            <w:r w:rsidR="005F7A31" w:rsidRPr="00703CA2">
              <w:rPr>
                <w:sz w:val="16"/>
                <w:szCs w:val="16"/>
              </w:rPr>
              <w:t xml:space="preserve"> logical next steps </w:t>
            </w:r>
            <w:r w:rsidR="00031F55" w:rsidRPr="00703CA2">
              <w:rPr>
                <w:sz w:val="16"/>
                <w:szCs w:val="16"/>
              </w:rPr>
              <w:t>for inclusion in M</w:t>
            </w:r>
            <w:r w:rsidR="005F7A31" w:rsidRPr="00703CA2">
              <w:rPr>
                <w:sz w:val="16"/>
                <w:szCs w:val="16"/>
              </w:rPr>
              <w:t xml:space="preserve">eaning </w:t>
            </w:r>
            <w:r w:rsidR="00031F55" w:rsidRPr="00703CA2">
              <w:rPr>
                <w:sz w:val="16"/>
                <w:szCs w:val="16"/>
              </w:rPr>
              <w:t>U</w:t>
            </w:r>
            <w:r w:rsidR="005F7A31" w:rsidRPr="00703CA2">
              <w:rPr>
                <w:sz w:val="16"/>
                <w:szCs w:val="16"/>
              </w:rPr>
              <w:t xml:space="preserve">se </w:t>
            </w:r>
            <w:r w:rsidR="00031F55" w:rsidRPr="00703CA2">
              <w:rPr>
                <w:sz w:val="16"/>
                <w:szCs w:val="16"/>
              </w:rPr>
              <w:t xml:space="preserve">(MU) </w:t>
            </w:r>
            <w:r w:rsidR="005F7A31" w:rsidRPr="00703CA2">
              <w:rPr>
                <w:sz w:val="16"/>
                <w:szCs w:val="16"/>
              </w:rPr>
              <w:t>Stage 3:</w:t>
            </w:r>
          </w:p>
          <w:p w:rsidR="005F7A31" w:rsidRPr="00703CA2" w:rsidRDefault="005F7A31" w:rsidP="00031F55">
            <w:pPr>
              <w:pStyle w:val="ListParagraph"/>
              <w:numPr>
                <w:ilvl w:val="0"/>
                <w:numId w:val="4"/>
              </w:numPr>
              <w:cnfStyle w:val="000000000000"/>
              <w:rPr>
                <w:rFonts w:cstheme="minorHAnsi"/>
                <w:sz w:val="16"/>
                <w:szCs w:val="16"/>
              </w:rPr>
            </w:pPr>
            <w:r w:rsidRPr="00703CA2">
              <w:rPr>
                <w:rFonts w:cstheme="minorHAnsi"/>
                <w:sz w:val="16"/>
                <w:szCs w:val="16"/>
              </w:rPr>
              <w:t>Ensuring all EPs/EHs/CAHs implement data backup plans for all EHR/EHR modules.  The data backup plans should also include retention of records per state and federal regulations.</w:t>
            </w:r>
          </w:p>
          <w:p w:rsidR="005F7A31" w:rsidRPr="00703CA2" w:rsidRDefault="00031F55" w:rsidP="00031F55">
            <w:pPr>
              <w:pStyle w:val="ListParagraph"/>
              <w:numPr>
                <w:ilvl w:val="0"/>
                <w:numId w:val="4"/>
              </w:numPr>
              <w:cnfStyle w:val="000000000000"/>
              <w:rPr>
                <w:rFonts w:cstheme="minorHAnsi"/>
                <w:sz w:val="16"/>
                <w:szCs w:val="16"/>
              </w:rPr>
            </w:pPr>
            <w:r w:rsidRPr="00703CA2">
              <w:rPr>
                <w:rFonts w:cstheme="minorHAnsi"/>
                <w:sz w:val="16"/>
                <w:szCs w:val="16"/>
              </w:rPr>
              <w:t>Ensuring a</w:t>
            </w:r>
            <w:r w:rsidR="005F7A31" w:rsidRPr="00703CA2">
              <w:rPr>
                <w:rFonts w:cstheme="minorHAnsi"/>
                <w:sz w:val="16"/>
                <w:szCs w:val="16"/>
              </w:rPr>
              <w:t xml:space="preserve">ll EPs/EHs/CAHs employee/workforce members’ workstations accessing EHRs/EHR </w:t>
            </w:r>
            <w:r w:rsidRPr="00703CA2">
              <w:rPr>
                <w:rFonts w:cstheme="minorHAnsi"/>
                <w:sz w:val="16"/>
                <w:szCs w:val="16"/>
              </w:rPr>
              <w:t xml:space="preserve">modules are </w:t>
            </w:r>
            <w:r w:rsidR="005F7A31" w:rsidRPr="00703CA2">
              <w:rPr>
                <w:rFonts w:cstheme="minorHAnsi"/>
                <w:sz w:val="16"/>
                <w:szCs w:val="16"/>
              </w:rPr>
              <w:t xml:space="preserve">running antivirus/malware/spyware, firewall and/or HIPS and are </w:t>
            </w:r>
            <w:r w:rsidRPr="00703CA2">
              <w:rPr>
                <w:rFonts w:cstheme="minorHAnsi"/>
                <w:sz w:val="16"/>
                <w:szCs w:val="16"/>
              </w:rPr>
              <w:t>part of</w:t>
            </w:r>
            <w:r w:rsidR="005F7A31" w:rsidRPr="00703CA2">
              <w:rPr>
                <w:rFonts w:cstheme="minorHAnsi"/>
                <w:sz w:val="16"/>
                <w:szCs w:val="16"/>
              </w:rPr>
              <w:t xml:space="preserve"> the </w:t>
            </w:r>
            <w:r w:rsidRPr="00703CA2">
              <w:rPr>
                <w:rFonts w:cstheme="minorHAnsi"/>
                <w:sz w:val="16"/>
                <w:szCs w:val="16"/>
              </w:rPr>
              <w:t>entity</w:t>
            </w:r>
            <w:r w:rsidR="005F7A31" w:rsidRPr="00703CA2">
              <w:rPr>
                <w:rFonts w:cstheme="minorHAnsi"/>
                <w:sz w:val="16"/>
                <w:szCs w:val="16"/>
              </w:rPr>
              <w:t>’s patch management solution to ensure these endpoint devices are protected from malicious content.</w:t>
            </w:r>
          </w:p>
          <w:p w:rsidR="00031F55" w:rsidRPr="00703CA2" w:rsidRDefault="00031F55" w:rsidP="00BB59E6">
            <w:pPr>
              <w:pStyle w:val="ListParagraph"/>
              <w:numPr>
                <w:ilvl w:val="0"/>
                <w:numId w:val="4"/>
              </w:numPr>
              <w:cnfStyle w:val="000000000000"/>
              <w:rPr>
                <w:sz w:val="16"/>
                <w:szCs w:val="16"/>
              </w:rPr>
            </w:pPr>
            <w:r w:rsidRPr="00703CA2">
              <w:rPr>
                <w:rFonts w:cstheme="minorHAnsi"/>
                <w:sz w:val="16"/>
                <w:szCs w:val="16"/>
              </w:rPr>
              <w:t>Ensuring a</w:t>
            </w:r>
            <w:r w:rsidR="005F7A31" w:rsidRPr="00703CA2">
              <w:rPr>
                <w:rFonts w:cstheme="minorHAnsi"/>
                <w:sz w:val="16"/>
                <w:szCs w:val="16"/>
              </w:rPr>
              <w:t xml:space="preserve">ll EPs/EHs/CAHs employee/workforce members’ laptop/mobile devices accessing EHR/EHR modules </w:t>
            </w:r>
            <w:r w:rsidRPr="00703CA2">
              <w:rPr>
                <w:rFonts w:cstheme="minorHAnsi"/>
                <w:sz w:val="16"/>
                <w:szCs w:val="16"/>
              </w:rPr>
              <w:t>include</w:t>
            </w:r>
            <w:r w:rsidR="005F7A31" w:rsidRPr="00703CA2">
              <w:rPr>
                <w:rFonts w:cstheme="minorHAnsi"/>
                <w:sz w:val="16"/>
                <w:szCs w:val="16"/>
              </w:rPr>
              <w:t xml:space="preserve"> full-disk encryption to protect against the loss of data in the event of a theft or loss of device.</w:t>
            </w:r>
          </w:p>
        </w:tc>
      </w:tr>
      <w:tr w:rsidR="002C02D0" w:rsidRPr="00352C84" w:rsidTr="00DB12DB">
        <w:trPr>
          <w:cnfStyle w:val="000000100000"/>
          <w:cantSplit/>
        </w:trPr>
        <w:tc>
          <w:tcPr>
            <w:cnfStyle w:val="001000000000"/>
            <w:tcW w:w="537" w:type="dxa"/>
          </w:tcPr>
          <w:p w:rsidR="002C02D0" w:rsidRPr="00352C84" w:rsidRDefault="002C02D0" w:rsidP="002B70A0">
            <w:r w:rsidRPr="00352C84">
              <w:lastRenderedPageBreak/>
              <w:t>3</w:t>
            </w:r>
          </w:p>
        </w:tc>
        <w:tc>
          <w:tcPr>
            <w:tcW w:w="2181" w:type="dxa"/>
          </w:tcPr>
          <w:p w:rsidR="002C02D0" w:rsidRPr="00352C84" w:rsidRDefault="00E142D0" w:rsidP="003B0182">
            <w:pPr>
              <w:cnfStyle w:val="000000100000"/>
              <w:rPr>
                <w:rFonts w:ascii="Calibri" w:hAnsi="Calibri"/>
                <w:color w:val="0000FF"/>
                <w:sz w:val="16"/>
                <w:szCs w:val="16"/>
                <w:u w:val="single"/>
              </w:rPr>
            </w:pPr>
            <w:hyperlink r:id="rId10" w:anchor="!documentDetail;D=HHS-OS-2012-0007-0397" w:history="1">
              <w:r w:rsidR="002C02D0" w:rsidRPr="00352C84">
                <w:rPr>
                  <w:rFonts w:ascii="Calibri" w:hAnsi="Calibri"/>
                  <w:color w:val="0000FF"/>
                  <w:sz w:val="16"/>
                  <w:u w:val="single"/>
                </w:rPr>
                <w:t>HHS-OS-2012-0007-0397</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 12</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Alice Borrelli</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Intel Corporation</w:t>
            </w:r>
          </w:p>
        </w:tc>
        <w:tc>
          <w:tcPr>
            <w:tcW w:w="5130" w:type="dxa"/>
          </w:tcPr>
          <w:p w:rsidR="001E38DD" w:rsidRPr="00703CA2" w:rsidRDefault="00AF3179" w:rsidP="003B0182">
            <w:pPr>
              <w:pStyle w:val="ListParagraph"/>
              <w:numPr>
                <w:ilvl w:val="0"/>
                <w:numId w:val="1"/>
              </w:numPr>
              <w:ind w:left="288" w:hanging="144"/>
              <w:cnfStyle w:val="000000100000"/>
              <w:rPr>
                <w:rFonts w:cstheme="minorHAnsi"/>
                <w:sz w:val="16"/>
                <w:szCs w:val="16"/>
              </w:rPr>
            </w:pPr>
            <w:r w:rsidRPr="00703CA2">
              <w:rPr>
                <w:rFonts w:cstheme="minorHAnsi"/>
                <w:sz w:val="16"/>
                <w:szCs w:val="16"/>
              </w:rPr>
              <w:t xml:space="preserve">Commented </w:t>
            </w:r>
            <w:r w:rsidR="001E38DD" w:rsidRPr="00703CA2">
              <w:rPr>
                <w:rFonts w:cstheme="minorHAnsi"/>
                <w:sz w:val="16"/>
                <w:szCs w:val="16"/>
              </w:rPr>
              <w:t>that s</w:t>
            </w:r>
            <w:r w:rsidR="00BE4399" w:rsidRPr="00703CA2">
              <w:rPr>
                <w:rFonts w:cstheme="minorHAnsi"/>
                <w:sz w:val="16"/>
                <w:szCs w:val="16"/>
              </w:rPr>
              <w:t>ocial media and mobile devices</w:t>
            </w:r>
            <w:r w:rsidR="001E38DD" w:rsidRPr="00703CA2">
              <w:rPr>
                <w:rFonts w:cstheme="minorHAnsi"/>
                <w:sz w:val="16"/>
                <w:szCs w:val="16"/>
              </w:rPr>
              <w:t>, including trends such as Bring Your Own Device (BYOD) empower healthcare workers.</w:t>
            </w:r>
          </w:p>
          <w:p w:rsidR="002C02D0" w:rsidRPr="00703CA2" w:rsidRDefault="00CF6C26" w:rsidP="003B0182">
            <w:pPr>
              <w:pStyle w:val="ListParagraph"/>
              <w:numPr>
                <w:ilvl w:val="0"/>
                <w:numId w:val="1"/>
              </w:numPr>
              <w:ind w:left="288" w:hanging="144"/>
              <w:cnfStyle w:val="000000100000"/>
              <w:rPr>
                <w:rFonts w:cstheme="minorHAnsi"/>
                <w:sz w:val="16"/>
                <w:szCs w:val="16"/>
              </w:rPr>
            </w:pPr>
            <w:r w:rsidRPr="00703CA2">
              <w:rPr>
                <w:rFonts w:cstheme="minorHAnsi"/>
                <w:sz w:val="16"/>
                <w:szCs w:val="16"/>
              </w:rPr>
              <w:t>Stated</w:t>
            </w:r>
            <w:r w:rsidR="00BB59E6" w:rsidRPr="00703CA2">
              <w:rPr>
                <w:rFonts w:cstheme="minorHAnsi"/>
                <w:sz w:val="16"/>
                <w:szCs w:val="16"/>
              </w:rPr>
              <w:t xml:space="preserve"> that</w:t>
            </w:r>
            <w:r w:rsidR="001E38DD" w:rsidRPr="00703CA2">
              <w:rPr>
                <w:rFonts w:cstheme="minorHAnsi"/>
                <w:sz w:val="16"/>
                <w:szCs w:val="16"/>
              </w:rPr>
              <w:t xml:space="preserve"> social media and mobile devices (including BOYD) present significant privacy and security risks, such </w:t>
            </w:r>
            <w:r w:rsidR="00BB59E6" w:rsidRPr="00703CA2">
              <w:rPr>
                <w:rFonts w:cstheme="minorHAnsi"/>
                <w:sz w:val="16"/>
                <w:szCs w:val="16"/>
              </w:rPr>
              <w:t>as:</w:t>
            </w:r>
          </w:p>
          <w:p w:rsidR="001E38DD" w:rsidRPr="00703CA2" w:rsidRDefault="001E38DD" w:rsidP="001E38DD">
            <w:pPr>
              <w:pStyle w:val="ListParagraph"/>
              <w:numPr>
                <w:ilvl w:val="0"/>
                <w:numId w:val="4"/>
              </w:numPr>
              <w:cnfStyle w:val="000000100000"/>
              <w:rPr>
                <w:rFonts w:cstheme="minorHAnsi"/>
                <w:sz w:val="16"/>
                <w:szCs w:val="16"/>
              </w:rPr>
            </w:pPr>
            <w:r w:rsidRPr="00703CA2">
              <w:rPr>
                <w:rFonts w:cstheme="minorHAnsi"/>
                <w:sz w:val="16"/>
                <w:szCs w:val="16"/>
              </w:rPr>
              <w:t>Confidentiality of PHI as it moves through unsecured channels, for example unencrypted patient information exchanged through file transfer applications or texted between healthcare providers</w:t>
            </w:r>
            <w:r w:rsidR="001A7757">
              <w:rPr>
                <w:rFonts w:cstheme="minorHAnsi"/>
                <w:sz w:val="16"/>
                <w:szCs w:val="16"/>
              </w:rPr>
              <w:t>.</w:t>
            </w:r>
          </w:p>
          <w:p w:rsidR="001E38DD" w:rsidRPr="00703CA2" w:rsidRDefault="001E38DD" w:rsidP="001E38DD">
            <w:pPr>
              <w:pStyle w:val="ListParagraph"/>
              <w:numPr>
                <w:ilvl w:val="0"/>
                <w:numId w:val="4"/>
              </w:numPr>
              <w:cnfStyle w:val="000000100000"/>
              <w:rPr>
                <w:rFonts w:cstheme="minorHAnsi"/>
                <w:sz w:val="16"/>
                <w:szCs w:val="16"/>
              </w:rPr>
            </w:pPr>
            <w:r w:rsidRPr="00703CA2">
              <w:rPr>
                <w:rFonts w:cstheme="minorHAnsi"/>
                <w:sz w:val="16"/>
                <w:szCs w:val="16"/>
              </w:rPr>
              <w:t>Integrity (completeness) of patient information as the exchange of healthcare information out-of-band with the EHR through workarounds like this generally does not result in updates to the patient record, causing the patient record to become incomplete.</w:t>
            </w:r>
          </w:p>
          <w:p w:rsidR="009C7D87" w:rsidRPr="00703CA2" w:rsidRDefault="001E38DD" w:rsidP="00901265">
            <w:pPr>
              <w:pStyle w:val="ListParagraph"/>
              <w:numPr>
                <w:ilvl w:val="0"/>
                <w:numId w:val="1"/>
              </w:numPr>
              <w:ind w:left="288" w:hanging="144"/>
              <w:cnfStyle w:val="000000100000"/>
              <w:rPr>
                <w:rFonts w:cstheme="minorHAnsi"/>
                <w:sz w:val="16"/>
                <w:szCs w:val="16"/>
              </w:rPr>
            </w:pPr>
            <w:r w:rsidRPr="00703CA2">
              <w:rPr>
                <w:rFonts w:cstheme="minorHAnsi"/>
                <w:sz w:val="16"/>
                <w:szCs w:val="16"/>
              </w:rPr>
              <w:t>Su</w:t>
            </w:r>
            <w:r w:rsidR="00CF6C26" w:rsidRPr="00703CA2">
              <w:rPr>
                <w:rFonts w:cstheme="minorHAnsi"/>
                <w:sz w:val="16"/>
                <w:szCs w:val="16"/>
              </w:rPr>
              <w:t>ggested</w:t>
            </w:r>
            <w:r w:rsidR="009C7D87" w:rsidRPr="00703CA2">
              <w:rPr>
                <w:rFonts w:cstheme="minorHAnsi"/>
                <w:sz w:val="16"/>
                <w:szCs w:val="16"/>
              </w:rPr>
              <w:t xml:space="preserve"> security solutions must be usable to avoid use of alternatives and workarounds, which can bring additional risk</w:t>
            </w:r>
            <w:r w:rsidR="00901265" w:rsidRPr="00703CA2">
              <w:rPr>
                <w:rFonts w:cstheme="minorHAnsi"/>
                <w:sz w:val="16"/>
                <w:szCs w:val="16"/>
              </w:rPr>
              <w:t>.</w:t>
            </w:r>
          </w:p>
          <w:p w:rsidR="009C7D87" w:rsidRPr="00703CA2" w:rsidRDefault="00CF6C26" w:rsidP="00901265">
            <w:pPr>
              <w:pStyle w:val="ListParagraph"/>
              <w:numPr>
                <w:ilvl w:val="0"/>
                <w:numId w:val="1"/>
              </w:numPr>
              <w:ind w:left="288" w:hanging="144"/>
              <w:cnfStyle w:val="000000100000"/>
              <w:rPr>
                <w:rFonts w:cstheme="minorHAnsi"/>
                <w:sz w:val="16"/>
                <w:szCs w:val="16"/>
              </w:rPr>
            </w:pPr>
            <w:r w:rsidRPr="00703CA2">
              <w:rPr>
                <w:rFonts w:cstheme="minorHAnsi"/>
                <w:sz w:val="16"/>
                <w:szCs w:val="16"/>
              </w:rPr>
              <w:t>Stated that</w:t>
            </w:r>
            <w:r w:rsidR="009C7D87" w:rsidRPr="00703CA2">
              <w:rPr>
                <w:rFonts w:cstheme="minorHAnsi"/>
                <w:sz w:val="16"/>
                <w:szCs w:val="16"/>
              </w:rPr>
              <w:t xml:space="preserve"> hardware assisted security plays a key role in improving the usability in healthcare security solutions, for example hardware accelerated</w:t>
            </w:r>
            <w:r w:rsidR="00901265" w:rsidRPr="00703CA2">
              <w:rPr>
                <w:rFonts w:cstheme="minorHAnsi"/>
                <w:sz w:val="16"/>
                <w:szCs w:val="16"/>
              </w:rPr>
              <w:t xml:space="preserve"> </w:t>
            </w:r>
            <w:r w:rsidR="009C7D87" w:rsidRPr="00703CA2">
              <w:rPr>
                <w:rFonts w:cstheme="minorHAnsi"/>
                <w:sz w:val="16"/>
                <w:szCs w:val="16"/>
              </w:rPr>
              <w:t>encryption</w:t>
            </w:r>
            <w:r w:rsidR="00901265" w:rsidRPr="00703CA2">
              <w:rPr>
                <w:rFonts w:cstheme="minorHAnsi"/>
                <w:sz w:val="16"/>
                <w:szCs w:val="16"/>
              </w:rPr>
              <w:t>.</w:t>
            </w:r>
          </w:p>
          <w:p w:rsidR="00EA2174" w:rsidRPr="00703CA2" w:rsidRDefault="00CF6C26" w:rsidP="00EA2174">
            <w:pPr>
              <w:pStyle w:val="ListParagraph"/>
              <w:numPr>
                <w:ilvl w:val="0"/>
                <w:numId w:val="1"/>
              </w:numPr>
              <w:ind w:left="288" w:hanging="144"/>
              <w:cnfStyle w:val="000000100000"/>
              <w:rPr>
                <w:rFonts w:cstheme="minorHAnsi"/>
                <w:sz w:val="16"/>
                <w:szCs w:val="16"/>
              </w:rPr>
            </w:pPr>
            <w:r w:rsidRPr="00703CA2">
              <w:rPr>
                <w:rFonts w:cstheme="minorHAnsi"/>
                <w:sz w:val="16"/>
                <w:szCs w:val="16"/>
              </w:rPr>
              <w:t>Suggested</w:t>
            </w:r>
            <w:r w:rsidR="00EA2174" w:rsidRPr="00703CA2">
              <w:rPr>
                <w:rFonts w:cstheme="minorHAnsi"/>
                <w:sz w:val="16"/>
                <w:szCs w:val="16"/>
              </w:rPr>
              <w:t xml:space="preserve"> that </w:t>
            </w:r>
            <w:r w:rsidR="00901265" w:rsidRPr="00703CA2">
              <w:rPr>
                <w:rFonts w:cstheme="minorHAnsi"/>
                <w:sz w:val="16"/>
                <w:szCs w:val="16"/>
              </w:rPr>
              <w:t>healthcare organizations implement</w:t>
            </w:r>
            <w:r w:rsidR="00EA2174" w:rsidRPr="00703CA2">
              <w:rPr>
                <w:rFonts w:cstheme="minorHAnsi"/>
                <w:sz w:val="16"/>
                <w:szCs w:val="16"/>
              </w:rPr>
              <w:t xml:space="preserve"> </w:t>
            </w:r>
            <w:r w:rsidR="00901265" w:rsidRPr="00703CA2">
              <w:rPr>
                <w:rFonts w:cstheme="minorHAnsi"/>
                <w:sz w:val="16"/>
                <w:szCs w:val="16"/>
              </w:rPr>
              <w:t>effective administrative security controls including policy, procedures,</w:t>
            </w:r>
            <w:r w:rsidR="00EA2174" w:rsidRPr="00703CA2">
              <w:rPr>
                <w:rFonts w:cstheme="minorHAnsi"/>
                <w:sz w:val="16"/>
                <w:szCs w:val="16"/>
              </w:rPr>
              <w:t xml:space="preserve"> </w:t>
            </w:r>
            <w:r w:rsidR="00901265" w:rsidRPr="00703CA2">
              <w:rPr>
                <w:rFonts w:cstheme="minorHAnsi"/>
                <w:sz w:val="16"/>
                <w:szCs w:val="16"/>
              </w:rPr>
              <w:t>risk assessment, and training, with key emphasis placed on effective</w:t>
            </w:r>
            <w:r w:rsidR="00EA2174" w:rsidRPr="00703CA2">
              <w:rPr>
                <w:rFonts w:cstheme="minorHAnsi"/>
                <w:sz w:val="16"/>
                <w:szCs w:val="16"/>
              </w:rPr>
              <w:t xml:space="preserve"> </w:t>
            </w:r>
            <w:r w:rsidR="00901265" w:rsidRPr="00703CA2">
              <w:rPr>
                <w:rFonts w:cstheme="minorHAnsi"/>
                <w:sz w:val="16"/>
                <w:szCs w:val="16"/>
              </w:rPr>
              <w:t>training.</w:t>
            </w:r>
          </w:p>
          <w:p w:rsidR="00EA2174" w:rsidRPr="00703CA2" w:rsidRDefault="00CF6C26" w:rsidP="00BB59E6">
            <w:pPr>
              <w:pStyle w:val="ListParagraph"/>
              <w:numPr>
                <w:ilvl w:val="0"/>
                <w:numId w:val="1"/>
              </w:numPr>
              <w:ind w:left="288" w:hanging="144"/>
              <w:cnfStyle w:val="000000100000"/>
              <w:rPr>
                <w:rFonts w:cstheme="minorHAnsi"/>
                <w:sz w:val="16"/>
                <w:szCs w:val="16"/>
              </w:rPr>
            </w:pPr>
            <w:r w:rsidRPr="00703CA2">
              <w:rPr>
                <w:rFonts w:cstheme="minorHAnsi"/>
                <w:sz w:val="16"/>
                <w:szCs w:val="16"/>
              </w:rPr>
              <w:t>Stated that</w:t>
            </w:r>
            <w:r w:rsidR="00EA2174" w:rsidRPr="00703CA2">
              <w:rPr>
                <w:rFonts w:cstheme="minorHAnsi"/>
                <w:sz w:val="16"/>
                <w:szCs w:val="16"/>
              </w:rPr>
              <w:t xml:space="preserve"> </w:t>
            </w:r>
            <w:r w:rsidR="00901265" w:rsidRPr="00703CA2">
              <w:rPr>
                <w:rFonts w:cstheme="minorHAnsi"/>
                <w:sz w:val="16"/>
                <w:szCs w:val="16"/>
              </w:rPr>
              <w:t>training needs to go beyond traditional “once-a-year”</w:t>
            </w:r>
            <w:r w:rsidR="00EA2174" w:rsidRPr="00703CA2">
              <w:rPr>
                <w:rFonts w:cstheme="minorHAnsi"/>
                <w:sz w:val="16"/>
                <w:szCs w:val="16"/>
              </w:rPr>
              <w:t xml:space="preserve"> </w:t>
            </w:r>
            <w:r w:rsidR="00901265" w:rsidRPr="00703CA2">
              <w:rPr>
                <w:rFonts w:cstheme="minorHAnsi"/>
                <w:sz w:val="16"/>
                <w:szCs w:val="16"/>
              </w:rPr>
              <w:t>security awareness training, and provide timely, well targeted security</w:t>
            </w:r>
            <w:r w:rsidR="00EA2174" w:rsidRPr="00703CA2">
              <w:rPr>
                <w:rFonts w:cstheme="minorHAnsi"/>
                <w:sz w:val="16"/>
                <w:szCs w:val="16"/>
              </w:rPr>
              <w:t xml:space="preserve"> </w:t>
            </w:r>
            <w:r w:rsidR="00901265" w:rsidRPr="00703CA2">
              <w:rPr>
                <w:rFonts w:cstheme="minorHAnsi"/>
                <w:sz w:val="16"/>
                <w:szCs w:val="16"/>
              </w:rPr>
              <w:t>training to healthcare workers when they need it.</w:t>
            </w:r>
            <w:r w:rsidR="00EA2174" w:rsidRPr="00703CA2">
              <w:rPr>
                <w:rFonts w:cstheme="minorHAnsi"/>
                <w:sz w:val="16"/>
                <w:szCs w:val="16"/>
              </w:rPr>
              <w:t xml:space="preserve">  For example, if a healthcare worker tries to copy unencrypted healthcare information to a USB stick, out of compliance with the healthcare policy, a DLP solution should alert and provide training to the healthcare worker to avoid a breach and recurrence.</w:t>
            </w:r>
          </w:p>
        </w:tc>
      </w:tr>
      <w:tr w:rsidR="002C02D0" w:rsidRPr="00703CA2" w:rsidTr="00DB12DB">
        <w:trPr>
          <w:cantSplit/>
        </w:trPr>
        <w:tc>
          <w:tcPr>
            <w:cnfStyle w:val="001000000000"/>
            <w:tcW w:w="537" w:type="dxa"/>
          </w:tcPr>
          <w:p w:rsidR="002C02D0" w:rsidRPr="00352C84" w:rsidRDefault="002C02D0" w:rsidP="002B70A0">
            <w:r w:rsidRPr="00352C84">
              <w:t>4</w:t>
            </w:r>
          </w:p>
        </w:tc>
        <w:tc>
          <w:tcPr>
            <w:tcW w:w="2181" w:type="dxa"/>
          </w:tcPr>
          <w:p w:rsidR="002C02D0" w:rsidRPr="00352C84" w:rsidRDefault="00E142D0" w:rsidP="003B0182">
            <w:pPr>
              <w:cnfStyle w:val="000000000000"/>
              <w:rPr>
                <w:rFonts w:ascii="Calibri" w:hAnsi="Calibri"/>
                <w:color w:val="0000FF"/>
                <w:sz w:val="16"/>
                <w:szCs w:val="16"/>
                <w:u w:val="single"/>
              </w:rPr>
            </w:pPr>
            <w:hyperlink r:id="rId11" w:anchor="!documentDetail;D=HHS-OS-2012-0007-0425" w:history="1">
              <w:r w:rsidR="002C02D0" w:rsidRPr="00352C84">
                <w:rPr>
                  <w:rFonts w:ascii="Calibri" w:hAnsi="Calibri"/>
                  <w:color w:val="0000FF"/>
                  <w:sz w:val="16"/>
                  <w:u w:val="single"/>
                </w:rPr>
                <w:t>HHS-OS-2012-0007-0425</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 14</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Willa Fields, Stephen Lieber</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HIMSS</w:t>
            </w:r>
          </w:p>
        </w:tc>
        <w:tc>
          <w:tcPr>
            <w:tcW w:w="5130" w:type="dxa"/>
          </w:tcPr>
          <w:p w:rsidR="002C02D0" w:rsidRPr="00703CA2" w:rsidRDefault="00CF6C26" w:rsidP="003B0182">
            <w:pPr>
              <w:pStyle w:val="ListParagraph"/>
              <w:numPr>
                <w:ilvl w:val="0"/>
                <w:numId w:val="1"/>
              </w:numPr>
              <w:ind w:left="288" w:hanging="144"/>
              <w:cnfStyle w:val="000000000000"/>
              <w:rPr>
                <w:rFonts w:cstheme="minorHAnsi"/>
                <w:sz w:val="16"/>
                <w:szCs w:val="16"/>
              </w:rPr>
            </w:pPr>
            <w:r w:rsidRPr="00703CA2">
              <w:rPr>
                <w:rFonts w:cstheme="minorHAnsi"/>
                <w:sz w:val="16"/>
                <w:szCs w:val="16"/>
              </w:rPr>
              <w:t>Agreed</w:t>
            </w:r>
            <w:r w:rsidR="00E550FE" w:rsidRPr="00703CA2">
              <w:rPr>
                <w:rFonts w:cstheme="minorHAnsi"/>
                <w:sz w:val="16"/>
                <w:szCs w:val="16"/>
              </w:rPr>
              <w:t xml:space="preserve"> that the “human element” – employee security awareness and organizational culture are important indicators of an entity’s ability to protect information.</w:t>
            </w:r>
          </w:p>
          <w:p w:rsidR="00E550FE" w:rsidRPr="00703CA2" w:rsidRDefault="00CF6C26" w:rsidP="003B0182">
            <w:pPr>
              <w:pStyle w:val="ListParagraph"/>
              <w:numPr>
                <w:ilvl w:val="0"/>
                <w:numId w:val="1"/>
              </w:numPr>
              <w:ind w:left="288" w:hanging="144"/>
              <w:cnfStyle w:val="000000000000"/>
              <w:rPr>
                <w:rFonts w:cstheme="minorHAnsi"/>
                <w:sz w:val="16"/>
                <w:szCs w:val="16"/>
              </w:rPr>
            </w:pPr>
            <w:r w:rsidRPr="00703CA2">
              <w:rPr>
                <w:rFonts w:cstheme="minorHAnsi"/>
                <w:sz w:val="16"/>
                <w:szCs w:val="16"/>
              </w:rPr>
              <w:t>Suggested</w:t>
            </w:r>
            <w:r w:rsidR="00E550FE" w:rsidRPr="00703CA2">
              <w:rPr>
                <w:rFonts w:cstheme="minorHAnsi"/>
                <w:sz w:val="16"/>
                <w:szCs w:val="16"/>
              </w:rPr>
              <w:t xml:space="preserve"> requiring attestation </w:t>
            </w:r>
            <w:r w:rsidR="004C02C1" w:rsidRPr="00703CA2">
              <w:rPr>
                <w:rFonts w:cstheme="minorHAnsi"/>
                <w:sz w:val="16"/>
                <w:szCs w:val="16"/>
              </w:rPr>
              <w:t>for</w:t>
            </w:r>
            <w:r w:rsidR="00E550FE" w:rsidRPr="00703CA2">
              <w:rPr>
                <w:rFonts w:cstheme="minorHAnsi"/>
                <w:sz w:val="16"/>
                <w:szCs w:val="16"/>
              </w:rPr>
              <w:t xml:space="preserve"> awareness </w:t>
            </w:r>
            <w:r w:rsidR="004C02C1" w:rsidRPr="00703CA2">
              <w:rPr>
                <w:rFonts w:cstheme="minorHAnsi"/>
                <w:sz w:val="16"/>
                <w:szCs w:val="16"/>
              </w:rPr>
              <w:t>as part of</w:t>
            </w:r>
            <w:r w:rsidR="00E550FE" w:rsidRPr="00703CA2">
              <w:rPr>
                <w:rFonts w:cstheme="minorHAnsi"/>
                <w:sz w:val="16"/>
                <w:szCs w:val="16"/>
              </w:rPr>
              <w:t xml:space="preserve"> the environment, training, and sanctions.</w:t>
            </w:r>
          </w:p>
          <w:p w:rsidR="00E550FE" w:rsidRPr="00703CA2" w:rsidRDefault="00CF6C26" w:rsidP="003B0182">
            <w:pPr>
              <w:pStyle w:val="ListParagraph"/>
              <w:numPr>
                <w:ilvl w:val="0"/>
                <w:numId w:val="1"/>
              </w:numPr>
              <w:ind w:left="288" w:hanging="144"/>
              <w:cnfStyle w:val="000000000000"/>
              <w:rPr>
                <w:rFonts w:cstheme="minorHAnsi"/>
                <w:sz w:val="16"/>
                <w:szCs w:val="16"/>
              </w:rPr>
            </w:pPr>
            <w:r w:rsidRPr="00703CA2">
              <w:rPr>
                <w:rFonts w:cstheme="minorHAnsi"/>
                <w:sz w:val="16"/>
                <w:szCs w:val="16"/>
              </w:rPr>
              <w:t>Recommended</w:t>
            </w:r>
            <w:r w:rsidR="00E550FE" w:rsidRPr="00703CA2">
              <w:rPr>
                <w:rFonts w:cstheme="minorHAnsi"/>
                <w:sz w:val="16"/>
                <w:szCs w:val="16"/>
              </w:rPr>
              <w:t xml:space="preserve"> requiring that data stored on removable media be encrypted when outside protected environments</w:t>
            </w:r>
            <w:r w:rsidR="001A7757">
              <w:rPr>
                <w:rFonts w:cstheme="minorHAnsi"/>
                <w:sz w:val="16"/>
                <w:szCs w:val="16"/>
              </w:rPr>
              <w:t>.</w:t>
            </w:r>
          </w:p>
          <w:p w:rsidR="00E550FE" w:rsidRPr="00703CA2" w:rsidRDefault="00CF6C26" w:rsidP="003B0182">
            <w:pPr>
              <w:pStyle w:val="ListParagraph"/>
              <w:numPr>
                <w:ilvl w:val="0"/>
                <w:numId w:val="1"/>
              </w:numPr>
              <w:ind w:left="288" w:hanging="144"/>
              <w:cnfStyle w:val="000000000000"/>
              <w:rPr>
                <w:rFonts w:cstheme="minorHAnsi"/>
                <w:sz w:val="16"/>
                <w:szCs w:val="16"/>
              </w:rPr>
            </w:pPr>
            <w:r w:rsidRPr="00703CA2">
              <w:rPr>
                <w:rFonts w:cstheme="minorHAnsi"/>
                <w:sz w:val="16"/>
                <w:szCs w:val="16"/>
              </w:rPr>
              <w:t>Recommended</w:t>
            </w:r>
            <w:r w:rsidR="00E550FE" w:rsidRPr="00703CA2">
              <w:rPr>
                <w:rFonts w:cstheme="minorHAnsi"/>
                <w:sz w:val="16"/>
                <w:szCs w:val="16"/>
              </w:rPr>
              <w:t xml:space="preserve"> that portable devices (laptops) have full-disc encryption.</w:t>
            </w:r>
          </w:p>
          <w:p w:rsidR="00E550FE" w:rsidRPr="00703CA2" w:rsidRDefault="00CF6C26" w:rsidP="003B0182">
            <w:pPr>
              <w:pStyle w:val="ListParagraph"/>
              <w:numPr>
                <w:ilvl w:val="0"/>
                <w:numId w:val="1"/>
              </w:numPr>
              <w:ind w:left="288" w:hanging="144"/>
              <w:cnfStyle w:val="000000000000"/>
              <w:rPr>
                <w:rFonts w:cstheme="minorHAnsi"/>
                <w:sz w:val="16"/>
                <w:szCs w:val="16"/>
              </w:rPr>
            </w:pPr>
            <w:r w:rsidRPr="00703CA2">
              <w:rPr>
                <w:rFonts w:cstheme="minorHAnsi"/>
                <w:sz w:val="16"/>
                <w:szCs w:val="16"/>
              </w:rPr>
              <w:t>Recommended</w:t>
            </w:r>
            <w:r w:rsidR="00E550FE" w:rsidRPr="00703CA2">
              <w:rPr>
                <w:rFonts w:cstheme="minorHAnsi"/>
                <w:sz w:val="16"/>
                <w:szCs w:val="16"/>
              </w:rPr>
              <w:t xml:space="preserve"> policies and procedures to prohibit local storage of PHI</w:t>
            </w:r>
            <w:r w:rsidR="004C02C1" w:rsidRPr="00703CA2">
              <w:rPr>
                <w:rFonts w:cstheme="minorHAnsi"/>
                <w:sz w:val="16"/>
                <w:szCs w:val="16"/>
              </w:rPr>
              <w:t>.</w:t>
            </w:r>
          </w:p>
          <w:p w:rsidR="00E550FE" w:rsidRPr="00703CA2" w:rsidRDefault="00CF6C26" w:rsidP="00BB59E6">
            <w:pPr>
              <w:pStyle w:val="ListParagraph"/>
              <w:numPr>
                <w:ilvl w:val="0"/>
                <w:numId w:val="1"/>
              </w:numPr>
              <w:ind w:left="288" w:hanging="144"/>
              <w:cnfStyle w:val="000000000000"/>
              <w:rPr>
                <w:rFonts w:cstheme="minorHAnsi"/>
                <w:sz w:val="16"/>
                <w:szCs w:val="16"/>
              </w:rPr>
            </w:pPr>
            <w:r w:rsidRPr="00703CA2">
              <w:rPr>
                <w:rFonts w:cstheme="minorHAnsi"/>
                <w:sz w:val="16"/>
                <w:szCs w:val="16"/>
              </w:rPr>
              <w:t>Suggested</w:t>
            </w:r>
            <w:r w:rsidR="00E550FE" w:rsidRPr="00703CA2">
              <w:rPr>
                <w:rFonts w:cstheme="minorHAnsi"/>
                <w:sz w:val="16"/>
                <w:szCs w:val="16"/>
              </w:rPr>
              <w:t xml:space="preserve"> that if such storage is important for specific users or the clinical workflow in any regard, then security controls (technical, administrative and physical) should be identified so that the risk to PHI is adequately mitigated.</w:t>
            </w:r>
          </w:p>
        </w:tc>
      </w:tr>
      <w:tr w:rsidR="002C02D0" w:rsidRPr="00352C84" w:rsidTr="00DB12DB">
        <w:trPr>
          <w:cnfStyle w:val="000000100000"/>
          <w:cantSplit/>
        </w:trPr>
        <w:tc>
          <w:tcPr>
            <w:cnfStyle w:val="001000000000"/>
            <w:tcW w:w="537" w:type="dxa"/>
          </w:tcPr>
          <w:p w:rsidR="002C02D0" w:rsidRPr="00352C84" w:rsidRDefault="002C02D0" w:rsidP="002B70A0">
            <w:r w:rsidRPr="00352C84">
              <w:lastRenderedPageBreak/>
              <w:t>5</w:t>
            </w:r>
          </w:p>
        </w:tc>
        <w:tc>
          <w:tcPr>
            <w:tcW w:w="2181" w:type="dxa"/>
          </w:tcPr>
          <w:p w:rsidR="002C02D0" w:rsidRPr="00352C84" w:rsidRDefault="00E142D0" w:rsidP="003B0182">
            <w:pPr>
              <w:cnfStyle w:val="000000100000"/>
              <w:rPr>
                <w:rFonts w:ascii="Calibri" w:hAnsi="Calibri"/>
                <w:color w:val="0000FF"/>
                <w:sz w:val="16"/>
                <w:szCs w:val="16"/>
                <w:u w:val="single"/>
              </w:rPr>
            </w:pPr>
            <w:hyperlink r:id="rId12" w:anchor="!documentDetail;D=HHS-OS-2012-0007-0412" w:history="1">
              <w:r w:rsidR="002C02D0" w:rsidRPr="00352C84">
                <w:rPr>
                  <w:rFonts w:ascii="Calibri" w:hAnsi="Calibri"/>
                  <w:color w:val="0000FF"/>
                  <w:sz w:val="16"/>
                  <w:u w:val="single"/>
                </w:rPr>
                <w:t>HHS-OS-2012-0007-0412</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 14</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John Travis</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Cerner Corp.</w:t>
            </w:r>
          </w:p>
        </w:tc>
        <w:tc>
          <w:tcPr>
            <w:tcW w:w="5130" w:type="dxa"/>
          </w:tcPr>
          <w:p w:rsidR="00BE278B" w:rsidRPr="00703CA2" w:rsidRDefault="00CF6C26" w:rsidP="00EE6A6A">
            <w:pPr>
              <w:pStyle w:val="ListParagraph"/>
              <w:numPr>
                <w:ilvl w:val="0"/>
                <w:numId w:val="1"/>
              </w:numPr>
              <w:ind w:left="288" w:hanging="144"/>
              <w:cnfStyle w:val="000000100000"/>
              <w:rPr>
                <w:rFonts w:cstheme="minorHAnsi"/>
                <w:sz w:val="16"/>
                <w:szCs w:val="16"/>
              </w:rPr>
            </w:pPr>
            <w:r w:rsidRPr="00703CA2">
              <w:rPr>
                <w:rFonts w:cstheme="minorHAnsi"/>
                <w:sz w:val="16"/>
                <w:szCs w:val="16"/>
              </w:rPr>
              <w:t>Suggested</w:t>
            </w:r>
            <w:r w:rsidR="00BE278B" w:rsidRPr="00703CA2">
              <w:rPr>
                <w:rFonts w:cstheme="minorHAnsi"/>
                <w:sz w:val="16"/>
                <w:szCs w:val="16"/>
              </w:rPr>
              <w:t xml:space="preserve"> that any security certification criteria clearly delineate responsibility between the EHR software platform and the user (hospital or eligible provider), including expected policy and procedures, training programs and sanction programs for the institution.</w:t>
            </w:r>
          </w:p>
        </w:tc>
      </w:tr>
      <w:tr w:rsidR="002C02D0" w:rsidRPr="00352C84" w:rsidTr="00DB12DB">
        <w:trPr>
          <w:cantSplit/>
        </w:trPr>
        <w:tc>
          <w:tcPr>
            <w:cnfStyle w:val="001000000000"/>
            <w:tcW w:w="537" w:type="dxa"/>
          </w:tcPr>
          <w:p w:rsidR="002C02D0" w:rsidRPr="00352C84" w:rsidRDefault="002C02D0" w:rsidP="002B70A0">
            <w:r w:rsidRPr="00352C84">
              <w:t>6</w:t>
            </w:r>
          </w:p>
        </w:tc>
        <w:tc>
          <w:tcPr>
            <w:tcW w:w="2181" w:type="dxa"/>
          </w:tcPr>
          <w:p w:rsidR="002C02D0" w:rsidRPr="00352C84" w:rsidRDefault="00E142D0" w:rsidP="003B0182">
            <w:pPr>
              <w:cnfStyle w:val="000000000000"/>
              <w:rPr>
                <w:rFonts w:ascii="Calibri" w:hAnsi="Calibri"/>
                <w:color w:val="0000FF"/>
                <w:sz w:val="16"/>
                <w:szCs w:val="16"/>
                <w:u w:val="single"/>
              </w:rPr>
            </w:pPr>
            <w:hyperlink r:id="rId13" w:anchor="!documentDetail;D=HHS-OS-2012-0007-0409" w:history="1">
              <w:r w:rsidR="002C02D0" w:rsidRPr="00352C84">
                <w:rPr>
                  <w:rFonts w:ascii="Calibri" w:hAnsi="Calibri"/>
                  <w:color w:val="0000FF"/>
                  <w:sz w:val="16"/>
                  <w:u w:val="single"/>
                </w:rPr>
                <w:t>HHS-OS-2012-0007-0409</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 18</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William Zoghbi</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American College of Cardiology</w:t>
            </w:r>
          </w:p>
        </w:tc>
        <w:tc>
          <w:tcPr>
            <w:tcW w:w="5130" w:type="dxa"/>
          </w:tcPr>
          <w:p w:rsidR="00332246" w:rsidRPr="00703CA2" w:rsidRDefault="00CF6C26" w:rsidP="00332246">
            <w:pPr>
              <w:pStyle w:val="ListParagraph"/>
              <w:numPr>
                <w:ilvl w:val="0"/>
                <w:numId w:val="1"/>
              </w:numPr>
              <w:ind w:left="288" w:hanging="144"/>
              <w:cnfStyle w:val="000000000000"/>
              <w:rPr>
                <w:rFonts w:cstheme="minorHAnsi"/>
                <w:sz w:val="16"/>
                <w:szCs w:val="16"/>
              </w:rPr>
            </w:pPr>
            <w:r w:rsidRPr="00703CA2">
              <w:rPr>
                <w:rFonts w:cstheme="minorHAnsi"/>
                <w:sz w:val="16"/>
                <w:szCs w:val="16"/>
              </w:rPr>
              <w:t>Recognized</w:t>
            </w:r>
            <w:r w:rsidR="00332246" w:rsidRPr="00703CA2">
              <w:rPr>
                <w:rFonts w:cstheme="minorHAnsi"/>
                <w:sz w:val="16"/>
                <w:szCs w:val="16"/>
              </w:rPr>
              <w:t xml:space="preserve"> that ensuring that patient health information is protected and secure is important.</w:t>
            </w:r>
          </w:p>
          <w:p w:rsidR="00332246" w:rsidRPr="00703CA2" w:rsidRDefault="00CF6C26" w:rsidP="00332246">
            <w:pPr>
              <w:pStyle w:val="ListParagraph"/>
              <w:numPr>
                <w:ilvl w:val="0"/>
                <w:numId w:val="1"/>
              </w:numPr>
              <w:ind w:left="288" w:hanging="144"/>
              <w:cnfStyle w:val="000000000000"/>
              <w:rPr>
                <w:rFonts w:cstheme="minorHAnsi"/>
                <w:sz w:val="16"/>
                <w:szCs w:val="16"/>
              </w:rPr>
            </w:pPr>
            <w:r w:rsidRPr="00703CA2">
              <w:rPr>
                <w:rFonts w:cstheme="minorHAnsi"/>
                <w:sz w:val="16"/>
                <w:szCs w:val="16"/>
              </w:rPr>
              <w:t>Supported</w:t>
            </w:r>
            <w:r w:rsidR="00332246" w:rsidRPr="00703CA2">
              <w:rPr>
                <w:rFonts w:cstheme="minorHAnsi"/>
                <w:sz w:val="16"/>
                <w:szCs w:val="16"/>
              </w:rPr>
              <w:t xml:space="preserve"> efforts </w:t>
            </w:r>
            <w:r w:rsidR="00703CA2">
              <w:rPr>
                <w:rFonts w:cstheme="minorHAnsi"/>
                <w:sz w:val="16"/>
                <w:szCs w:val="16"/>
              </w:rPr>
              <w:t xml:space="preserve">by the </w:t>
            </w:r>
            <w:r w:rsidR="009F11B9" w:rsidRPr="00703CA2">
              <w:rPr>
                <w:rFonts w:cstheme="minorHAnsi"/>
                <w:sz w:val="16"/>
                <w:szCs w:val="16"/>
              </w:rPr>
              <w:t xml:space="preserve">government </w:t>
            </w:r>
            <w:r w:rsidR="00332246" w:rsidRPr="00703CA2">
              <w:rPr>
                <w:rFonts w:cstheme="minorHAnsi"/>
                <w:sz w:val="16"/>
                <w:szCs w:val="16"/>
              </w:rPr>
              <w:t xml:space="preserve">to include relevant objectives and criteria as part of the federal EHR Incentive Program. </w:t>
            </w:r>
          </w:p>
          <w:p w:rsidR="00332246" w:rsidRPr="00703CA2" w:rsidRDefault="00332246" w:rsidP="00332246">
            <w:pPr>
              <w:pStyle w:val="ListParagraph"/>
              <w:numPr>
                <w:ilvl w:val="0"/>
                <w:numId w:val="1"/>
              </w:numPr>
              <w:ind w:left="288" w:hanging="144"/>
              <w:cnfStyle w:val="000000000000"/>
              <w:rPr>
                <w:rFonts w:cstheme="minorHAnsi"/>
                <w:sz w:val="16"/>
                <w:szCs w:val="16"/>
              </w:rPr>
            </w:pPr>
            <w:r w:rsidRPr="00703CA2">
              <w:rPr>
                <w:rFonts w:cstheme="minorHAnsi"/>
                <w:sz w:val="16"/>
                <w:szCs w:val="16"/>
              </w:rPr>
              <w:t>Does not believe that collecting attestations regarding the implementation of HIPAA Security Rule provisions is a worthwhile exercise.</w:t>
            </w:r>
          </w:p>
          <w:p w:rsidR="00332246" w:rsidRPr="00703CA2" w:rsidRDefault="00CF6C26" w:rsidP="00332246">
            <w:pPr>
              <w:pStyle w:val="ListParagraph"/>
              <w:numPr>
                <w:ilvl w:val="0"/>
                <w:numId w:val="1"/>
              </w:numPr>
              <w:ind w:left="288" w:hanging="144"/>
              <w:cnfStyle w:val="000000000000"/>
              <w:rPr>
                <w:rFonts w:cstheme="minorHAnsi"/>
                <w:sz w:val="16"/>
                <w:szCs w:val="16"/>
              </w:rPr>
            </w:pPr>
            <w:r w:rsidRPr="00703CA2">
              <w:rPr>
                <w:rFonts w:cstheme="minorHAnsi"/>
                <w:sz w:val="16"/>
                <w:szCs w:val="16"/>
              </w:rPr>
              <w:t>Stated that</w:t>
            </w:r>
            <w:r w:rsidR="00332246" w:rsidRPr="00703CA2">
              <w:rPr>
                <w:rFonts w:cstheme="minorHAnsi"/>
                <w:sz w:val="16"/>
                <w:szCs w:val="16"/>
              </w:rPr>
              <w:t xml:space="preserve"> penalties of the HIPAA Security Rule </w:t>
            </w:r>
            <w:r w:rsidR="00703CA2">
              <w:rPr>
                <w:rFonts w:cstheme="minorHAnsi"/>
                <w:sz w:val="16"/>
                <w:szCs w:val="16"/>
              </w:rPr>
              <w:t xml:space="preserve">for </w:t>
            </w:r>
            <w:r w:rsidR="00332246" w:rsidRPr="00703CA2">
              <w:rPr>
                <w:rFonts w:cstheme="minorHAnsi"/>
                <w:sz w:val="16"/>
                <w:szCs w:val="16"/>
              </w:rPr>
              <w:t>a covered entity found in violation of the Security Rule and Privacy Rule is sufficient.</w:t>
            </w:r>
          </w:p>
          <w:p w:rsidR="00332246" w:rsidRPr="00703CA2" w:rsidRDefault="00EE6A6A" w:rsidP="00332246">
            <w:pPr>
              <w:pStyle w:val="ListParagraph"/>
              <w:numPr>
                <w:ilvl w:val="0"/>
                <w:numId w:val="1"/>
              </w:numPr>
              <w:ind w:left="288" w:hanging="144"/>
              <w:cnfStyle w:val="000000000000"/>
              <w:rPr>
                <w:rFonts w:cstheme="minorHAnsi"/>
                <w:sz w:val="16"/>
                <w:szCs w:val="16"/>
              </w:rPr>
            </w:pPr>
            <w:r w:rsidRPr="00703CA2">
              <w:rPr>
                <w:rFonts w:cstheme="minorHAnsi"/>
                <w:sz w:val="16"/>
                <w:szCs w:val="16"/>
              </w:rPr>
              <w:t>State</w:t>
            </w:r>
            <w:r w:rsidR="00CF6C26" w:rsidRPr="00703CA2">
              <w:rPr>
                <w:rFonts w:cstheme="minorHAnsi"/>
                <w:sz w:val="16"/>
                <w:szCs w:val="16"/>
              </w:rPr>
              <w:t>d that</w:t>
            </w:r>
            <w:r w:rsidR="00332246" w:rsidRPr="00703CA2">
              <w:rPr>
                <w:rFonts w:cstheme="minorHAnsi"/>
                <w:sz w:val="16"/>
                <w:szCs w:val="16"/>
              </w:rPr>
              <w:t xml:space="preserve"> attestation is redundant and unproductive.</w:t>
            </w:r>
          </w:p>
          <w:p w:rsidR="00332246" w:rsidRPr="00703CA2" w:rsidRDefault="00CF6C26" w:rsidP="00EE6A6A">
            <w:pPr>
              <w:pStyle w:val="ListParagraph"/>
              <w:numPr>
                <w:ilvl w:val="0"/>
                <w:numId w:val="1"/>
              </w:numPr>
              <w:ind w:left="288" w:hanging="144"/>
              <w:cnfStyle w:val="000000000000"/>
              <w:rPr>
                <w:rFonts w:cstheme="minorHAnsi"/>
                <w:sz w:val="16"/>
                <w:szCs w:val="16"/>
              </w:rPr>
            </w:pPr>
            <w:r w:rsidRPr="00703CA2">
              <w:rPr>
                <w:rFonts w:cstheme="minorHAnsi"/>
                <w:sz w:val="16"/>
                <w:szCs w:val="16"/>
              </w:rPr>
              <w:t>Urged</w:t>
            </w:r>
            <w:r w:rsidR="00332246" w:rsidRPr="00703CA2">
              <w:rPr>
                <w:rFonts w:cstheme="minorHAnsi"/>
                <w:sz w:val="16"/>
                <w:szCs w:val="16"/>
              </w:rPr>
              <w:t xml:space="preserve"> the HITPC to withdraw the proposal.</w:t>
            </w:r>
          </w:p>
        </w:tc>
      </w:tr>
      <w:tr w:rsidR="002C02D0" w:rsidRPr="00352C84" w:rsidTr="00DB12DB">
        <w:trPr>
          <w:cnfStyle w:val="000000100000"/>
          <w:cantSplit/>
        </w:trPr>
        <w:tc>
          <w:tcPr>
            <w:cnfStyle w:val="001000000000"/>
            <w:tcW w:w="537" w:type="dxa"/>
          </w:tcPr>
          <w:p w:rsidR="002C02D0" w:rsidRPr="00352C84" w:rsidRDefault="002C02D0" w:rsidP="002B70A0">
            <w:r w:rsidRPr="00352C84">
              <w:t>7</w:t>
            </w:r>
          </w:p>
        </w:tc>
        <w:tc>
          <w:tcPr>
            <w:tcW w:w="2181" w:type="dxa"/>
          </w:tcPr>
          <w:p w:rsidR="002C02D0" w:rsidRPr="00352C84" w:rsidRDefault="00E142D0" w:rsidP="003B0182">
            <w:pPr>
              <w:cnfStyle w:val="000000100000"/>
              <w:rPr>
                <w:rFonts w:ascii="Calibri" w:hAnsi="Calibri"/>
                <w:color w:val="0000FF"/>
                <w:sz w:val="16"/>
                <w:szCs w:val="16"/>
                <w:u w:val="single"/>
              </w:rPr>
            </w:pPr>
            <w:hyperlink r:id="rId14" w:anchor="!documentDetail;D=HHS-OS-2012-0007-0376" w:history="1">
              <w:r w:rsidR="002C02D0" w:rsidRPr="00352C84">
                <w:rPr>
                  <w:rFonts w:ascii="Calibri" w:hAnsi="Calibri"/>
                  <w:color w:val="0000FF"/>
                  <w:sz w:val="16"/>
                  <w:u w:val="single"/>
                </w:rPr>
                <w:t>HHS-OS-2012-0007-0376</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 19</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Sarah Cottingham</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Telligen Iowa HIT Regional Extension Center</w:t>
            </w:r>
          </w:p>
        </w:tc>
        <w:tc>
          <w:tcPr>
            <w:tcW w:w="5130" w:type="dxa"/>
          </w:tcPr>
          <w:p w:rsidR="002C02D0" w:rsidRPr="00352C84" w:rsidRDefault="00EE6A6A" w:rsidP="00EE6A6A">
            <w:pPr>
              <w:pStyle w:val="ListParagraph"/>
              <w:numPr>
                <w:ilvl w:val="0"/>
                <w:numId w:val="1"/>
              </w:numPr>
              <w:ind w:left="288" w:hanging="144"/>
              <w:cnfStyle w:val="000000100000"/>
              <w:rPr>
                <w:rFonts w:cstheme="minorHAnsi"/>
                <w:sz w:val="16"/>
                <w:szCs w:val="16"/>
              </w:rPr>
            </w:pPr>
            <w:r w:rsidRPr="00352C84">
              <w:rPr>
                <w:rFonts w:cstheme="minorHAnsi"/>
                <w:sz w:val="16"/>
                <w:szCs w:val="16"/>
              </w:rPr>
              <w:t>Sug</w:t>
            </w:r>
            <w:r w:rsidR="00CF6C26" w:rsidRPr="00352C84">
              <w:rPr>
                <w:rFonts w:cstheme="minorHAnsi"/>
                <w:sz w:val="16"/>
                <w:szCs w:val="16"/>
              </w:rPr>
              <w:t>gested</w:t>
            </w:r>
            <w:r w:rsidR="00F61071" w:rsidRPr="00352C84">
              <w:rPr>
                <w:rFonts w:cstheme="minorHAnsi"/>
                <w:sz w:val="16"/>
                <w:szCs w:val="16"/>
              </w:rPr>
              <w:t xml:space="preserve"> assignment and training on the roles of the HIPAA Security Officer.</w:t>
            </w:r>
          </w:p>
        </w:tc>
      </w:tr>
      <w:tr w:rsidR="002C02D0" w:rsidRPr="00352C84" w:rsidTr="00DB12DB">
        <w:trPr>
          <w:cantSplit/>
        </w:trPr>
        <w:tc>
          <w:tcPr>
            <w:cnfStyle w:val="001000000000"/>
            <w:tcW w:w="537" w:type="dxa"/>
          </w:tcPr>
          <w:p w:rsidR="002C02D0" w:rsidRPr="00352C84" w:rsidRDefault="002C02D0" w:rsidP="002B70A0">
            <w:r w:rsidRPr="00352C84">
              <w:t>8</w:t>
            </w:r>
          </w:p>
        </w:tc>
        <w:tc>
          <w:tcPr>
            <w:tcW w:w="2181" w:type="dxa"/>
          </w:tcPr>
          <w:p w:rsidR="002C02D0" w:rsidRPr="00352C84" w:rsidRDefault="00E142D0" w:rsidP="003B0182">
            <w:pPr>
              <w:cnfStyle w:val="000000000000"/>
              <w:rPr>
                <w:rFonts w:ascii="Calibri" w:hAnsi="Calibri"/>
                <w:color w:val="0000FF"/>
                <w:sz w:val="16"/>
                <w:szCs w:val="16"/>
                <w:u w:val="single"/>
              </w:rPr>
            </w:pPr>
            <w:hyperlink r:id="rId15" w:anchor="!documentDetail;D=HHS-OS-2012-0007-0431" w:history="1">
              <w:r w:rsidR="002C02D0" w:rsidRPr="00352C84">
                <w:rPr>
                  <w:rFonts w:ascii="Calibri" w:hAnsi="Calibri"/>
                  <w:color w:val="0000FF"/>
                  <w:sz w:val="16"/>
                  <w:u w:val="single"/>
                </w:rPr>
                <w:t>HHS-OS-2012-0007-0431</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 20</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Susan Turney</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Medical Group Management</w:t>
            </w:r>
          </w:p>
        </w:tc>
        <w:tc>
          <w:tcPr>
            <w:tcW w:w="5130" w:type="dxa"/>
          </w:tcPr>
          <w:p w:rsidR="004B4BF5" w:rsidRPr="00703CA2" w:rsidRDefault="004B4BF5" w:rsidP="004B4BF5">
            <w:pPr>
              <w:pStyle w:val="ListParagraph"/>
              <w:numPr>
                <w:ilvl w:val="0"/>
                <w:numId w:val="1"/>
              </w:numPr>
              <w:ind w:left="288" w:hanging="144"/>
              <w:cnfStyle w:val="000000000000"/>
              <w:rPr>
                <w:rFonts w:cstheme="minorHAnsi"/>
                <w:sz w:val="16"/>
                <w:szCs w:val="16"/>
              </w:rPr>
            </w:pPr>
            <w:r w:rsidRPr="00703CA2">
              <w:rPr>
                <w:rFonts w:cstheme="minorHAnsi"/>
                <w:sz w:val="16"/>
                <w:szCs w:val="16"/>
              </w:rPr>
              <w:t>Does not believe it is appropriate to include any additional security steps as a component of meaningful use Stage 3 attestation.</w:t>
            </w:r>
          </w:p>
          <w:p w:rsidR="004B4BF5" w:rsidRPr="00703CA2" w:rsidRDefault="00EE6A6A" w:rsidP="004B4BF5">
            <w:pPr>
              <w:pStyle w:val="ListParagraph"/>
              <w:numPr>
                <w:ilvl w:val="0"/>
                <w:numId w:val="1"/>
              </w:numPr>
              <w:ind w:left="288" w:hanging="144"/>
              <w:cnfStyle w:val="000000000000"/>
              <w:rPr>
                <w:rFonts w:cstheme="minorHAnsi"/>
                <w:sz w:val="16"/>
                <w:szCs w:val="16"/>
              </w:rPr>
            </w:pPr>
            <w:r w:rsidRPr="00703CA2">
              <w:rPr>
                <w:rFonts w:cstheme="minorHAnsi"/>
                <w:sz w:val="16"/>
                <w:szCs w:val="16"/>
              </w:rPr>
              <w:t>State</w:t>
            </w:r>
            <w:r w:rsidR="00CF6C26" w:rsidRPr="00703CA2">
              <w:rPr>
                <w:rFonts w:cstheme="minorHAnsi"/>
                <w:sz w:val="16"/>
                <w:szCs w:val="16"/>
              </w:rPr>
              <w:t>d</w:t>
            </w:r>
            <w:r w:rsidR="004B4BF5" w:rsidRPr="00703CA2">
              <w:rPr>
                <w:rFonts w:cstheme="minorHAnsi"/>
                <w:sz w:val="16"/>
                <w:szCs w:val="16"/>
              </w:rPr>
              <w:t xml:space="preserve"> application of HIPAA Security Rule’s requirements for risk assessment and mitigation of any identified risks is adequate.</w:t>
            </w:r>
          </w:p>
          <w:p w:rsidR="003F694B" w:rsidRPr="00703CA2" w:rsidRDefault="003F694B" w:rsidP="003F694B">
            <w:pPr>
              <w:pStyle w:val="ListParagraph"/>
              <w:numPr>
                <w:ilvl w:val="0"/>
                <w:numId w:val="1"/>
              </w:numPr>
              <w:ind w:left="288" w:hanging="144"/>
              <w:cnfStyle w:val="000000000000"/>
              <w:rPr>
                <w:rFonts w:cstheme="minorHAnsi"/>
                <w:sz w:val="16"/>
                <w:szCs w:val="16"/>
              </w:rPr>
            </w:pPr>
            <w:r w:rsidRPr="00703CA2">
              <w:rPr>
                <w:rFonts w:cstheme="minorHAnsi"/>
                <w:sz w:val="16"/>
                <w:szCs w:val="16"/>
              </w:rPr>
              <w:t xml:space="preserve">Requiring an EP to conduct another </w:t>
            </w:r>
            <w:r w:rsidR="004B4BF5" w:rsidRPr="00703CA2">
              <w:rPr>
                <w:rFonts w:cstheme="minorHAnsi"/>
                <w:sz w:val="16"/>
                <w:szCs w:val="16"/>
              </w:rPr>
              <w:t>security risk analysis is duplicative</w:t>
            </w:r>
            <w:r w:rsidRPr="00703CA2">
              <w:rPr>
                <w:rFonts w:cstheme="minorHAnsi"/>
                <w:sz w:val="16"/>
                <w:szCs w:val="16"/>
              </w:rPr>
              <w:t xml:space="preserve">, adding an </w:t>
            </w:r>
            <w:r w:rsidR="004B4BF5" w:rsidRPr="00703CA2">
              <w:rPr>
                <w:rFonts w:cstheme="minorHAnsi"/>
                <w:sz w:val="16"/>
                <w:szCs w:val="16"/>
              </w:rPr>
              <w:t>unnecessary reporting burden.</w:t>
            </w:r>
          </w:p>
          <w:p w:rsidR="003F694B" w:rsidRPr="00703CA2" w:rsidRDefault="00703CA2" w:rsidP="003F694B">
            <w:pPr>
              <w:pStyle w:val="ListParagraph"/>
              <w:numPr>
                <w:ilvl w:val="0"/>
                <w:numId w:val="1"/>
              </w:numPr>
              <w:ind w:left="288" w:hanging="144"/>
              <w:cnfStyle w:val="000000000000"/>
              <w:rPr>
                <w:rFonts w:cstheme="minorHAnsi"/>
                <w:sz w:val="16"/>
                <w:szCs w:val="16"/>
              </w:rPr>
            </w:pPr>
            <w:r>
              <w:rPr>
                <w:rFonts w:cstheme="minorHAnsi"/>
                <w:sz w:val="16"/>
                <w:szCs w:val="16"/>
              </w:rPr>
              <w:t xml:space="preserve">Remarked </w:t>
            </w:r>
            <w:r w:rsidR="003F694B" w:rsidRPr="00703CA2">
              <w:rPr>
                <w:rFonts w:cstheme="minorHAnsi"/>
                <w:sz w:val="16"/>
                <w:szCs w:val="16"/>
              </w:rPr>
              <w:t xml:space="preserve">that </w:t>
            </w:r>
            <w:r>
              <w:rPr>
                <w:rFonts w:cstheme="minorHAnsi"/>
                <w:sz w:val="16"/>
                <w:szCs w:val="16"/>
              </w:rPr>
              <w:t xml:space="preserve">while </w:t>
            </w:r>
            <w:r w:rsidR="003F694B" w:rsidRPr="00703CA2">
              <w:rPr>
                <w:rFonts w:cstheme="minorHAnsi"/>
                <w:sz w:val="16"/>
                <w:szCs w:val="16"/>
              </w:rPr>
              <w:t xml:space="preserve">encryption is a </w:t>
            </w:r>
            <w:r w:rsidR="004B4BF5" w:rsidRPr="00703CA2">
              <w:rPr>
                <w:rFonts w:cstheme="minorHAnsi"/>
                <w:sz w:val="16"/>
                <w:szCs w:val="16"/>
              </w:rPr>
              <w:t xml:space="preserve">laudable goal, </w:t>
            </w:r>
            <w:r>
              <w:rPr>
                <w:rFonts w:cstheme="minorHAnsi"/>
                <w:sz w:val="16"/>
                <w:szCs w:val="16"/>
              </w:rPr>
              <w:t>it</w:t>
            </w:r>
            <w:r w:rsidR="003F694B" w:rsidRPr="00703CA2">
              <w:rPr>
                <w:rFonts w:cstheme="minorHAnsi"/>
                <w:sz w:val="16"/>
                <w:szCs w:val="16"/>
              </w:rPr>
              <w:t xml:space="preserve"> is an addressable requirement under the Security Rule.  It is not required.</w:t>
            </w:r>
          </w:p>
          <w:p w:rsidR="003F694B" w:rsidRPr="00703CA2" w:rsidRDefault="003F694B" w:rsidP="003F694B">
            <w:pPr>
              <w:pStyle w:val="ListParagraph"/>
              <w:numPr>
                <w:ilvl w:val="0"/>
                <w:numId w:val="1"/>
              </w:numPr>
              <w:ind w:left="288" w:hanging="144"/>
              <w:cnfStyle w:val="000000000000"/>
              <w:rPr>
                <w:rFonts w:cstheme="minorHAnsi"/>
                <w:sz w:val="16"/>
                <w:szCs w:val="16"/>
              </w:rPr>
            </w:pPr>
            <w:r w:rsidRPr="00703CA2">
              <w:rPr>
                <w:rFonts w:cstheme="minorHAnsi"/>
                <w:sz w:val="16"/>
                <w:szCs w:val="16"/>
              </w:rPr>
              <w:t>E</w:t>
            </w:r>
            <w:r w:rsidR="004B4BF5" w:rsidRPr="00703CA2">
              <w:rPr>
                <w:rFonts w:cstheme="minorHAnsi"/>
                <w:sz w:val="16"/>
                <w:szCs w:val="16"/>
              </w:rPr>
              <w:t>ncourag</w:t>
            </w:r>
            <w:r w:rsidR="00CF6C26" w:rsidRPr="00703CA2">
              <w:rPr>
                <w:rFonts w:cstheme="minorHAnsi"/>
                <w:sz w:val="16"/>
                <w:szCs w:val="16"/>
              </w:rPr>
              <w:t>ed</w:t>
            </w:r>
            <w:r w:rsidR="004B4BF5" w:rsidRPr="00703CA2">
              <w:rPr>
                <w:rFonts w:cstheme="minorHAnsi"/>
                <w:sz w:val="16"/>
                <w:szCs w:val="16"/>
              </w:rPr>
              <w:t xml:space="preserve"> CMS to work with the Office for Civil Rights (OCR) in development of guidance and educational materials to assist physician practices understand and implement encryption </w:t>
            </w:r>
            <w:r w:rsidRPr="00703CA2">
              <w:rPr>
                <w:rFonts w:cstheme="minorHAnsi"/>
                <w:sz w:val="16"/>
                <w:szCs w:val="16"/>
              </w:rPr>
              <w:t>for circumstances in which the covered entity determines encryption is an appropriate solution.</w:t>
            </w:r>
          </w:p>
          <w:p w:rsidR="003F694B" w:rsidRPr="00703CA2" w:rsidRDefault="009F11B9" w:rsidP="003F694B">
            <w:pPr>
              <w:pStyle w:val="ListParagraph"/>
              <w:numPr>
                <w:ilvl w:val="0"/>
                <w:numId w:val="1"/>
              </w:numPr>
              <w:ind w:left="288" w:hanging="144"/>
              <w:cnfStyle w:val="000000000000"/>
              <w:rPr>
                <w:rFonts w:cstheme="minorHAnsi"/>
                <w:sz w:val="16"/>
                <w:szCs w:val="16"/>
              </w:rPr>
            </w:pPr>
            <w:r w:rsidRPr="00703CA2">
              <w:rPr>
                <w:rFonts w:cstheme="minorHAnsi"/>
                <w:sz w:val="16"/>
                <w:szCs w:val="16"/>
              </w:rPr>
              <w:t xml:space="preserve">Commented </w:t>
            </w:r>
            <w:r w:rsidR="003F694B" w:rsidRPr="00703CA2">
              <w:rPr>
                <w:rFonts w:cstheme="minorHAnsi"/>
                <w:sz w:val="16"/>
                <w:szCs w:val="16"/>
              </w:rPr>
              <w:t>that</w:t>
            </w:r>
            <w:r w:rsidR="004B4BF5" w:rsidRPr="00703CA2">
              <w:rPr>
                <w:rFonts w:cstheme="minorHAnsi"/>
                <w:sz w:val="16"/>
                <w:szCs w:val="16"/>
              </w:rPr>
              <w:t xml:space="preserve"> HIPAA Security regulation outlines the process a covered entity must go through</w:t>
            </w:r>
            <w:r w:rsidR="003F694B" w:rsidRPr="00703CA2">
              <w:rPr>
                <w:rFonts w:cstheme="minorHAnsi"/>
                <w:sz w:val="16"/>
                <w:szCs w:val="16"/>
              </w:rPr>
              <w:t xml:space="preserve"> for completing a risk assessment</w:t>
            </w:r>
            <w:r w:rsidR="004B4BF5" w:rsidRPr="00703CA2">
              <w:rPr>
                <w:rFonts w:cstheme="minorHAnsi"/>
                <w:sz w:val="16"/>
                <w:szCs w:val="16"/>
              </w:rPr>
              <w:t>, but does specify the exact steps, milestones and outcomes of tha</w:t>
            </w:r>
            <w:r w:rsidR="003F694B" w:rsidRPr="00703CA2">
              <w:rPr>
                <w:rFonts w:cstheme="minorHAnsi"/>
                <w:sz w:val="16"/>
                <w:szCs w:val="16"/>
              </w:rPr>
              <w:t>t analysis.</w:t>
            </w:r>
          </w:p>
          <w:p w:rsidR="003F694B" w:rsidRPr="00703CA2" w:rsidRDefault="009F11B9" w:rsidP="003F694B">
            <w:pPr>
              <w:pStyle w:val="ListParagraph"/>
              <w:numPr>
                <w:ilvl w:val="0"/>
                <w:numId w:val="1"/>
              </w:numPr>
              <w:ind w:left="288" w:hanging="144"/>
              <w:cnfStyle w:val="000000000000"/>
              <w:rPr>
                <w:rFonts w:cstheme="minorHAnsi"/>
                <w:sz w:val="16"/>
                <w:szCs w:val="16"/>
              </w:rPr>
            </w:pPr>
            <w:r w:rsidRPr="00703CA2">
              <w:rPr>
                <w:rFonts w:cstheme="minorHAnsi"/>
                <w:sz w:val="16"/>
                <w:szCs w:val="16"/>
              </w:rPr>
              <w:t xml:space="preserve">Commented that </w:t>
            </w:r>
            <w:r w:rsidR="004B4BF5" w:rsidRPr="00703CA2">
              <w:rPr>
                <w:rFonts w:cstheme="minorHAnsi"/>
                <w:sz w:val="16"/>
                <w:szCs w:val="16"/>
              </w:rPr>
              <w:t xml:space="preserve">compliance with </w:t>
            </w:r>
            <w:r w:rsidR="003F694B" w:rsidRPr="00703CA2">
              <w:rPr>
                <w:rFonts w:cstheme="minorHAnsi"/>
                <w:sz w:val="16"/>
                <w:szCs w:val="16"/>
              </w:rPr>
              <w:t>the risk assessment</w:t>
            </w:r>
            <w:r w:rsidR="004B4BF5" w:rsidRPr="00703CA2">
              <w:rPr>
                <w:rFonts w:cstheme="minorHAnsi"/>
                <w:sz w:val="16"/>
                <w:szCs w:val="16"/>
              </w:rPr>
              <w:t xml:space="preserve"> requirement</w:t>
            </w:r>
            <w:r w:rsidR="003F694B" w:rsidRPr="00703CA2">
              <w:rPr>
                <w:rFonts w:cstheme="minorHAnsi"/>
                <w:sz w:val="16"/>
                <w:szCs w:val="16"/>
              </w:rPr>
              <w:t xml:space="preserve">s of the HIPAA Security Rule </w:t>
            </w:r>
            <w:r w:rsidR="004B4BF5" w:rsidRPr="00703CA2">
              <w:rPr>
                <w:rFonts w:cstheme="minorHAnsi"/>
                <w:sz w:val="16"/>
                <w:szCs w:val="16"/>
              </w:rPr>
              <w:t xml:space="preserve">and fulfillment of this meaningful use objective has proven very difficult, especially for smaller practices that have limited in-house expertise in this area. </w:t>
            </w:r>
          </w:p>
          <w:p w:rsidR="003F694B" w:rsidRPr="00352C84" w:rsidRDefault="003F694B" w:rsidP="00EE6A6A">
            <w:pPr>
              <w:pStyle w:val="ListParagraph"/>
              <w:numPr>
                <w:ilvl w:val="0"/>
                <w:numId w:val="1"/>
              </w:numPr>
              <w:ind w:left="288" w:hanging="144"/>
              <w:cnfStyle w:val="000000000000"/>
              <w:rPr>
                <w:rFonts w:cstheme="minorHAnsi"/>
                <w:sz w:val="16"/>
                <w:szCs w:val="16"/>
              </w:rPr>
            </w:pPr>
            <w:r w:rsidRPr="00703CA2">
              <w:rPr>
                <w:rFonts w:cstheme="minorHAnsi"/>
                <w:sz w:val="16"/>
                <w:szCs w:val="16"/>
              </w:rPr>
              <w:t>E</w:t>
            </w:r>
            <w:r w:rsidR="004B4BF5" w:rsidRPr="00703CA2">
              <w:rPr>
                <w:rFonts w:cstheme="minorHAnsi"/>
                <w:sz w:val="16"/>
                <w:szCs w:val="16"/>
              </w:rPr>
              <w:t>ncourage</w:t>
            </w:r>
            <w:r w:rsidR="00CF6C26" w:rsidRPr="00703CA2">
              <w:rPr>
                <w:rFonts w:cstheme="minorHAnsi"/>
                <w:sz w:val="16"/>
                <w:szCs w:val="16"/>
              </w:rPr>
              <w:t>d</w:t>
            </w:r>
            <w:r w:rsidR="004B4BF5" w:rsidRPr="00703CA2">
              <w:rPr>
                <w:rFonts w:cstheme="minorHAnsi"/>
                <w:sz w:val="16"/>
                <w:szCs w:val="16"/>
              </w:rPr>
              <w:t xml:space="preserve"> CMS to work with the OCR to develop guidance and education on the issue of risk assessment and risk mitigation.</w:t>
            </w:r>
          </w:p>
        </w:tc>
      </w:tr>
      <w:tr w:rsidR="002C02D0" w:rsidRPr="00703CA2" w:rsidTr="00DB12DB">
        <w:trPr>
          <w:cnfStyle w:val="000000100000"/>
          <w:cantSplit/>
        </w:trPr>
        <w:tc>
          <w:tcPr>
            <w:cnfStyle w:val="001000000000"/>
            <w:tcW w:w="537" w:type="dxa"/>
          </w:tcPr>
          <w:p w:rsidR="002C02D0" w:rsidRPr="00352C84" w:rsidRDefault="002C02D0" w:rsidP="002B70A0">
            <w:r w:rsidRPr="00352C84">
              <w:lastRenderedPageBreak/>
              <w:t>9</w:t>
            </w:r>
          </w:p>
        </w:tc>
        <w:tc>
          <w:tcPr>
            <w:tcW w:w="2181" w:type="dxa"/>
          </w:tcPr>
          <w:p w:rsidR="002C02D0" w:rsidRPr="00352C84" w:rsidRDefault="00E142D0" w:rsidP="003B0182">
            <w:pPr>
              <w:cnfStyle w:val="000000100000"/>
              <w:rPr>
                <w:rFonts w:ascii="Calibri" w:hAnsi="Calibri"/>
                <w:color w:val="0000FF"/>
                <w:sz w:val="16"/>
                <w:szCs w:val="16"/>
                <w:u w:val="single"/>
              </w:rPr>
            </w:pPr>
            <w:hyperlink r:id="rId16" w:anchor="!documentDetail;D=HHS-OS-2012-0007-0395" w:history="1">
              <w:r w:rsidR="002C02D0" w:rsidRPr="00352C84">
                <w:rPr>
                  <w:rFonts w:ascii="Calibri" w:hAnsi="Calibri"/>
                  <w:color w:val="0000FF"/>
                  <w:sz w:val="16"/>
                  <w:u w:val="single"/>
                </w:rPr>
                <w:t>HHS-OS-2012-0007-0395</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 28</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Paula Bussard</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 xml:space="preserve">The Hospital &amp; Health System Association of Pennsylvania </w:t>
            </w:r>
          </w:p>
        </w:tc>
        <w:tc>
          <w:tcPr>
            <w:tcW w:w="5130" w:type="dxa"/>
          </w:tcPr>
          <w:p w:rsidR="001B2B7A" w:rsidRPr="00703CA2" w:rsidRDefault="00EE6A6A" w:rsidP="001B2B7A">
            <w:pPr>
              <w:pStyle w:val="ListParagraph"/>
              <w:numPr>
                <w:ilvl w:val="0"/>
                <w:numId w:val="1"/>
              </w:numPr>
              <w:ind w:left="288" w:hanging="144"/>
              <w:cnfStyle w:val="000000100000"/>
              <w:rPr>
                <w:rFonts w:cstheme="minorHAnsi"/>
                <w:sz w:val="16"/>
                <w:szCs w:val="16"/>
              </w:rPr>
            </w:pPr>
            <w:r w:rsidRPr="00703CA2">
              <w:rPr>
                <w:rFonts w:cstheme="minorHAnsi"/>
                <w:sz w:val="16"/>
                <w:szCs w:val="16"/>
              </w:rPr>
              <w:t>S</w:t>
            </w:r>
            <w:r w:rsidR="00CF6C26" w:rsidRPr="00703CA2">
              <w:rPr>
                <w:rFonts w:cstheme="minorHAnsi"/>
                <w:sz w:val="16"/>
                <w:szCs w:val="16"/>
              </w:rPr>
              <w:t>tated</w:t>
            </w:r>
            <w:r w:rsidRPr="00703CA2">
              <w:rPr>
                <w:rFonts w:cstheme="minorHAnsi"/>
                <w:sz w:val="16"/>
                <w:szCs w:val="16"/>
              </w:rPr>
              <w:t xml:space="preserve"> that</w:t>
            </w:r>
            <w:r w:rsidR="001B2B7A" w:rsidRPr="00703CA2">
              <w:rPr>
                <w:rFonts w:cstheme="minorHAnsi"/>
                <w:sz w:val="16"/>
                <w:szCs w:val="16"/>
              </w:rPr>
              <w:t xml:space="preserve"> training on the Security Rule and sending of security reminders are important.</w:t>
            </w:r>
          </w:p>
          <w:p w:rsidR="001B2B7A" w:rsidRPr="00703CA2" w:rsidRDefault="00EE6A6A" w:rsidP="001B2B7A">
            <w:pPr>
              <w:pStyle w:val="ListParagraph"/>
              <w:numPr>
                <w:ilvl w:val="0"/>
                <w:numId w:val="1"/>
              </w:numPr>
              <w:ind w:left="288" w:hanging="144"/>
              <w:cnfStyle w:val="000000100000"/>
              <w:rPr>
                <w:rFonts w:cstheme="minorHAnsi"/>
                <w:sz w:val="16"/>
                <w:szCs w:val="16"/>
              </w:rPr>
            </w:pPr>
            <w:r w:rsidRPr="00703CA2">
              <w:rPr>
                <w:rFonts w:cstheme="minorHAnsi"/>
                <w:sz w:val="16"/>
                <w:szCs w:val="16"/>
              </w:rPr>
              <w:t>State</w:t>
            </w:r>
            <w:r w:rsidR="00CF6C26" w:rsidRPr="00703CA2">
              <w:rPr>
                <w:rFonts w:cstheme="minorHAnsi"/>
                <w:sz w:val="16"/>
                <w:szCs w:val="16"/>
              </w:rPr>
              <w:t>d</w:t>
            </w:r>
            <w:r w:rsidR="001B2B7A" w:rsidRPr="00703CA2">
              <w:rPr>
                <w:rFonts w:cstheme="minorHAnsi"/>
                <w:sz w:val="16"/>
                <w:szCs w:val="16"/>
              </w:rPr>
              <w:t xml:space="preserve"> that the Meaningful Use rule should not be used as a means to enforce compliance with all HIPAA privacy and security requirements, including those for making staff and workforce members aware of the HIPAA Security Rule and to train them on Security Rule provisions.</w:t>
            </w:r>
          </w:p>
          <w:p w:rsidR="001B2B7A" w:rsidRPr="00703CA2" w:rsidRDefault="00CF6C26" w:rsidP="001B2B7A">
            <w:pPr>
              <w:pStyle w:val="ListParagraph"/>
              <w:numPr>
                <w:ilvl w:val="0"/>
                <w:numId w:val="1"/>
              </w:numPr>
              <w:ind w:left="288" w:hanging="144"/>
              <w:cnfStyle w:val="000000100000"/>
              <w:rPr>
                <w:rFonts w:cstheme="minorHAnsi"/>
                <w:sz w:val="16"/>
                <w:szCs w:val="16"/>
              </w:rPr>
            </w:pPr>
            <w:r w:rsidRPr="00703CA2">
              <w:rPr>
                <w:rFonts w:cstheme="minorHAnsi"/>
                <w:sz w:val="16"/>
                <w:szCs w:val="16"/>
              </w:rPr>
              <w:t>Believed</w:t>
            </w:r>
            <w:r w:rsidR="001B2B7A" w:rsidRPr="00703CA2">
              <w:rPr>
                <w:rFonts w:cstheme="minorHAnsi"/>
                <w:sz w:val="16"/>
                <w:szCs w:val="16"/>
              </w:rPr>
              <w:t xml:space="preserve"> that meaningful use attestation about implementing the HIPAA rules is unnecessary.</w:t>
            </w:r>
          </w:p>
          <w:p w:rsidR="001B2B7A" w:rsidRPr="00703CA2" w:rsidRDefault="00CF6C26" w:rsidP="001B2B7A">
            <w:pPr>
              <w:pStyle w:val="ListParagraph"/>
              <w:numPr>
                <w:ilvl w:val="0"/>
                <w:numId w:val="1"/>
              </w:numPr>
              <w:ind w:left="288" w:hanging="144"/>
              <w:cnfStyle w:val="000000100000"/>
              <w:rPr>
                <w:rFonts w:cstheme="minorHAnsi"/>
                <w:sz w:val="16"/>
                <w:szCs w:val="16"/>
              </w:rPr>
            </w:pPr>
            <w:r w:rsidRPr="00703CA2">
              <w:rPr>
                <w:rFonts w:cstheme="minorHAnsi"/>
                <w:sz w:val="16"/>
                <w:szCs w:val="16"/>
              </w:rPr>
              <w:t>Stated</w:t>
            </w:r>
            <w:r w:rsidR="00EE6A6A" w:rsidRPr="00703CA2">
              <w:rPr>
                <w:rFonts w:cstheme="minorHAnsi"/>
                <w:sz w:val="16"/>
                <w:szCs w:val="16"/>
              </w:rPr>
              <w:t xml:space="preserve"> that</w:t>
            </w:r>
            <w:r w:rsidR="001B2B7A" w:rsidRPr="00703CA2">
              <w:rPr>
                <w:rFonts w:cstheme="minorHAnsi"/>
                <w:sz w:val="16"/>
                <w:szCs w:val="16"/>
              </w:rPr>
              <w:t xml:space="preserve"> reliance on Meaningful Use requirements to require implementation of HIPAA Security and Privacy may lead to a potentially different or conflicting set of compliance obligations enforced by multiple agencies through multiple and uncoordinated means.</w:t>
            </w:r>
          </w:p>
          <w:p w:rsidR="001B2B7A" w:rsidRPr="00703CA2" w:rsidRDefault="00CF6C26" w:rsidP="00EE6A6A">
            <w:pPr>
              <w:pStyle w:val="ListParagraph"/>
              <w:numPr>
                <w:ilvl w:val="0"/>
                <w:numId w:val="1"/>
              </w:numPr>
              <w:ind w:left="288" w:hanging="144"/>
              <w:cnfStyle w:val="000000100000"/>
              <w:rPr>
                <w:rFonts w:cstheme="minorHAnsi"/>
                <w:sz w:val="16"/>
                <w:szCs w:val="16"/>
              </w:rPr>
            </w:pPr>
            <w:r w:rsidRPr="00703CA2">
              <w:rPr>
                <w:rFonts w:cstheme="minorHAnsi"/>
                <w:sz w:val="16"/>
                <w:szCs w:val="16"/>
              </w:rPr>
              <w:t>Urged</w:t>
            </w:r>
            <w:r w:rsidR="001B2B7A" w:rsidRPr="00703CA2">
              <w:rPr>
                <w:rFonts w:cstheme="minorHAnsi"/>
                <w:sz w:val="16"/>
                <w:szCs w:val="16"/>
              </w:rPr>
              <w:t xml:space="preserve"> rejection of requirements for EPs/EHs/CAHs to attest to implementing HIPAA Security Rule provisions regarding workforce/staff outreach and training and sending periodic security reminders.</w:t>
            </w:r>
          </w:p>
        </w:tc>
      </w:tr>
      <w:tr w:rsidR="002C02D0" w:rsidRPr="00352C84" w:rsidTr="00DB12DB">
        <w:trPr>
          <w:cantSplit/>
        </w:trPr>
        <w:tc>
          <w:tcPr>
            <w:cnfStyle w:val="001000000000"/>
            <w:tcW w:w="537" w:type="dxa"/>
          </w:tcPr>
          <w:p w:rsidR="002C02D0" w:rsidRPr="00352C84" w:rsidRDefault="002C02D0" w:rsidP="002B70A0">
            <w:r w:rsidRPr="00352C84">
              <w:t>10</w:t>
            </w:r>
          </w:p>
        </w:tc>
        <w:tc>
          <w:tcPr>
            <w:tcW w:w="2181" w:type="dxa"/>
          </w:tcPr>
          <w:p w:rsidR="002C02D0" w:rsidRPr="00352C84" w:rsidRDefault="00E142D0" w:rsidP="003B0182">
            <w:pPr>
              <w:cnfStyle w:val="000000000000"/>
              <w:rPr>
                <w:rFonts w:ascii="Calibri" w:hAnsi="Calibri"/>
                <w:color w:val="0000FF"/>
                <w:sz w:val="16"/>
                <w:szCs w:val="16"/>
                <w:u w:val="single"/>
              </w:rPr>
            </w:pPr>
            <w:hyperlink r:id="rId17" w:anchor="!documentDetail;D=HHS-OS-2012-0007-0382" w:history="1">
              <w:r w:rsidR="002C02D0" w:rsidRPr="00352C84">
                <w:rPr>
                  <w:rFonts w:ascii="Calibri" w:hAnsi="Calibri"/>
                  <w:color w:val="0000FF"/>
                  <w:sz w:val="16"/>
                  <w:u w:val="single"/>
                </w:rPr>
                <w:t>HHS-OS-2012-0007-0382</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 34</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Cheryl Peterson/Karen Daley/Marla Weston</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American Nurses Association</w:t>
            </w:r>
          </w:p>
        </w:tc>
        <w:tc>
          <w:tcPr>
            <w:tcW w:w="5130" w:type="dxa"/>
          </w:tcPr>
          <w:p w:rsidR="002E66C7" w:rsidRPr="00703CA2" w:rsidRDefault="00EE6A6A" w:rsidP="00827095">
            <w:pPr>
              <w:pStyle w:val="ListParagraph"/>
              <w:numPr>
                <w:ilvl w:val="0"/>
                <w:numId w:val="1"/>
              </w:numPr>
              <w:ind w:left="288" w:hanging="144"/>
              <w:cnfStyle w:val="000000000000"/>
              <w:rPr>
                <w:rFonts w:cstheme="minorHAnsi"/>
                <w:sz w:val="16"/>
                <w:szCs w:val="16"/>
              </w:rPr>
            </w:pPr>
            <w:r w:rsidRPr="00703CA2">
              <w:rPr>
                <w:rFonts w:cstheme="minorHAnsi"/>
                <w:sz w:val="16"/>
                <w:szCs w:val="16"/>
              </w:rPr>
              <w:t>State</w:t>
            </w:r>
            <w:r w:rsidR="00CF6C26" w:rsidRPr="00703CA2">
              <w:rPr>
                <w:rFonts w:cstheme="minorHAnsi"/>
                <w:sz w:val="16"/>
                <w:szCs w:val="16"/>
              </w:rPr>
              <w:t>d</w:t>
            </w:r>
            <w:r w:rsidRPr="00703CA2">
              <w:rPr>
                <w:rFonts w:cstheme="minorHAnsi"/>
                <w:sz w:val="16"/>
                <w:szCs w:val="16"/>
              </w:rPr>
              <w:t xml:space="preserve"> that</w:t>
            </w:r>
            <w:r w:rsidR="002E66C7" w:rsidRPr="00703CA2">
              <w:rPr>
                <w:rFonts w:cstheme="minorHAnsi"/>
                <w:sz w:val="16"/>
                <w:szCs w:val="16"/>
              </w:rPr>
              <w:t xml:space="preserve"> </w:t>
            </w:r>
            <w:r w:rsidR="00827095" w:rsidRPr="00703CA2">
              <w:rPr>
                <w:rFonts w:cstheme="minorHAnsi"/>
                <w:sz w:val="16"/>
                <w:szCs w:val="16"/>
              </w:rPr>
              <w:t>OCR already requires considerable input from providers to meet HIPAA requirements.</w:t>
            </w:r>
          </w:p>
          <w:p w:rsidR="00827095" w:rsidRPr="00703CA2" w:rsidRDefault="002F0F70" w:rsidP="00EE6A6A">
            <w:pPr>
              <w:pStyle w:val="ListParagraph"/>
              <w:numPr>
                <w:ilvl w:val="0"/>
                <w:numId w:val="1"/>
              </w:numPr>
              <w:ind w:left="288" w:hanging="144"/>
              <w:cnfStyle w:val="000000000000"/>
              <w:rPr>
                <w:rFonts w:cstheme="minorHAnsi"/>
                <w:sz w:val="16"/>
                <w:szCs w:val="16"/>
              </w:rPr>
            </w:pPr>
            <w:r w:rsidRPr="00703CA2">
              <w:rPr>
                <w:rFonts w:cstheme="minorHAnsi"/>
                <w:sz w:val="16"/>
                <w:szCs w:val="16"/>
              </w:rPr>
              <w:t xml:space="preserve">Commented that </w:t>
            </w:r>
            <w:r w:rsidR="002E66C7" w:rsidRPr="00703CA2">
              <w:rPr>
                <w:rFonts w:cstheme="minorHAnsi"/>
                <w:sz w:val="16"/>
                <w:szCs w:val="16"/>
              </w:rPr>
              <w:t>r</w:t>
            </w:r>
            <w:r w:rsidR="00827095" w:rsidRPr="00703CA2">
              <w:rPr>
                <w:rFonts w:cstheme="minorHAnsi"/>
                <w:sz w:val="16"/>
                <w:szCs w:val="16"/>
              </w:rPr>
              <w:t>equiring additional attestation from providers to meet ONC criteria will cause undue burden and exceed the ONC charter.</w:t>
            </w:r>
          </w:p>
        </w:tc>
      </w:tr>
      <w:tr w:rsidR="002C02D0" w:rsidRPr="00352C84" w:rsidTr="00DB12DB">
        <w:trPr>
          <w:cnfStyle w:val="000000100000"/>
          <w:cantSplit/>
        </w:trPr>
        <w:tc>
          <w:tcPr>
            <w:cnfStyle w:val="001000000000"/>
            <w:tcW w:w="537" w:type="dxa"/>
          </w:tcPr>
          <w:p w:rsidR="002C02D0" w:rsidRPr="00352C84" w:rsidRDefault="002C02D0" w:rsidP="002B70A0">
            <w:r w:rsidRPr="00352C84">
              <w:t>11</w:t>
            </w:r>
          </w:p>
        </w:tc>
        <w:tc>
          <w:tcPr>
            <w:tcW w:w="2181" w:type="dxa"/>
          </w:tcPr>
          <w:p w:rsidR="002C02D0" w:rsidRPr="00352C84" w:rsidRDefault="00E142D0" w:rsidP="003B0182">
            <w:pPr>
              <w:cnfStyle w:val="000000100000"/>
              <w:rPr>
                <w:rFonts w:ascii="Calibri" w:hAnsi="Calibri"/>
                <w:color w:val="0000FF"/>
                <w:sz w:val="16"/>
                <w:szCs w:val="16"/>
                <w:u w:val="single"/>
              </w:rPr>
            </w:pPr>
            <w:hyperlink r:id="rId18" w:anchor="!documentDetail;D=HHS-OS-2012-0007-0391" w:history="1">
              <w:r w:rsidR="002C02D0" w:rsidRPr="00352C84">
                <w:rPr>
                  <w:rFonts w:ascii="Calibri" w:hAnsi="Calibri"/>
                  <w:color w:val="0000FF"/>
                  <w:sz w:val="16"/>
                  <w:u w:val="single"/>
                </w:rPr>
                <w:t>HHS-OS-2012-0007-0391</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 4</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Karen Boykin-Towns</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Pzfizer Inc</w:t>
            </w:r>
          </w:p>
        </w:tc>
        <w:tc>
          <w:tcPr>
            <w:tcW w:w="5130" w:type="dxa"/>
          </w:tcPr>
          <w:p w:rsidR="009C5DFC" w:rsidRPr="00703CA2" w:rsidRDefault="00CF6C26"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Supported</w:t>
            </w:r>
            <w:r w:rsidR="009C5DFC" w:rsidRPr="00352C84">
              <w:rPr>
                <w:rFonts w:cstheme="minorHAnsi"/>
                <w:sz w:val="16"/>
                <w:szCs w:val="16"/>
              </w:rPr>
              <w:t xml:space="preserve"> the HITPC’s recommendation that EHRs be able to accept </w:t>
            </w:r>
            <w:r w:rsidR="009C5DFC" w:rsidRPr="00703CA2">
              <w:rPr>
                <w:rFonts w:cstheme="minorHAnsi"/>
                <w:sz w:val="16"/>
                <w:szCs w:val="16"/>
              </w:rPr>
              <w:t>two factor or higher authentication for provider users to remotely access protected health information (PHI) in Stage 3.</w:t>
            </w:r>
          </w:p>
          <w:p w:rsidR="009C5DFC" w:rsidRPr="00703CA2" w:rsidRDefault="00CF6C26" w:rsidP="003B0182">
            <w:pPr>
              <w:pStyle w:val="ListParagraph"/>
              <w:numPr>
                <w:ilvl w:val="0"/>
                <w:numId w:val="1"/>
              </w:numPr>
              <w:ind w:left="288" w:hanging="144"/>
              <w:cnfStyle w:val="000000100000"/>
              <w:rPr>
                <w:rFonts w:cstheme="minorHAnsi"/>
                <w:sz w:val="16"/>
                <w:szCs w:val="16"/>
              </w:rPr>
            </w:pPr>
            <w:r w:rsidRPr="00703CA2">
              <w:rPr>
                <w:rFonts w:cstheme="minorHAnsi"/>
                <w:sz w:val="16"/>
                <w:szCs w:val="16"/>
              </w:rPr>
              <w:t>Noted</w:t>
            </w:r>
            <w:r w:rsidR="009C5DFC" w:rsidRPr="00703CA2">
              <w:rPr>
                <w:rFonts w:cstheme="minorHAnsi"/>
                <w:sz w:val="16"/>
                <w:szCs w:val="16"/>
              </w:rPr>
              <w:t xml:space="preserve"> that the Drug Enforcement Administration (DEA) requires two factor authentication for any provider who wants to send controlled substances electronically.</w:t>
            </w:r>
          </w:p>
          <w:p w:rsidR="009C5DFC" w:rsidRPr="00352C84" w:rsidRDefault="00CF6C26" w:rsidP="00EE6A6A">
            <w:pPr>
              <w:pStyle w:val="ListParagraph"/>
              <w:numPr>
                <w:ilvl w:val="0"/>
                <w:numId w:val="1"/>
              </w:numPr>
              <w:ind w:left="288" w:hanging="144"/>
              <w:cnfStyle w:val="000000100000"/>
              <w:rPr>
                <w:rFonts w:cstheme="minorHAnsi"/>
                <w:sz w:val="16"/>
                <w:szCs w:val="16"/>
              </w:rPr>
            </w:pPr>
            <w:r w:rsidRPr="00703CA2">
              <w:rPr>
                <w:rFonts w:cstheme="minorHAnsi"/>
                <w:sz w:val="16"/>
                <w:szCs w:val="16"/>
              </w:rPr>
              <w:t>Suggested</w:t>
            </w:r>
            <w:r w:rsidR="009C5DFC" w:rsidRPr="00703CA2">
              <w:rPr>
                <w:rFonts w:cstheme="minorHAnsi"/>
                <w:sz w:val="16"/>
                <w:szCs w:val="16"/>
              </w:rPr>
              <w:t xml:space="preserve"> that EHR capabilities should include DEA authentication requirements for prescribers.</w:t>
            </w:r>
          </w:p>
        </w:tc>
      </w:tr>
      <w:tr w:rsidR="002C02D0" w:rsidRPr="00352C84" w:rsidTr="00DB12DB">
        <w:trPr>
          <w:cantSplit/>
        </w:trPr>
        <w:tc>
          <w:tcPr>
            <w:cnfStyle w:val="001000000000"/>
            <w:tcW w:w="537" w:type="dxa"/>
          </w:tcPr>
          <w:p w:rsidR="002C02D0" w:rsidRPr="00352C84" w:rsidRDefault="002C02D0" w:rsidP="002B70A0">
            <w:r w:rsidRPr="00352C84">
              <w:t>12</w:t>
            </w:r>
          </w:p>
        </w:tc>
        <w:tc>
          <w:tcPr>
            <w:tcW w:w="2181" w:type="dxa"/>
          </w:tcPr>
          <w:p w:rsidR="002C02D0" w:rsidRPr="00352C84" w:rsidRDefault="00E142D0" w:rsidP="003B0182">
            <w:pPr>
              <w:cnfStyle w:val="000000000000"/>
              <w:rPr>
                <w:rFonts w:ascii="Calibri" w:hAnsi="Calibri"/>
                <w:color w:val="0000FF"/>
                <w:sz w:val="16"/>
                <w:szCs w:val="16"/>
                <w:u w:val="single"/>
              </w:rPr>
            </w:pPr>
            <w:hyperlink r:id="rId19" w:anchor="!documentDetail;D=HHS-OS-2012-0007-0429" w:history="1">
              <w:r w:rsidR="002C02D0" w:rsidRPr="00352C84">
                <w:rPr>
                  <w:rFonts w:ascii="Calibri" w:hAnsi="Calibri"/>
                  <w:color w:val="0000FF"/>
                  <w:sz w:val="16"/>
                  <w:u w:val="single"/>
                </w:rPr>
                <w:t>HHS-OS-2012-0007-0429</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 7</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Deven McGraw</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Center for Democracy and Technology</w:t>
            </w:r>
          </w:p>
        </w:tc>
        <w:tc>
          <w:tcPr>
            <w:tcW w:w="5130" w:type="dxa"/>
          </w:tcPr>
          <w:p w:rsidR="009C5DFC" w:rsidRPr="00703CA2" w:rsidRDefault="00CF6C26" w:rsidP="009C5DFC">
            <w:pPr>
              <w:pStyle w:val="ListParagraph"/>
              <w:numPr>
                <w:ilvl w:val="0"/>
                <w:numId w:val="1"/>
              </w:numPr>
              <w:ind w:left="288" w:hanging="144"/>
              <w:cnfStyle w:val="000000000000"/>
              <w:rPr>
                <w:rFonts w:cstheme="minorHAnsi"/>
                <w:sz w:val="16"/>
                <w:szCs w:val="16"/>
              </w:rPr>
            </w:pPr>
            <w:r w:rsidRPr="00703CA2">
              <w:rPr>
                <w:rFonts w:cstheme="minorHAnsi"/>
                <w:sz w:val="16"/>
                <w:szCs w:val="16"/>
              </w:rPr>
              <w:t>Noted</w:t>
            </w:r>
            <w:r w:rsidR="009C5DFC" w:rsidRPr="00703CA2">
              <w:rPr>
                <w:rFonts w:cstheme="minorHAnsi"/>
                <w:sz w:val="16"/>
                <w:szCs w:val="16"/>
              </w:rPr>
              <w:t xml:space="preserve"> that the HHS Office for Civil Rights (OCR)</w:t>
            </w:r>
            <w:r w:rsidR="002F0F70" w:rsidRPr="00703CA2">
              <w:rPr>
                <w:rFonts w:cstheme="minorHAnsi"/>
                <w:sz w:val="16"/>
                <w:szCs w:val="16"/>
              </w:rPr>
              <w:t xml:space="preserve"> increased </w:t>
            </w:r>
            <w:r w:rsidR="009C5DFC" w:rsidRPr="00703CA2">
              <w:rPr>
                <w:rFonts w:cstheme="minorHAnsi"/>
                <w:sz w:val="16"/>
                <w:szCs w:val="16"/>
              </w:rPr>
              <w:t>enforcement of the HIPAA regulations and the audits can reveal important information on the most common security issues that are not adequately addressed by covered entities and business associates.</w:t>
            </w:r>
          </w:p>
          <w:p w:rsidR="00B87DFD" w:rsidRPr="00703CA2" w:rsidRDefault="00B87DFD" w:rsidP="00B87DFD">
            <w:pPr>
              <w:pStyle w:val="ListParagraph"/>
              <w:numPr>
                <w:ilvl w:val="0"/>
                <w:numId w:val="1"/>
              </w:numPr>
              <w:ind w:left="288" w:hanging="144"/>
              <w:cnfStyle w:val="000000000000"/>
              <w:rPr>
                <w:rFonts w:cstheme="minorHAnsi"/>
                <w:sz w:val="16"/>
                <w:szCs w:val="16"/>
              </w:rPr>
            </w:pPr>
            <w:r w:rsidRPr="00703CA2">
              <w:rPr>
                <w:rFonts w:cstheme="minorHAnsi"/>
                <w:sz w:val="16"/>
                <w:szCs w:val="16"/>
              </w:rPr>
              <w:t>Suggest</w:t>
            </w:r>
            <w:r w:rsidR="00CF6C26" w:rsidRPr="00703CA2">
              <w:rPr>
                <w:rFonts w:cstheme="minorHAnsi"/>
                <w:sz w:val="16"/>
                <w:szCs w:val="16"/>
              </w:rPr>
              <w:t>ed</w:t>
            </w:r>
            <w:r w:rsidRPr="00703CA2">
              <w:rPr>
                <w:rFonts w:cstheme="minorHAnsi"/>
                <w:sz w:val="16"/>
                <w:szCs w:val="16"/>
              </w:rPr>
              <w:t xml:space="preserve"> that </w:t>
            </w:r>
            <w:r w:rsidR="009C5DFC" w:rsidRPr="00703CA2">
              <w:rPr>
                <w:rFonts w:cstheme="minorHAnsi"/>
                <w:sz w:val="16"/>
                <w:szCs w:val="16"/>
              </w:rPr>
              <w:t xml:space="preserve">HITPC, ONC and CMS </w:t>
            </w:r>
            <w:r w:rsidRPr="00703CA2">
              <w:rPr>
                <w:rFonts w:cstheme="minorHAnsi"/>
                <w:sz w:val="16"/>
                <w:szCs w:val="16"/>
              </w:rPr>
              <w:t xml:space="preserve">can advise </w:t>
            </w:r>
            <w:r w:rsidR="009C5DFC" w:rsidRPr="00703CA2">
              <w:rPr>
                <w:rFonts w:cstheme="minorHAnsi"/>
                <w:sz w:val="16"/>
                <w:szCs w:val="16"/>
              </w:rPr>
              <w:t>on these commonly neglected Security Rule provisions</w:t>
            </w:r>
            <w:r w:rsidRPr="00703CA2">
              <w:rPr>
                <w:rFonts w:cstheme="minorHAnsi"/>
                <w:sz w:val="16"/>
                <w:szCs w:val="16"/>
              </w:rPr>
              <w:t>.</w:t>
            </w:r>
          </w:p>
          <w:p w:rsidR="00B87DFD" w:rsidRPr="00352C84" w:rsidRDefault="00EE6A6A" w:rsidP="00EE6A6A">
            <w:pPr>
              <w:pStyle w:val="ListParagraph"/>
              <w:numPr>
                <w:ilvl w:val="0"/>
                <w:numId w:val="1"/>
              </w:numPr>
              <w:ind w:left="288" w:hanging="144"/>
              <w:cnfStyle w:val="000000000000"/>
              <w:rPr>
                <w:rFonts w:cstheme="minorHAnsi"/>
                <w:sz w:val="16"/>
                <w:szCs w:val="16"/>
              </w:rPr>
            </w:pPr>
            <w:r w:rsidRPr="00703CA2">
              <w:rPr>
                <w:rFonts w:cstheme="minorHAnsi"/>
                <w:sz w:val="16"/>
                <w:szCs w:val="16"/>
              </w:rPr>
              <w:t>State</w:t>
            </w:r>
            <w:r w:rsidR="00CF6C26" w:rsidRPr="00703CA2">
              <w:rPr>
                <w:rFonts w:cstheme="minorHAnsi"/>
                <w:sz w:val="16"/>
                <w:szCs w:val="16"/>
              </w:rPr>
              <w:t>d</w:t>
            </w:r>
            <w:r w:rsidR="00B87DFD" w:rsidRPr="00703CA2">
              <w:rPr>
                <w:rFonts w:cstheme="minorHAnsi"/>
                <w:sz w:val="16"/>
                <w:szCs w:val="16"/>
              </w:rPr>
              <w:t xml:space="preserve"> that these commonly neglected Security Rule provisions </w:t>
            </w:r>
            <w:r w:rsidR="009C5DFC" w:rsidRPr="00703CA2">
              <w:rPr>
                <w:rFonts w:cstheme="minorHAnsi"/>
                <w:sz w:val="16"/>
                <w:szCs w:val="16"/>
              </w:rPr>
              <w:t>should be included in Stage 3 Meaningful Use attestation.</w:t>
            </w:r>
          </w:p>
        </w:tc>
      </w:tr>
      <w:tr w:rsidR="002C02D0" w:rsidRPr="00703CA2" w:rsidTr="00DB12DB">
        <w:trPr>
          <w:cnfStyle w:val="000000100000"/>
          <w:cantSplit/>
        </w:trPr>
        <w:tc>
          <w:tcPr>
            <w:cnfStyle w:val="001000000000"/>
            <w:tcW w:w="537" w:type="dxa"/>
          </w:tcPr>
          <w:p w:rsidR="002C02D0" w:rsidRPr="00352C84" w:rsidRDefault="002C02D0" w:rsidP="002B70A0">
            <w:r w:rsidRPr="00352C84">
              <w:lastRenderedPageBreak/>
              <w:t>13</w:t>
            </w:r>
          </w:p>
        </w:tc>
        <w:tc>
          <w:tcPr>
            <w:tcW w:w="2181" w:type="dxa"/>
          </w:tcPr>
          <w:p w:rsidR="002C02D0" w:rsidRPr="00352C84" w:rsidRDefault="00E142D0" w:rsidP="003B0182">
            <w:pPr>
              <w:cnfStyle w:val="000000100000"/>
              <w:rPr>
                <w:rFonts w:ascii="Calibri" w:hAnsi="Calibri"/>
                <w:color w:val="0000FF"/>
                <w:sz w:val="16"/>
                <w:szCs w:val="16"/>
                <w:u w:val="single"/>
              </w:rPr>
            </w:pPr>
            <w:hyperlink r:id="rId20" w:anchor="!documentDetail;D=HHS-OS-2012-0007-0525" w:tooltip="The document ID for this document is HHS-OS-2012-0007-0525" w:history="1">
              <w:r w:rsidR="002C02D0" w:rsidRPr="00352C84">
                <w:rPr>
                  <w:rFonts w:ascii="Calibri" w:hAnsi="Calibri"/>
                  <w:color w:val="0000FF"/>
                  <w:sz w:val="16"/>
                  <w:u w:val="single"/>
                </w:rPr>
                <w:t>HHS-OS-2012-0007-0525</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p.1</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David Finn</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Symantec Corp.</w:t>
            </w:r>
          </w:p>
        </w:tc>
        <w:tc>
          <w:tcPr>
            <w:tcW w:w="5130" w:type="dxa"/>
          </w:tcPr>
          <w:p w:rsidR="00EA0D4B" w:rsidRPr="00703CA2" w:rsidRDefault="002F0F70" w:rsidP="00EA0D4B">
            <w:pPr>
              <w:pStyle w:val="ListParagraph"/>
              <w:numPr>
                <w:ilvl w:val="0"/>
                <w:numId w:val="1"/>
              </w:numPr>
              <w:ind w:left="288" w:hanging="144"/>
              <w:cnfStyle w:val="000000100000"/>
              <w:rPr>
                <w:rFonts w:cstheme="minorHAnsi"/>
                <w:sz w:val="16"/>
                <w:szCs w:val="16"/>
              </w:rPr>
            </w:pPr>
            <w:r w:rsidRPr="00703CA2">
              <w:rPr>
                <w:rFonts w:cstheme="minorHAnsi"/>
                <w:sz w:val="16"/>
                <w:szCs w:val="16"/>
              </w:rPr>
              <w:t xml:space="preserve">Commented that there was no doubt </w:t>
            </w:r>
            <w:r w:rsidR="00EA0D4B" w:rsidRPr="00703CA2">
              <w:rPr>
                <w:rFonts w:cstheme="minorHAnsi"/>
                <w:sz w:val="16"/>
                <w:szCs w:val="16"/>
              </w:rPr>
              <w:t>that security and privacy risks are “people problems”.</w:t>
            </w:r>
          </w:p>
          <w:p w:rsidR="00EA0D4B" w:rsidRPr="00703CA2" w:rsidRDefault="00CF6C26" w:rsidP="00EA0D4B">
            <w:pPr>
              <w:pStyle w:val="ListParagraph"/>
              <w:numPr>
                <w:ilvl w:val="0"/>
                <w:numId w:val="1"/>
              </w:numPr>
              <w:ind w:left="288" w:hanging="144"/>
              <w:cnfStyle w:val="000000100000"/>
              <w:rPr>
                <w:rFonts w:cstheme="minorHAnsi"/>
                <w:sz w:val="16"/>
                <w:szCs w:val="16"/>
              </w:rPr>
            </w:pPr>
            <w:r w:rsidRPr="00703CA2">
              <w:rPr>
                <w:rFonts w:cstheme="minorHAnsi"/>
                <w:sz w:val="16"/>
                <w:szCs w:val="16"/>
              </w:rPr>
              <w:t>Stated that</w:t>
            </w:r>
            <w:r w:rsidR="00EA0D4B" w:rsidRPr="00703CA2">
              <w:rPr>
                <w:rFonts w:cstheme="minorHAnsi"/>
                <w:sz w:val="16"/>
                <w:szCs w:val="16"/>
              </w:rPr>
              <w:t xml:space="preserve"> employee awareness and the organization’s culture may be the best indicators of an organization’s ability protect information.</w:t>
            </w:r>
          </w:p>
          <w:p w:rsidR="00EA0D4B" w:rsidRPr="00703CA2" w:rsidRDefault="00CF6C26" w:rsidP="00EA0D4B">
            <w:pPr>
              <w:pStyle w:val="ListParagraph"/>
              <w:numPr>
                <w:ilvl w:val="0"/>
                <w:numId w:val="1"/>
              </w:numPr>
              <w:ind w:left="288" w:hanging="144"/>
              <w:cnfStyle w:val="000000100000"/>
              <w:rPr>
                <w:rFonts w:cstheme="minorHAnsi"/>
                <w:sz w:val="16"/>
                <w:szCs w:val="16"/>
              </w:rPr>
            </w:pPr>
            <w:r w:rsidRPr="00703CA2">
              <w:rPr>
                <w:rFonts w:cstheme="minorHAnsi"/>
                <w:sz w:val="16"/>
                <w:szCs w:val="16"/>
              </w:rPr>
              <w:t>Suggested</w:t>
            </w:r>
            <w:r w:rsidR="00EA0D4B" w:rsidRPr="00703CA2">
              <w:rPr>
                <w:rFonts w:cstheme="minorHAnsi"/>
                <w:sz w:val="16"/>
                <w:szCs w:val="16"/>
              </w:rPr>
              <w:t xml:space="preserve"> attestation should </w:t>
            </w:r>
            <w:r w:rsidR="00784860" w:rsidRPr="00703CA2">
              <w:rPr>
                <w:rFonts w:cstheme="minorHAnsi"/>
                <w:sz w:val="16"/>
                <w:szCs w:val="16"/>
              </w:rPr>
              <w:t>focus on three primary areas</w:t>
            </w:r>
            <w:r w:rsidR="00EA0D4B" w:rsidRPr="00703CA2">
              <w:rPr>
                <w:rFonts w:cstheme="minorHAnsi"/>
                <w:sz w:val="16"/>
                <w:szCs w:val="16"/>
              </w:rPr>
              <w:t xml:space="preserve">: 1) workplace </w:t>
            </w:r>
            <w:r w:rsidR="00784860" w:rsidRPr="00703CA2">
              <w:rPr>
                <w:rFonts w:cstheme="minorHAnsi"/>
                <w:sz w:val="16"/>
                <w:szCs w:val="16"/>
              </w:rPr>
              <w:t xml:space="preserve">awareness </w:t>
            </w:r>
            <w:r w:rsidR="00EA0D4B" w:rsidRPr="00703CA2">
              <w:rPr>
                <w:rFonts w:cstheme="minorHAnsi"/>
                <w:sz w:val="16"/>
                <w:szCs w:val="16"/>
              </w:rPr>
              <w:t xml:space="preserve">(posters, reminders, etc.); 2)  workforce, BAs and contractors </w:t>
            </w:r>
            <w:r w:rsidR="00784860" w:rsidRPr="00703CA2">
              <w:rPr>
                <w:rFonts w:cstheme="minorHAnsi"/>
                <w:sz w:val="16"/>
                <w:szCs w:val="16"/>
              </w:rPr>
              <w:t xml:space="preserve">training </w:t>
            </w:r>
            <w:r w:rsidR="00EA0D4B" w:rsidRPr="00703CA2">
              <w:rPr>
                <w:rFonts w:cstheme="minorHAnsi"/>
                <w:sz w:val="16"/>
                <w:szCs w:val="16"/>
              </w:rPr>
              <w:t xml:space="preserve"> (on-going, not once/year), and; 3) workforce, BAs and contractors </w:t>
            </w:r>
            <w:r w:rsidR="00784860" w:rsidRPr="00703CA2">
              <w:rPr>
                <w:rFonts w:cstheme="minorHAnsi"/>
                <w:sz w:val="16"/>
                <w:szCs w:val="16"/>
              </w:rPr>
              <w:t>sanctions</w:t>
            </w:r>
            <w:r w:rsidR="00EA0D4B" w:rsidRPr="00703CA2">
              <w:rPr>
                <w:rFonts w:cstheme="minorHAnsi"/>
                <w:sz w:val="16"/>
                <w:szCs w:val="16"/>
              </w:rPr>
              <w:t xml:space="preserve"> (real sanctions, enforced consistently, regardless of role or function).</w:t>
            </w:r>
          </w:p>
          <w:p w:rsidR="00784860" w:rsidRPr="00703CA2" w:rsidRDefault="002F0F70" w:rsidP="00EA0D4B">
            <w:pPr>
              <w:pStyle w:val="ListParagraph"/>
              <w:numPr>
                <w:ilvl w:val="0"/>
                <w:numId w:val="1"/>
              </w:numPr>
              <w:ind w:left="288" w:hanging="144"/>
              <w:cnfStyle w:val="000000100000"/>
              <w:rPr>
                <w:rFonts w:cstheme="minorHAnsi"/>
                <w:sz w:val="16"/>
                <w:szCs w:val="16"/>
              </w:rPr>
            </w:pPr>
            <w:r w:rsidRPr="00703CA2">
              <w:rPr>
                <w:rFonts w:cstheme="minorHAnsi"/>
                <w:sz w:val="16"/>
                <w:szCs w:val="16"/>
              </w:rPr>
              <w:t xml:space="preserve">Commented </w:t>
            </w:r>
            <w:r w:rsidR="00784860" w:rsidRPr="00703CA2">
              <w:rPr>
                <w:rFonts w:cstheme="minorHAnsi"/>
                <w:sz w:val="16"/>
                <w:szCs w:val="16"/>
              </w:rPr>
              <w:t xml:space="preserve">that </w:t>
            </w:r>
            <w:r w:rsidR="00EA0D4B" w:rsidRPr="00703CA2">
              <w:rPr>
                <w:rFonts w:cstheme="minorHAnsi"/>
                <w:sz w:val="16"/>
                <w:szCs w:val="16"/>
              </w:rPr>
              <w:t>breaches over the past 3 years</w:t>
            </w:r>
            <w:r w:rsidR="00784860" w:rsidRPr="00703CA2">
              <w:rPr>
                <w:rFonts w:cstheme="minorHAnsi"/>
                <w:sz w:val="16"/>
                <w:szCs w:val="16"/>
              </w:rPr>
              <w:t xml:space="preserve"> evidence that a </w:t>
            </w:r>
            <w:r w:rsidR="00EA0D4B" w:rsidRPr="00703CA2">
              <w:rPr>
                <w:rFonts w:cstheme="minorHAnsi"/>
                <w:sz w:val="16"/>
                <w:szCs w:val="16"/>
              </w:rPr>
              <w:t>sizable majority are related to portable devices (laptops, tablets, smartphones) or removable media (tapes, jump drives, removable disks).</w:t>
            </w:r>
          </w:p>
          <w:p w:rsidR="00EA0D4B" w:rsidRPr="00703CA2" w:rsidRDefault="00CF6C26" w:rsidP="00EE6A6A">
            <w:pPr>
              <w:pStyle w:val="ListParagraph"/>
              <w:numPr>
                <w:ilvl w:val="0"/>
                <w:numId w:val="1"/>
              </w:numPr>
              <w:ind w:left="288" w:hanging="144"/>
              <w:cnfStyle w:val="000000100000"/>
              <w:rPr>
                <w:rFonts w:cstheme="minorHAnsi"/>
                <w:sz w:val="16"/>
                <w:szCs w:val="16"/>
              </w:rPr>
            </w:pPr>
            <w:r w:rsidRPr="00703CA2">
              <w:rPr>
                <w:rFonts w:cstheme="minorHAnsi"/>
                <w:sz w:val="16"/>
                <w:szCs w:val="16"/>
              </w:rPr>
              <w:t>Suggested</w:t>
            </w:r>
            <w:r w:rsidR="00784860" w:rsidRPr="00703CA2">
              <w:rPr>
                <w:rFonts w:cstheme="minorHAnsi"/>
                <w:sz w:val="16"/>
                <w:szCs w:val="16"/>
              </w:rPr>
              <w:t xml:space="preserve"> that </w:t>
            </w:r>
            <w:r w:rsidR="00EA0D4B" w:rsidRPr="00703CA2">
              <w:rPr>
                <w:rFonts w:cstheme="minorHAnsi"/>
                <w:sz w:val="16"/>
                <w:szCs w:val="16"/>
              </w:rPr>
              <w:t>encryption</w:t>
            </w:r>
            <w:r w:rsidR="00784860" w:rsidRPr="00703CA2">
              <w:rPr>
                <w:rFonts w:cstheme="minorHAnsi"/>
                <w:sz w:val="16"/>
                <w:szCs w:val="16"/>
              </w:rPr>
              <w:t xml:space="preserve"> could have avoided a majority of breaches</w:t>
            </w:r>
            <w:r w:rsidR="00EA0D4B" w:rsidRPr="00703CA2">
              <w:rPr>
                <w:rFonts w:cstheme="minorHAnsi"/>
                <w:sz w:val="16"/>
                <w:szCs w:val="16"/>
              </w:rPr>
              <w:t xml:space="preserve">. </w:t>
            </w:r>
          </w:p>
        </w:tc>
      </w:tr>
      <w:tr w:rsidR="002C02D0" w:rsidRPr="00352C84" w:rsidTr="00DB12DB">
        <w:trPr>
          <w:cantSplit/>
        </w:trPr>
        <w:tc>
          <w:tcPr>
            <w:cnfStyle w:val="001000000000"/>
            <w:tcW w:w="537" w:type="dxa"/>
          </w:tcPr>
          <w:p w:rsidR="002C02D0" w:rsidRPr="00352C84" w:rsidRDefault="002C02D0" w:rsidP="002B70A0">
            <w:r w:rsidRPr="00352C84">
              <w:t>14</w:t>
            </w:r>
          </w:p>
        </w:tc>
        <w:tc>
          <w:tcPr>
            <w:tcW w:w="2181" w:type="dxa"/>
          </w:tcPr>
          <w:p w:rsidR="002C02D0" w:rsidRPr="00352C84" w:rsidRDefault="002C02D0" w:rsidP="003B0182">
            <w:pPr>
              <w:cnfStyle w:val="000000000000"/>
              <w:rPr>
                <w:rFonts w:ascii="Calibri" w:hAnsi="Calibri"/>
                <w:sz w:val="16"/>
                <w:szCs w:val="16"/>
              </w:rPr>
            </w:pPr>
            <w:r w:rsidRPr="00352C84">
              <w:rPr>
                <w:rFonts w:ascii="Calibri" w:hAnsi="Calibri"/>
                <w:sz w:val="16"/>
                <w:szCs w:val="16"/>
              </w:rPr>
              <w:t>G:\Meaningful Use\HITPC\Stage_3_RFC\Submission</w:t>
            </w:r>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p.1</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 </w:t>
            </w:r>
          </w:p>
        </w:tc>
        <w:tc>
          <w:tcPr>
            <w:tcW w:w="2610" w:type="dxa"/>
          </w:tcPr>
          <w:p w:rsidR="002C02D0" w:rsidRPr="00890336" w:rsidRDefault="002C02D0" w:rsidP="003B0182">
            <w:pPr>
              <w:cnfStyle w:val="000000000000"/>
              <w:rPr>
                <w:rFonts w:ascii="Calibri" w:hAnsi="Calibri"/>
                <w:bCs/>
                <w:sz w:val="16"/>
                <w:szCs w:val="16"/>
              </w:rPr>
            </w:pPr>
            <w:r w:rsidRPr="00890336">
              <w:rPr>
                <w:rFonts w:ascii="Calibri" w:hAnsi="Calibri"/>
                <w:bCs/>
                <w:sz w:val="16"/>
                <w:szCs w:val="16"/>
              </w:rPr>
              <w:t>VA</w:t>
            </w:r>
          </w:p>
        </w:tc>
        <w:tc>
          <w:tcPr>
            <w:tcW w:w="5130" w:type="dxa"/>
          </w:tcPr>
          <w:p w:rsidR="002C02D0" w:rsidRPr="00890336" w:rsidRDefault="00CB0266" w:rsidP="00CB0266">
            <w:pPr>
              <w:pStyle w:val="ListParagraph"/>
              <w:numPr>
                <w:ilvl w:val="0"/>
                <w:numId w:val="1"/>
              </w:numPr>
              <w:ind w:left="288" w:hanging="144"/>
              <w:cnfStyle w:val="000000000000"/>
              <w:rPr>
                <w:rFonts w:cstheme="minorHAnsi"/>
                <w:sz w:val="16"/>
                <w:szCs w:val="16"/>
              </w:rPr>
            </w:pPr>
            <w:r w:rsidRPr="00890336">
              <w:rPr>
                <w:rFonts w:cstheme="minorHAnsi"/>
                <w:sz w:val="16"/>
                <w:szCs w:val="16"/>
              </w:rPr>
              <w:t>Invalid link. Cannot view document.</w:t>
            </w:r>
          </w:p>
        </w:tc>
      </w:tr>
      <w:tr w:rsidR="002C02D0" w:rsidRPr="00352C84" w:rsidTr="00DB12DB">
        <w:trPr>
          <w:cnfStyle w:val="000000100000"/>
          <w:cantSplit/>
        </w:trPr>
        <w:tc>
          <w:tcPr>
            <w:cnfStyle w:val="001000000000"/>
            <w:tcW w:w="537" w:type="dxa"/>
          </w:tcPr>
          <w:p w:rsidR="002C02D0" w:rsidRPr="00352C84" w:rsidRDefault="002C02D0" w:rsidP="002B70A0">
            <w:r w:rsidRPr="00352C84">
              <w:t>15</w:t>
            </w:r>
          </w:p>
        </w:tc>
        <w:tc>
          <w:tcPr>
            <w:tcW w:w="2181" w:type="dxa"/>
          </w:tcPr>
          <w:p w:rsidR="002C02D0" w:rsidRPr="00352C84" w:rsidRDefault="00E142D0" w:rsidP="003B0182">
            <w:pPr>
              <w:cnfStyle w:val="000000100000"/>
              <w:rPr>
                <w:rFonts w:ascii="Calibri" w:hAnsi="Calibri"/>
                <w:color w:val="0000FF"/>
                <w:sz w:val="16"/>
                <w:szCs w:val="16"/>
                <w:u w:val="single"/>
              </w:rPr>
            </w:pPr>
            <w:hyperlink r:id="rId21" w:anchor="!documentDetail;D=HHS-OS-2012-0007-0051" w:history="1">
              <w:r w:rsidR="002C02D0" w:rsidRPr="00352C84">
                <w:rPr>
                  <w:rFonts w:ascii="Calibri" w:hAnsi="Calibri"/>
                  <w:color w:val="0000FF"/>
                  <w:sz w:val="16"/>
                  <w:u w:val="single"/>
                </w:rPr>
                <w:t>HHS-OS-2012-0007-DRAFT-0051</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p.1</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Peter Alterman</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SAFE-BioPharma Association</w:t>
            </w:r>
          </w:p>
        </w:tc>
        <w:tc>
          <w:tcPr>
            <w:tcW w:w="5130" w:type="dxa"/>
          </w:tcPr>
          <w:p w:rsidR="002C02D0" w:rsidRPr="00352C84" w:rsidRDefault="00784860" w:rsidP="00784860">
            <w:pPr>
              <w:pStyle w:val="ListParagraph"/>
              <w:numPr>
                <w:ilvl w:val="0"/>
                <w:numId w:val="1"/>
              </w:numPr>
              <w:ind w:left="288" w:hanging="144"/>
              <w:cnfStyle w:val="000000100000"/>
              <w:rPr>
                <w:rFonts w:cstheme="minorHAnsi"/>
                <w:sz w:val="16"/>
                <w:szCs w:val="16"/>
              </w:rPr>
            </w:pPr>
            <w:r w:rsidRPr="00352C84">
              <w:rPr>
                <w:rFonts w:cstheme="minorHAnsi"/>
                <w:sz w:val="16"/>
                <w:szCs w:val="16"/>
              </w:rPr>
              <w:t>No response.</w:t>
            </w:r>
          </w:p>
          <w:p w:rsidR="00784860" w:rsidRPr="00352C84" w:rsidRDefault="00784860" w:rsidP="00784860">
            <w:pPr>
              <w:autoSpaceDE w:val="0"/>
              <w:autoSpaceDN w:val="0"/>
              <w:adjustRightInd w:val="0"/>
              <w:cnfStyle w:val="000000100000"/>
              <w:rPr>
                <w:rFonts w:cstheme="minorHAnsi"/>
                <w:sz w:val="16"/>
                <w:szCs w:val="16"/>
              </w:rPr>
            </w:pPr>
          </w:p>
        </w:tc>
      </w:tr>
      <w:tr w:rsidR="002C02D0" w:rsidRPr="00352C84" w:rsidTr="00DB12DB">
        <w:trPr>
          <w:cantSplit/>
        </w:trPr>
        <w:tc>
          <w:tcPr>
            <w:cnfStyle w:val="001000000000"/>
            <w:tcW w:w="537" w:type="dxa"/>
          </w:tcPr>
          <w:p w:rsidR="002C02D0" w:rsidRPr="00352C84" w:rsidRDefault="002C02D0" w:rsidP="002B70A0">
            <w:r w:rsidRPr="00352C84">
              <w:t>16</w:t>
            </w:r>
          </w:p>
        </w:tc>
        <w:tc>
          <w:tcPr>
            <w:tcW w:w="2181" w:type="dxa"/>
          </w:tcPr>
          <w:p w:rsidR="002C02D0" w:rsidRPr="00352C84" w:rsidRDefault="00E142D0" w:rsidP="003B0182">
            <w:pPr>
              <w:cnfStyle w:val="000000000000"/>
              <w:rPr>
                <w:rFonts w:ascii="Calibri" w:hAnsi="Calibri"/>
                <w:color w:val="0000FF"/>
                <w:sz w:val="16"/>
                <w:szCs w:val="16"/>
                <w:u w:val="single"/>
              </w:rPr>
            </w:pPr>
            <w:hyperlink r:id="rId22" w:anchor="!documentDetail;D=HHS-OS-2012-0007-0210" w:tooltip="The document ID for this document is HHS-OS-2012-0007-0210" w:history="1">
              <w:r w:rsidR="002C02D0" w:rsidRPr="00352C84">
                <w:rPr>
                  <w:rFonts w:ascii="Calibri" w:hAnsi="Calibri"/>
                  <w:color w:val="0000FF"/>
                  <w:sz w:val="16"/>
                  <w:u w:val="single"/>
                </w:rPr>
                <w:t>HHS-OS-2012-0007-0210</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p.11</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Linda  Brady</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ADHI</w:t>
            </w:r>
          </w:p>
        </w:tc>
        <w:tc>
          <w:tcPr>
            <w:tcW w:w="5130" w:type="dxa"/>
          </w:tcPr>
          <w:p w:rsidR="00AB3F35" w:rsidRPr="00703CA2" w:rsidRDefault="002F0F70" w:rsidP="00AB3F35">
            <w:pPr>
              <w:pStyle w:val="ListParagraph"/>
              <w:numPr>
                <w:ilvl w:val="0"/>
                <w:numId w:val="1"/>
              </w:numPr>
              <w:ind w:left="288" w:hanging="144"/>
              <w:cnfStyle w:val="000000000000"/>
              <w:rPr>
                <w:rFonts w:cstheme="minorHAnsi"/>
                <w:sz w:val="16"/>
                <w:szCs w:val="16"/>
              </w:rPr>
            </w:pPr>
            <w:r w:rsidRPr="00703CA2">
              <w:rPr>
                <w:rFonts w:cstheme="minorHAnsi"/>
                <w:sz w:val="16"/>
                <w:szCs w:val="16"/>
              </w:rPr>
              <w:t>Commented that absolutely</w:t>
            </w:r>
            <w:r w:rsidR="00AB3F35" w:rsidRPr="00703CA2">
              <w:rPr>
                <w:rFonts w:cstheme="minorHAnsi"/>
                <w:sz w:val="16"/>
                <w:szCs w:val="16"/>
              </w:rPr>
              <w:t xml:space="preserve"> EPs/EHs/CAHs should attest to implementing all portions of the HIPAA Security Rule.</w:t>
            </w:r>
          </w:p>
          <w:p w:rsidR="00AB3F35" w:rsidRPr="00703CA2" w:rsidRDefault="00CF6C26" w:rsidP="00AB3F35">
            <w:pPr>
              <w:pStyle w:val="ListParagraph"/>
              <w:numPr>
                <w:ilvl w:val="0"/>
                <w:numId w:val="1"/>
              </w:numPr>
              <w:ind w:left="288" w:hanging="144"/>
              <w:cnfStyle w:val="000000000000"/>
              <w:rPr>
                <w:rFonts w:cstheme="minorHAnsi"/>
                <w:sz w:val="16"/>
                <w:szCs w:val="16"/>
              </w:rPr>
            </w:pPr>
            <w:r w:rsidRPr="00703CA2">
              <w:rPr>
                <w:rFonts w:cstheme="minorHAnsi"/>
                <w:sz w:val="16"/>
                <w:szCs w:val="16"/>
              </w:rPr>
              <w:t>Recommended</w:t>
            </w:r>
            <w:r w:rsidR="00AB3F35" w:rsidRPr="00703CA2">
              <w:rPr>
                <w:rFonts w:cstheme="minorHAnsi"/>
                <w:sz w:val="16"/>
                <w:szCs w:val="16"/>
              </w:rPr>
              <w:t xml:space="preserve"> including a requirement for encryption, because encryption is not being done on a consistent basis until a breach has occurred.</w:t>
            </w:r>
          </w:p>
          <w:p w:rsidR="00AB3F35" w:rsidRPr="00703CA2" w:rsidRDefault="00CF6C26" w:rsidP="00EE6A6A">
            <w:pPr>
              <w:pStyle w:val="ListParagraph"/>
              <w:numPr>
                <w:ilvl w:val="0"/>
                <w:numId w:val="1"/>
              </w:numPr>
              <w:ind w:left="288" w:hanging="144"/>
              <w:cnfStyle w:val="000000000000"/>
              <w:rPr>
                <w:rFonts w:cstheme="minorHAnsi"/>
                <w:sz w:val="16"/>
                <w:szCs w:val="16"/>
              </w:rPr>
            </w:pPr>
            <w:r w:rsidRPr="00703CA2">
              <w:rPr>
                <w:rFonts w:cstheme="minorHAnsi"/>
                <w:sz w:val="16"/>
                <w:szCs w:val="16"/>
              </w:rPr>
              <w:t>Suggested</w:t>
            </w:r>
            <w:r w:rsidR="00AB3F35" w:rsidRPr="00703CA2">
              <w:rPr>
                <w:rFonts w:cstheme="minorHAnsi"/>
                <w:sz w:val="16"/>
                <w:szCs w:val="16"/>
              </w:rPr>
              <w:t xml:space="preserve"> that encryption be required for certification and be sure it cannot be bypassed or turned off in the system.</w:t>
            </w:r>
          </w:p>
        </w:tc>
      </w:tr>
      <w:tr w:rsidR="002C02D0" w:rsidRPr="00352C84" w:rsidTr="00DB12DB">
        <w:trPr>
          <w:cnfStyle w:val="000000100000"/>
          <w:cantSplit/>
        </w:trPr>
        <w:tc>
          <w:tcPr>
            <w:cnfStyle w:val="001000000000"/>
            <w:tcW w:w="537" w:type="dxa"/>
          </w:tcPr>
          <w:p w:rsidR="002C02D0" w:rsidRPr="00352C84" w:rsidRDefault="002C02D0" w:rsidP="002B70A0">
            <w:r w:rsidRPr="00352C84">
              <w:t>17</w:t>
            </w:r>
          </w:p>
        </w:tc>
        <w:tc>
          <w:tcPr>
            <w:tcW w:w="2181" w:type="dxa"/>
          </w:tcPr>
          <w:p w:rsidR="002C02D0" w:rsidRPr="00352C84" w:rsidRDefault="00E142D0" w:rsidP="003B0182">
            <w:pPr>
              <w:cnfStyle w:val="000000100000"/>
              <w:rPr>
                <w:rFonts w:ascii="Calibri" w:hAnsi="Calibri"/>
                <w:color w:val="0000FF"/>
                <w:sz w:val="16"/>
                <w:szCs w:val="16"/>
                <w:u w:val="single"/>
              </w:rPr>
            </w:pPr>
            <w:hyperlink r:id="rId23" w:anchor="!documentDetail;D=HHS-OS-2012-0007-0203" w:tooltip="The document ID for this document is HHS-OS-2012-0007-0203" w:history="1">
              <w:r w:rsidR="002C02D0" w:rsidRPr="00352C84">
                <w:rPr>
                  <w:rFonts w:ascii="Calibri" w:hAnsi="Calibri"/>
                  <w:color w:val="0000FF"/>
                  <w:sz w:val="16"/>
                  <w:u w:val="single"/>
                </w:rPr>
                <w:t>HHS-OS-2012-0007-0203</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p.11</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Robert  Bennett</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American Academy of Family Physicians</w:t>
            </w:r>
          </w:p>
        </w:tc>
        <w:tc>
          <w:tcPr>
            <w:tcW w:w="5130" w:type="dxa"/>
          </w:tcPr>
          <w:p w:rsidR="00DA248A" w:rsidRPr="00703CA2" w:rsidRDefault="00DA248A"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Obser</w:t>
            </w:r>
            <w:r w:rsidR="00CF6C26" w:rsidRPr="00352C84">
              <w:rPr>
                <w:rFonts w:cstheme="minorHAnsi"/>
                <w:sz w:val="16"/>
                <w:szCs w:val="16"/>
              </w:rPr>
              <w:t>ved</w:t>
            </w:r>
            <w:r w:rsidRPr="00352C84">
              <w:rPr>
                <w:rFonts w:cstheme="minorHAnsi"/>
                <w:sz w:val="16"/>
                <w:szCs w:val="16"/>
              </w:rPr>
              <w:t xml:space="preserve"> if Health Insurance Portability and Accountability Act </w:t>
            </w:r>
            <w:r w:rsidRPr="00703CA2">
              <w:rPr>
                <w:rFonts w:cstheme="minorHAnsi"/>
                <w:sz w:val="16"/>
                <w:szCs w:val="16"/>
              </w:rPr>
              <w:t>(HIPAA) compliance is a problem, then obviously HIPAA is not having the intended impact.</w:t>
            </w:r>
          </w:p>
          <w:p w:rsidR="00DA248A" w:rsidRPr="00352C84" w:rsidRDefault="00CF6C26" w:rsidP="00EE6A6A">
            <w:pPr>
              <w:pStyle w:val="ListParagraph"/>
              <w:numPr>
                <w:ilvl w:val="0"/>
                <w:numId w:val="1"/>
              </w:numPr>
              <w:ind w:left="288" w:hanging="144"/>
              <w:cnfStyle w:val="000000100000"/>
              <w:rPr>
                <w:rFonts w:cstheme="minorHAnsi"/>
                <w:sz w:val="16"/>
                <w:szCs w:val="16"/>
              </w:rPr>
            </w:pPr>
            <w:r w:rsidRPr="00703CA2">
              <w:rPr>
                <w:rFonts w:cstheme="minorHAnsi"/>
                <w:sz w:val="16"/>
                <w:szCs w:val="16"/>
              </w:rPr>
              <w:t>Suggested</w:t>
            </w:r>
            <w:r w:rsidR="00DA248A" w:rsidRPr="00703CA2">
              <w:rPr>
                <w:rFonts w:cstheme="minorHAnsi"/>
                <w:sz w:val="16"/>
                <w:szCs w:val="16"/>
              </w:rPr>
              <w:t xml:space="preserve"> using HIPAA, not meaningful use, to improve privacy and security education, policy, and process.</w:t>
            </w:r>
          </w:p>
        </w:tc>
      </w:tr>
      <w:tr w:rsidR="002C02D0" w:rsidRPr="00352C84" w:rsidTr="00DB12DB">
        <w:trPr>
          <w:cantSplit/>
        </w:trPr>
        <w:tc>
          <w:tcPr>
            <w:cnfStyle w:val="001000000000"/>
            <w:tcW w:w="537" w:type="dxa"/>
          </w:tcPr>
          <w:p w:rsidR="002C02D0" w:rsidRPr="00352C84" w:rsidRDefault="002C02D0" w:rsidP="002B70A0">
            <w:r w:rsidRPr="00352C84">
              <w:lastRenderedPageBreak/>
              <w:t>18</w:t>
            </w:r>
          </w:p>
        </w:tc>
        <w:tc>
          <w:tcPr>
            <w:tcW w:w="2181" w:type="dxa"/>
          </w:tcPr>
          <w:p w:rsidR="002C02D0" w:rsidRPr="00352C84" w:rsidRDefault="00E142D0" w:rsidP="003B0182">
            <w:pPr>
              <w:cnfStyle w:val="000000000000"/>
              <w:rPr>
                <w:rFonts w:ascii="Calibri" w:hAnsi="Calibri"/>
                <w:color w:val="0000FF"/>
                <w:sz w:val="16"/>
                <w:szCs w:val="16"/>
                <w:u w:val="single"/>
              </w:rPr>
            </w:pPr>
            <w:hyperlink r:id="rId24" w:anchor="!documentDetail;D=HHS-OS-2012-0007-0503" w:history="1">
              <w:r w:rsidR="002C02D0" w:rsidRPr="00352C84">
                <w:rPr>
                  <w:rFonts w:ascii="Calibri" w:hAnsi="Calibri"/>
                  <w:color w:val="0000FF"/>
                  <w:sz w:val="16"/>
                  <w:u w:val="single"/>
                </w:rPr>
                <w:t>HHS-OS-2012-0007-0503</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p.11</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 </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The Joint Commission</w:t>
            </w:r>
          </w:p>
        </w:tc>
        <w:tc>
          <w:tcPr>
            <w:tcW w:w="5130" w:type="dxa"/>
          </w:tcPr>
          <w:p w:rsidR="00974CB8" w:rsidRPr="00703CA2" w:rsidRDefault="0038283E" w:rsidP="00974CB8">
            <w:pPr>
              <w:pStyle w:val="ListParagraph"/>
              <w:numPr>
                <w:ilvl w:val="0"/>
                <w:numId w:val="1"/>
              </w:numPr>
              <w:ind w:left="288" w:hanging="144"/>
              <w:cnfStyle w:val="000000000000"/>
              <w:rPr>
                <w:rFonts w:cstheme="minorHAnsi"/>
                <w:sz w:val="16"/>
                <w:szCs w:val="16"/>
              </w:rPr>
            </w:pPr>
            <w:r w:rsidRPr="00703CA2">
              <w:rPr>
                <w:rFonts w:cstheme="minorHAnsi"/>
                <w:sz w:val="16"/>
                <w:szCs w:val="16"/>
              </w:rPr>
              <w:t>Commented that it b</w:t>
            </w:r>
            <w:r w:rsidR="00CF6C26" w:rsidRPr="00703CA2">
              <w:rPr>
                <w:rFonts w:cstheme="minorHAnsi"/>
                <w:sz w:val="16"/>
                <w:szCs w:val="16"/>
              </w:rPr>
              <w:t>elieved</w:t>
            </w:r>
            <w:r w:rsidR="00974CB8" w:rsidRPr="00703CA2">
              <w:rPr>
                <w:rFonts w:cstheme="minorHAnsi"/>
                <w:sz w:val="16"/>
                <w:szCs w:val="16"/>
              </w:rPr>
              <w:t xml:space="preserve"> that it is appropriate for providers and hospitals to attest that they are conforming to the Healthcare Insurance Portability and Accountability Acts (HIPAA) Security Rule. </w:t>
            </w:r>
          </w:p>
          <w:p w:rsidR="00974CB8" w:rsidRPr="00703CA2" w:rsidRDefault="0038283E" w:rsidP="00974CB8">
            <w:pPr>
              <w:pStyle w:val="ListParagraph"/>
              <w:numPr>
                <w:ilvl w:val="0"/>
                <w:numId w:val="1"/>
              </w:numPr>
              <w:ind w:left="288" w:hanging="144"/>
              <w:cnfStyle w:val="000000000000"/>
              <w:rPr>
                <w:rFonts w:cstheme="minorHAnsi"/>
                <w:sz w:val="16"/>
                <w:szCs w:val="16"/>
              </w:rPr>
            </w:pPr>
            <w:r w:rsidRPr="00703CA2">
              <w:rPr>
                <w:rFonts w:cstheme="minorHAnsi"/>
                <w:sz w:val="16"/>
                <w:szCs w:val="16"/>
              </w:rPr>
              <w:t xml:space="preserve">Commented that it believed </w:t>
            </w:r>
            <w:r w:rsidR="00974CB8" w:rsidRPr="00703CA2">
              <w:rPr>
                <w:rFonts w:cstheme="minorHAnsi"/>
                <w:sz w:val="16"/>
                <w:szCs w:val="16"/>
              </w:rPr>
              <w:t>that attestation would not cause burden on the entities as they should already be in conformance</w:t>
            </w:r>
            <w:r w:rsidR="00D20E3A" w:rsidRPr="00703CA2">
              <w:rPr>
                <w:rFonts w:cstheme="minorHAnsi"/>
                <w:sz w:val="16"/>
                <w:szCs w:val="16"/>
              </w:rPr>
              <w:t>.  Further</w:t>
            </w:r>
            <w:r w:rsidR="00974CB8" w:rsidRPr="00703CA2">
              <w:rPr>
                <w:rFonts w:cstheme="minorHAnsi"/>
                <w:sz w:val="16"/>
                <w:szCs w:val="16"/>
              </w:rPr>
              <w:t>, if they are not it will provide another opportunity for the government to stress the importance of the rule.</w:t>
            </w:r>
          </w:p>
          <w:p w:rsidR="002C02D0" w:rsidRPr="00352C84" w:rsidRDefault="0038283E" w:rsidP="00EE6A6A">
            <w:pPr>
              <w:pStyle w:val="ListParagraph"/>
              <w:numPr>
                <w:ilvl w:val="0"/>
                <w:numId w:val="1"/>
              </w:numPr>
              <w:ind w:left="288" w:hanging="144"/>
              <w:cnfStyle w:val="000000000000"/>
              <w:rPr>
                <w:rFonts w:cstheme="minorHAnsi"/>
                <w:sz w:val="16"/>
                <w:szCs w:val="16"/>
              </w:rPr>
            </w:pPr>
            <w:r w:rsidRPr="00703CA2">
              <w:rPr>
                <w:rFonts w:cstheme="minorHAnsi"/>
                <w:sz w:val="16"/>
                <w:szCs w:val="16"/>
              </w:rPr>
              <w:t>Commente</w:t>
            </w:r>
            <w:r w:rsidR="00C63484">
              <w:rPr>
                <w:rFonts w:cstheme="minorHAnsi"/>
                <w:sz w:val="16"/>
                <w:szCs w:val="16"/>
              </w:rPr>
              <w:t>r remarked</w:t>
            </w:r>
            <w:r w:rsidRPr="00703CA2">
              <w:rPr>
                <w:rFonts w:cstheme="minorHAnsi"/>
                <w:sz w:val="16"/>
                <w:szCs w:val="16"/>
              </w:rPr>
              <w:t xml:space="preserve"> that it r</w:t>
            </w:r>
            <w:r w:rsidR="00CF6C26" w:rsidRPr="00703CA2">
              <w:rPr>
                <w:rFonts w:cstheme="minorHAnsi"/>
                <w:sz w:val="16"/>
                <w:szCs w:val="16"/>
              </w:rPr>
              <w:t>equired</w:t>
            </w:r>
            <w:r w:rsidR="00974CB8" w:rsidRPr="00703CA2">
              <w:rPr>
                <w:rFonts w:cstheme="minorHAnsi"/>
                <w:sz w:val="16"/>
                <w:szCs w:val="16"/>
              </w:rPr>
              <w:t xml:space="preserve"> its ORYX vendors to attest that they (1) adhere to HIPAA and all related regulations and guidance; (2) have policies and procedures that address security protocols; (3) have policies, procedures, and practices that address employee and other authorized individuals access, use, disclosure, and safeguarding of Protected Health Information; and (4) provide initial and annual training to their employees and any authorized individuals related to the organization’s administrative, physical, and technical policies, procedures, and practices for all technical reporting requirements related to the ORYX contract agreement.</w:t>
            </w:r>
            <w:r w:rsidR="00974CB8" w:rsidRPr="00352C84">
              <w:rPr>
                <w:rFonts w:cstheme="minorHAnsi"/>
                <w:sz w:val="16"/>
                <w:szCs w:val="16"/>
              </w:rPr>
              <w:t xml:space="preserve"> </w:t>
            </w:r>
          </w:p>
        </w:tc>
      </w:tr>
      <w:tr w:rsidR="002C02D0" w:rsidRPr="00352C84" w:rsidTr="00DB12DB">
        <w:trPr>
          <w:cnfStyle w:val="000000100000"/>
          <w:cantSplit/>
        </w:trPr>
        <w:tc>
          <w:tcPr>
            <w:cnfStyle w:val="001000000000"/>
            <w:tcW w:w="537" w:type="dxa"/>
          </w:tcPr>
          <w:p w:rsidR="002C02D0" w:rsidRPr="00352C84" w:rsidRDefault="002C02D0" w:rsidP="002B70A0">
            <w:r w:rsidRPr="00352C84">
              <w:t>19</w:t>
            </w:r>
          </w:p>
        </w:tc>
        <w:tc>
          <w:tcPr>
            <w:tcW w:w="2181" w:type="dxa"/>
          </w:tcPr>
          <w:p w:rsidR="002C02D0" w:rsidRPr="00352C84" w:rsidRDefault="00E142D0" w:rsidP="003B0182">
            <w:pPr>
              <w:cnfStyle w:val="000000100000"/>
              <w:rPr>
                <w:rFonts w:ascii="Calibri" w:hAnsi="Calibri"/>
                <w:color w:val="0000FF"/>
                <w:sz w:val="16"/>
                <w:szCs w:val="16"/>
                <w:u w:val="single"/>
              </w:rPr>
            </w:pPr>
            <w:hyperlink r:id="rId25" w:anchor="!documentDetail;D=HHS-OS-2012-0007-0325" w:tooltip="The document ID for this document is HHS-OS-2012-0007-0325" w:history="1">
              <w:r w:rsidR="002C02D0" w:rsidRPr="00352C84">
                <w:rPr>
                  <w:rFonts w:ascii="Calibri" w:hAnsi="Calibri"/>
                  <w:color w:val="0000FF"/>
                  <w:sz w:val="16"/>
                  <w:u w:val="single"/>
                </w:rPr>
                <w:t>HHS-OS-2012-0007-0325</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P.12</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Pamela  Foyster</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Quality Health Network</w:t>
            </w:r>
          </w:p>
        </w:tc>
        <w:tc>
          <w:tcPr>
            <w:tcW w:w="5130" w:type="dxa"/>
          </w:tcPr>
          <w:p w:rsidR="002C02D0" w:rsidRPr="00352C84" w:rsidRDefault="00CF6C26"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Stated that</w:t>
            </w:r>
            <w:r w:rsidR="00F91C6B" w:rsidRPr="00352C84">
              <w:rPr>
                <w:rFonts w:cstheme="minorHAnsi"/>
                <w:sz w:val="16"/>
                <w:szCs w:val="16"/>
              </w:rPr>
              <w:t xml:space="preserve"> the Security Rule is a good idea.</w:t>
            </w:r>
          </w:p>
          <w:p w:rsidR="00F91C6B" w:rsidRPr="00890336" w:rsidRDefault="00CF6C26" w:rsidP="00EE6A6A">
            <w:pPr>
              <w:pStyle w:val="ListParagraph"/>
              <w:numPr>
                <w:ilvl w:val="0"/>
                <w:numId w:val="1"/>
              </w:numPr>
              <w:ind w:left="288" w:hanging="144"/>
              <w:cnfStyle w:val="000000100000"/>
              <w:rPr>
                <w:rFonts w:cstheme="minorHAnsi"/>
                <w:sz w:val="16"/>
                <w:szCs w:val="16"/>
              </w:rPr>
            </w:pPr>
            <w:r w:rsidRPr="00890336">
              <w:rPr>
                <w:rFonts w:cstheme="minorHAnsi"/>
                <w:sz w:val="16"/>
                <w:szCs w:val="16"/>
              </w:rPr>
              <w:t>Wa</w:t>
            </w:r>
            <w:r w:rsidR="00F91C6B" w:rsidRPr="00890336">
              <w:rPr>
                <w:rFonts w:cstheme="minorHAnsi"/>
                <w:sz w:val="16"/>
                <w:szCs w:val="16"/>
              </w:rPr>
              <w:t>s undecided on attestation</w:t>
            </w:r>
            <w:r w:rsidR="00A21ED1" w:rsidRPr="00890336">
              <w:rPr>
                <w:rFonts w:cstheme="minorHAnsi"/>
                <w:sz w:val="16"/>
                <w:szCs w:val="16"/>
              </w:rPr>
              <w:t xml:space="preserve"> (commenter was in favor of attesting “attest Yes/No”)</w:t>
            </w:r>
            <w:r w:rsidR="00F91C6B" w:rsidRPr="00890336">
              <w:rPr>
                <w:rFonts w:cstheme="minorHAnsi"/>
                <w:sz w:val="16"/>
                <w:szCs w:val="16"/>
              </w:rPr>
              <w:t>.</w:t>
            </w:r>
          </w:p>
        </w:tc>
      </w:tr>
      <w:tr w:rsidR="002C02D0" w:rsidRPr="00352C84" w:rsidTr="00DB12DB">
        <w:trPr>
          <w:cantSplit/>
          <w:trHeight w:val="1683"/>
        </w:trPr>
        <w:tc>
          <w:tcPr>
            <w:cnfStyle w:val="001000000000"/>
            <w:tcW w:w="537" w:type="dxa"/>
          </w:tcPr>
          <w:p w:rsidR="002C02D0" w:rsidRPr="00352C84" w:rsidRDefault="002C02D0" w:rsidP="002B70A0">
            <w:r w:rsidRPr="00352C84">
              <w:t>20</w:t>
            </w:r>
          </w:p>
        </w:tc>
        <w:tc>
          <w:tcPr>
            <w:tcW w:w="2181" w:type="dxa"/>
          </w:tcPr>
          <w:p w:rsidR="002C02D0" w:rsidRPr="00352C84" w:rsidRDefault="00E142D0" w:rsidP="003B0182">
            <w:pPr>
              <w:cnfStyle w:val="000000000000"/>
              <w:rPr>
                <w:rFonts w:ascii="Calibri" w:hAnsi="Calibri"/>
                <w:color w:val="0000FF"/>
                <w:sz w:val="16"/>
                <w:szCs w:val="16"/>
                <w:u w:val="single"/>
              </w:rPr>
            </w:pPr>
            <w:hyperlink r:id="rId26" w:anchor="!documentDetail;D=HHS-OS-2012-0007-0279" w:tooltip="The document ID for this document is HHS-OS-2012-0007-0279" w:history="1">
              <w:r w:rsidR="002C02D0" w:rsidRPr="00352C84">
                <w:rPr>
                  <w:rFonts w:ascii="Calibri" w:hAnsi="Calibri"/>
                  <w:color w:val="0000FF"/>
                  <w:sz w:val="16"/>
                  <w:u w:val="single"/>
                </w:rPr>
                <w:t>HHS-OS-2012-0007-0279</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p.17</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Yomaris  Guerrero</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Boston Medical Center</w:t>
            </w:r>
          </w:p>
        </w:tc>
        <w:tc>
          <w:tcPr>
            <w:tcW w:w="5130" w:type="dxa"/>
          </w:tcPr>
          <w:p w:rsidR="00F91C6B" w:rsidRPr="00703CA2" w:rsidRDefault="00CF6C26" w:rsidP="00F91C6B">
            <w:pPr>
              <w:pStyle w:val="ListParagraph"/>
              <w:numPr>
                <w:ilvl w:val="0"/>
                <w:numId w:val="1"/>
              </w:numPr>
              <w:ind w:left="288" w:hanging="144"/>
              <w:cnfStyle w:val="000000000000"/>
              <w:rPr>
                <w:rFonts w:cstheme="minorHAnsi"/>
                <w:sz w:val="16"/>
                <w:szCs w:val="16"/>
              </w:rPr>
            </w:pPr>
            <w:r w:rsidRPr="00703CA2">
              <w:rPr>
                <w:rFonts w:cstheme="minorHAnsi"/>
                <w:sz w:val="16"/>
                <w:szCs w:val="16"/>
              </w:rPr>
              <w:t>Supported</w:t>
            </w:r>
            <w:r w:rsidR="00F91C6B" w:rsidRPr="00703CA2">
              <w:rPr>
                <w:rFonts w:cstheme="minorHAnsi"/>
                <w:sz w:val="16"/>
                <w:szCs w:val="16"/>
              </w:rPr>
              <w:t xml:space="preserve"> requiring attestation to the implementation of HIPAA Security Rule provisions regarding workforce/staff outreach and training. </w:t>
            </w:r>
          </w:p>
          <w:p w:rsidR="00F91C6B" w:rsidRPr="00703CA2" w:rsidRDefault="00CF6C26" w:rsidP="00F91C6B">
            <w:pPr>
              <w:pStyle w:val="ListParagraph"/>
              <w:numPr>
                <w:ilvl w:val="0"/>
                <w:numId w:val="1"/>
              </w:numPr>
              <w:ind w:left="288" w:hanging="144"/>
              <w:cnfStyle w:val="000000000000"/>
              <w:rPr>
                <w:rFonts w:cstheme="minorHAnsi"/>
                <w:sz w:val="16"/>
                <w:szCs w:val="16"/>
              </w:rPr>
            </w:pPr>
            <w:r w:rsidRPr="00703CA2">
              <w:rPr>
                <w:rFonts w:cstheme="minorHAnsi"/>
                <w:sz w:val="16"/>
                <w:szCs w:val="16"/>
              </w:rPr>
              <w:t>Recommended</w:t>
            </w:r>
            <w:r w:rsidR="00F91C6B" w:rsidRPr="00703CA2">
              <w:rPr>
                <w:rFonts w:cstheme="minorHAnsi"/>
                <w:sz w:val="16"/>
                <w:szCs w:val="16"/>
              </w:rPr>
              <w:t xml:space="preserve"> access control and identity management as very important aspects. </w:t>
            </w:r>
          </w:p>
          <w:p w:rsidR="00F91C6B" w:rsidRPr="00352C84" w:rsidRDefault="00CF6C26" w:rsidP="00EE6A6A">
            <w:pPr>
              <w:pStyle w:val="ListParagraph"/>
              <w:numPr>
                <w:ilvl w:val="0"/>
                <w:numId w:val="1"/>
              </w:numPr>
              <w:ind w:left="288" w:hanging="144"/>
              <w:cnfStyle w:val="000000000000"/>
              <w:rPr>
                <w:rFonts w:cstheme="minorHAnsi"/>
                <w:sz w:val="16"/>
                <w:szCs w:val="16"/>
              </w:rPr>
            </w:pPr>
            <w:r w:rsidRPr="00703CA2">
              <w:rPr>
                <w:rFonts w:cstheme="minorHAnsi"/>
                <w:sz w:val="16"/>
                <w:szCs w:val="16"/>
              </w:rPr>
              <w:t>Believed</w:t>
            </w:r>
            <w:r w:rsidR="00F91C6B" w:rsidRPr="00703CA2">
              <w:rPr>
                <w:rFonts w:cstheme="minorHAnsi"/>
                <w:sz w:val="16"/>
                <w:szCs w:val="16"/>
              </w:rPr>
              <w:t xml:space="preserve"> entities should be able to demonstrate proper role based access control design as hospital systems in general are very open in nature.</w:t>
            </w:r>
          </w:p>
        </w:tc>
      </w:tr>
      <w:tr w:rsidR="002C02D0" w:rsidRPr="00352C84" w:rsidTr="00DB12DB">
        <w:trPr>
          <w:cnfStyle w:val="000000100000"/>
          <w:cantSplit/>
        </w:trPr>
        <w:tc>
          <w:tcPr>
            <w:cnfStyle w:val="001000000000"/>
            <w:tcW w:w="537" w:type="dxa"/>
          </w:tcPr>
          <w:p w:rsidR="002C02D0" w:rsidRPr="00352C84" w:rsidRDefault="002C02D0" w:rsidP="002B70A0">
            <w:r w:rsidRPr="00352C84">
              <w:t>21</w:t>
            </w:r>
          </w:p>
        </w:tc>
        <w:tc>
          <w:tcPr>
            <w:tcW w:w="2181" w:type="dxa"/>
          </w:tcPr>
          <w:p w:rsidR="002C02D0" w:rsidRPr="00352C84" w:rsidRDefault="00E142D0" w:rsidP="003B0182">
            <w:pPr>
              <w:cnfStyle w:val="000000100000"/>
              <w:rPr>
                <w:rFonts w:ascii="Calibri" w:hAnsi="Calibri"/>
                <w:color w:val="0000FF"/>
                <w:sz w:val="16"/>
                <w:szCs w:val="16"/>
                <w:u w:val="single"/>
              </w:rPr>
            </w:pPr>
            <w:hyperlink r:id="rId27" w:anchor="!documentDetail;D=HHS-OS-2012-0007-0506" w:history="1">
              <w:r w:rsidR="002C02D0" w:rsidRPr="00352C84">
                <w:rPr>
                  <w:rFonts w:ascii="Calibri" w:hAnsi="Calibri"/>
                  <w:color w:val="0000FF"/>
                  <w:sz w:val="16"/>
                  <w:u w:val="single"/>
                </w:rPr>
                <w:t>HHS-OS-2012-0007-0506</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p.19</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Jamie Ferguson</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Kaiser Permanente</w:t>
            </w:r>
          </w:p>
        </w:tc>
        <w:tc>
          <w:tcPr>
            <w:tcW w:w="5130" w:type="dxa"/>
          </w:tcPr>
          <w:p w:rsidR="00553996" w:rsidRPr="00703CA2" w:rsidRDefault="000D7AAA"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State</w:t>
            </w:r>
            <w:r w:rsidR="00CF6C26" w:rsidRPr="00352C84">
              <w:rPr>
                <w:rFonts w:cstheme="minorHAnsi"/>
                <w:sz w:val="16"/>
                <w:szCs w:val="16"/>
              </w:rPr>
              <w:t>d</w:t>
            </w:r>
            <w:r w:rsidRPr="00352C84">
              <w:rPr>
                <w:rFonts w:cstheme="minorHAnsi"/>
                <w:sz w:val="16"/>
                <w:szCs w:val="16"/>
              </w:rPr>
              <w:t xml:space="preserve"> that</w:t>
            </w:r>
            <w:r w:rsidR="00553996" w:rsidRPr="00352C84">
              <w:rPr>
                <w:rFonts w:cstheme="minorHAnsi"/>
                <w:sz w:val="16"/>
                <w:szCs w:val="16"/>
              </w:rPr>
              <w:t xml:space="preserve"> the current HIPAA Security Rule requirement to conduct or </w:t>
            </w:r>
            <w:r w:rsidR="00553996" w:rsidRPr="00703CA2">
              <w:rPr>
                <w:rFonts w:cstheme="minorHAnsi"/>
                <w:sz w:val="16"/>
                <w:szCs w:val="16"/>
              </w:rPr>
              <w:t>review a security risk assessment is comprehensive and clearly requires providers to comply with all of its provisions.</w:t>
            </w:r>
          </w:p>
          <w:p w:rsidR="00553996" w:rsidRPr="00352C84" w:rsidRDefault="00A739CE" w:rsidP="000D7AAA">
            <w:pPr>
              <w:pStyle w:val="ListParagraph"/>
              <w:numPr>
                <w:ilvl w:val="0"/>
                <w:numId w:val="1"/>
              </w:numPr>
              <w:ind w:left="288" w:hanging="144"/>
              <w:cnfStyle w:val="000000100000"/>
              <w:rPr>
                <w:rFonts w:cstheme="minorHAnsi"/>
                <w:sz w:val="16"/>
                <w:szCs w:val="16"/>
              </w:rPr>
            </w:pPr>
            <w:r w:rsidRPr="00703CA2">
              <w:rPr>
                <w:rFonts w:cstheme="minorHAnsi"/>
                <w:sz w:val="16"/>
                <w:szCs w:val="16"/>
              </w:rPr>
              <w:t xml:space="preserve">Commented that </w:t>
            </w:r>
            <w:r w:rsidR="00553996" w:rsidRPr="00703CA2">
              <w:rPr>
                <w:rFonts w:cstheme="minorHAnsi"/>
                <w:sz w:val="16"/>
                <w:szCs w:val="16"/>
              </w:rPr>
              <w:t>it would be unnecessary and overly burdensome to require attestation under the MU Program for specific components of the Rule such as security training and workforce awareness.</w:t>
            </w:r>
          </w:p>
        </w:tc>
      </w:tr>
      <w:tr w:rsidR="002C02D0" w:rsidRPr="00352C84" w:rsidTr="00DB12DB">
        <w:trPr>
          <w:cantSplit/>
        </w:trPr>
        <w:tc>
          <w:tcPr>
            <w:cnfStyle w:val="001000000000"/>
            <w:tcW w:w="537" w:type="dxa"/>
          </w:tcPr>
          <w:p w:rsidR="002C02D0" w:rsidRPr="00352C84" w:rsidRDefault="002C02D0" w:rsidP="002B70A0">
            <w:r w:rsidRPr="00352C84">
              <w:t>22</w:t>
            </w:r>
          </w:p>
        </w:tc>
        <w:tc>
          <w:tcPr>
            <w:tcW w:w="2181" w:type="dxa"/>
          </w:tcPr>
          <w:p w:rsidR="002C02D0" w:rsidRPr="00352C84" w:rsidRDefault="00E142D0" w:rsidP="003B0182">
            <w:pPr>
              <w:cnfStyle w:val="000000000000"/>
              <w:rPr>
                <w:rFonts w:ascii="Calibri" w:hAnsi="Calibri"/>
                <w:color w:val="0000FF"/>
                <w:sz w:val="16"/>
                <w:szCs w:val="16"/>
                <w:u w:val="single"/>
              </w:rPr>
            </w:pPr>
            <w:hyperlink r:id="rId28" w:anchor="!documentDetail;D=HHS-OS-2012-0007-0342" w:tooltip="The document ID for this document is HHS-OS-2012-0007-0342" w:history="1">
              <w:r w:rsidR="002C02D0" w:rsidRPr="00352C84">
                <w:rPr>
                  <w:rFonts w:ascii="Calibri" w:hAnsi="Calibri"/>
                  <w:color w:val="0000FF"/>
                  <w:sz w:val="16"/>
                  <w:u w:val="single"/>
                </w:rPr>
                <w:t>HHS-OS-2012-0007-0342</w:t>
              </w:r>
            </w:hyperlink>
          </w:p>
        </w:tc>
        <w:tc>
          <w:tcPr>
            <w:tcW w:w="720" w:type="dxa"/>
          </w:tcPr>
          <w:p w:rsidR="002C02D0" w:rsidRPr="00352C84" w:rsidRDefault="000D7AAA" w:rsidP="003B0182">
            <w:pPr>
              <w:cnfStyle w:val="000000000000"/>
              <w:rPr>
                <w:rFonts w:ascii="Calibri" w:hAnsi="Calibri"/>
                <w:color w:val="000000"/>
                <w:sz w:val="16"/>
                <w:szCs w:val="16"/>
              </w:rPr>
            </w:pPr>
            <w:r w:rsidRPr="00352C84">
              <w:rPr>
                <w:rFonts w:ascii="Calibri" w:hAnsi="Calibri"/>
                <w:color w:val="000000"/>
                <w:sz w:val="16"/>
                <w:szCs w:val="16"/>
              </w:rPr>
              <w:t>p.4</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Adolph  Maren Jr.</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Oklahoma Health Care Authority</w:t>
            </w:r>
          </w:p>
        </w:tc>
        <w:tc>
          <w:tcPr>
            <w:tcW w:w="5130" w:type="dxa"/>
          </w:tcPr>
          <w:p w:rsidR="00D3246D" w:rsidRPr="00352C84" w:rsidRDefault="00CF6C26" w:rsidP="00D3246D">
            <w:pPr>
              <w:pStyle w:val="ListParagraph"/>
              <w:numPr>
                <w:ilvl w:val="0"/>
                <w:numId w:val="1"/>
              </w:numPr>
              <w:ind w:left="288" w:hanging="144"/>
              <w:cnfStyle w:val="000000000000"/>
              <w:rPr>
                <w:rFonts w:cstheme="minorHAnsi"/>
                <w:sz w:val="16"/>
                <w:szCs w:val="16"/>
              </w:rPr>
            </w:pPr>
            <w:r w:rsidRPr="00352C84">
              <w:rPr>
                <w:rFonts w:cstheme="minorHAnsi"/>
                <w:sz w:val="16"/>
                <w:szCs w:val="16"/>
              </w:rPr>
              <w:t>Supported</w:t>
            </w:r>
            <w:r w:rsidR="00D3246D" w:rsidRPr="00352C84">
              <w:rPr>
                <w:rFonts w:cstheme="minorHAnsi"/>
                <w:sz w:val="16"/>
                <w:szCs w:val="16"/>
              </w:rPr>
              <w:t xml:space="preserve"> the proposal for attestation of training workforce on the practical implications of the HIPAA Security Rule.</w:t>
            </w:r>
          </w:p>
          <w:p w:rsidR="00D3246D" w:rsidRPr="00352C84" w:rsidRDefault="00A739CE" w:rsidP="00D3246D">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that </w:t>
            </w:r>
            <w:r w:rsidR="00D3246D" w:rsidRPr="00352C84">
              <w:rPr>
                <w:rFonts w:cstheme="minorHAnsi"/>
                <w:sz w:val="16"/>
                <w:szCs w:val="16"/>
              </w:rPr>
              <w:t>a number of security issues through provider use of unencrypted mobile devices, such as iPads and smart phones, and non-HIPAA compliant applications such as Facetime and Skype.</w:t>
            </w:r>
          </w:p>
          <w:p w:rsidR="002C02D0" w:rsidRPr="00352C84" w:rsidRDefault="00CF6C26" w:rsidP="000D7AAA">
            <w:pPr>
              <w:pStyle w:val="ListParagraph"/>
              <w:numPr>
                <w:ilvl w:val="0"/>
                <w:numId w:val="1"/>
              </w:numPr>
              <w:ind w:left="288" w:hanging="144"/>
              <w:cnfStyle w:val="000000000000"/>
              <w:rPr>
                <w:rFonts w:cstheme="minorHAnsi"/>
                <w:sz w:val="16"/>
                <w:szCs w:val="16"/>
              </w:rPr>
            </w:pPr>
            <w:r w:rsidRPr="00352C84">
              <w:rPr>
                <w:rFonts w:cstheme="minorHAnsi"/>
                <w:sz w:val="16"/>
                <w:szCs w:val="16"/>
              </w:rPr>
              <w:t>Recommended</w:t>
            </w:r>
            <w:r w:rsidR="00D3246D" w:rsidRPr="00352C84">
              <w:rPr>
                <w:rFonts w:cstheme="minorHAnsi"/>
                <w:sz w:val="16"/>
                <w:szCs w:val="16"/>
              </w:rPr>
              <w:t xml:space="preserve"> that training of regulations as they apply to mobile devices and communications be required as part of the proposed workforce / staff outreach and training attestation. </w:t>
            </w:r>
          </w:p>
        </w:tc>
      </w:tr>
      <w:tr w:rsidR="002C02D0" w:rsidRPr="00352C84" w:rsidTr="00DB12DB">
        <w:trPr>
          <w:cnfStyle w:val="000000100000"/>
          <w:cantSplit/>
        </w:trPr>
        <w:tc>
          <w:tcPr>
            <w:cnfStyle w:val="001000000000"/>
            <w:tcW w:w="537" w:type="dxa"/>
          </w:tcPr>
          <w:p w:rsidR="002C02D0" w:rsidRPr="00352C84" w:rsidRDefault="002C02D0" w:rsidP="002B70A0">
            <w:r w:rsidRPr="00352C84">
              <w:lastRenderedPageBreak/>
              <w:t>23</w:t>
            </w:r>
          </w:p>
        </w:tc>
        <w:tc>
          <w:tcPr>
            <w:tcW w:w="2181" w:type="dxa"/>
          </w:tcPr>
          <w:p w:rsidR="002C02D0" w:rsidRPr="00352C84" w:rsidRDefault="00E142D0" w:rsidP="003B0182">
            <w:pPr>
              <w:cnfStyle w:val="000000100000"/>
              <w:rPr>
                <w:rFonts w:ascii="Calibri" w:hAnsi="Calibri"/>
                <w:color w:val="0000FF"/>
                <w:sz w:val="16"/>
                <w:szCs w:val="16"/>
                <w:u w:val="single"/>
              </w:rPr>
            </w:pPr>
            <w:hyperlink r:id="rId29" w:anchor="!documentDetail;D=HHS-OS-2012-0007-0510" w:history="1">
              <w:r w:rsidR="002C02D0" w:rsidRPr="00352C84">
                <w:rPr>
                  <w:rFonts w:ascii="Calibri" w:hAnsi="Calibri"/>
                  <w:color w:val="0000FF"/>
                  <w:sz w:val="16"/>
                  <w:u w:val="single"/>
                </w:rPr>
                <w:t>HHS-OS-2012-0007-0510</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p.2</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Kelly Broder</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Surescripts, LLC</w:t>
            </w:r>
          </w:p>
        </w:tc>
        <w:tc>
          <w:tcPr>
            <w:tcW w:w="5130" w:type="dxa"/>
          </w:tcPr>
          <w:p w:rsidR="002F59C3" w:rsidRPr="00352C84" w:rsidRDefault="000D7AAA"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State</w:t>
            </w:r>
            <w:r w:rsidR="00CF6C26" w:rsidRPr="00352C84">
              <w:rPr>
                <w:rFonts w:cstheme="minorHAnsi"/>
                <w:sz w:val="16"/>
                <w:szCs w:val="16"/>
              </w:rPr>
              <w:t>d</w:t>
            </w:r>
            <w:r w:rsidRPr="00352C84">
              <w:rPr>
                <w:rFonts w:cstheme="minorHAnsi"/>
                <w:sz w:val="16"/>
                <w:szCs w:val="16"/>
              </w:rPr>
              <w:t xml:space="preserve"> that</w:t>
            </w:r>
            <w:r w:rsidR="002F59C3" w:rsidRPr="00352C84">
              <w:rPr>
                <w:rFonts w:cstheme="minorHAnsi"/>
                <w:sz w:val="16"/>
                <w:szCs w:val="16"/>
              </w:rPr>
              <w:t xml:space="preserve"> the HIPAA Security Rule provides the appropriate baseline information security standards for the development of EHRs, and additional requirements that go beyond these HIPAA provisions are unwarranted.</w:t>
            </w:r>
          </w:p>
          <w:p w:rsidR="002F59C3" w:rsidRPr="00352C84" w:rsidRDefault="00CF6C26"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Stated</w:t>
            </w:r>
            <w:r w:rsidR="000D7AAA" w:rsidRPr="00352C84">
              <w:rPr>
                <w:rFonts w:cstheme="minorHAnsi"/>
                <w:sz w:val="16"/>
                <w:szCs w:val="16"/>
              </w:rPr>
              <w:t xml:space="preserve"> that</w:t>
            </w:r>
            <w:r w:rsidR="002F59C3" w:rsidRPr="00352C84">
              <w:rPr>
                <w:rFonts w:cstheme="minorHAnsi"/>
                <w:sz w:val="16"/>
                <w:szCs w:val="16"/>
              </w:rPr>
              <w:t xml:space="preserve"> ONC should not include additional security steps as a component of a meaningful use attestation, because both the authority of the OCR in this area and the need for all meaningful use participants to meet these core HIPAA standards</w:t>
            </w:r>
            <w:r w:rsidR="00E02A1E">
              <w:rPr>
                <w:rFonts w:cstheme="minorHAnsi"/>
                <w:sz w:val="16"/>
                <w:szCs w:val="16"/>
              </w:rPr>
              <w:t>.</w:t>
            </w:r>
          </w:p>
          <w:p w:rsidR="002F59C3" w:rsidRPr="00352C84" w:rsidRDefault="00A739CE" w:rsidP="003B0182">
            <w:pPr>
              <w:pStyle w:val="ListParagraph"/>
              <w:numPr>
                <w:ilvl w:val="0"/>
                <w:numId w:val="1"/>
              </w:numPr>
              <w:ind w:left="288" w:hanging="144"/>
              <w:cnfStyle w:val="000000100000"/>
              <w:rPr>
                <w:rFonts w:cstheme="minorHAnsi"/>
                <w:sz w:val="16"/>
                <w:szCs w:val="16"/>
              </w:rPr>
            </w:pPr>
            <w:r>
              <w:rPr>
                <w:rFonts w:cstheme="minorHAnsi"/>
                <w:sz w:val="16"/>
                <w:szCs w:val="16"/>
              </w:rPr>
              <w:t>Commented that</w:t>
            </w:r>
            <w:r w:rsidRPr="00352C84">
              <w:rPr>
                <w:rFonts w:cstheme="minorHAnsi"/>
                <w:sz w:val="16"/>
                <w:szCs w:val="16"/>
              </w:rPr>
              <w:t xml:space="preserve"> </w:t>
            </w:r>
            <w:r w:rsidR="002F59C3" w:rsidRPr="00352C84">
              <w:rPr>
                <w:rFonts w:cstheme="minorHAnsi"/>
                <w:sz w:val="16"/>
                <w:szCs w:val="16"/>
              </w:rPr>
              <w:t>covered entities are required by the HIPAA Security Rule to conduct ongoing risk assessments and engage in specific risk management steps, and these required steps cover EHRs in the same way that the HIPAA Security Rule governs all other aspects of the health care system for covered entities and their business associates.</w:t>
            </w:r>
          </w:p>
          <w:p w:rsidR="002F59C3" w:rsidRPr="00352C84" w:rsidRDefault="00A739CE" w:rsidP="000D7AAA">
            <w:pPr>
              <w:pStyle w:val="ListParagraph"/>
              <w:numPr>
                <w:ilvl w:val="0"/>
                <w:numId w:val="1"/>
              </w:numPr>
              <w:ind w:left="288" w:hanging="144"/>
              <w:cnfStyle w:val="000000100000"/>
              <w:rPr>
                <w:rFonts w:cstheme="minorHAnsi"/>
                <w:sz w:val="16"/>
                <w:szCs w:val="16"/>
              </w:rPr>
            </w:pPr>
            <w:r>
              <w:rPr>
                <w:rFonts w:cstheme="minorHAnsi"/>
                <w:sz w:val="16"/>
                <w:szCs w:val="16"/>
              </w:rPr>
              <w:t xml:space="preserve">Commented that </w:t>
            </w:r>
            <w:r w:rsidR="002F59C3" w:rsidRPr="00352C84">
              <w:rPr>
                <w:rFonts w:cstheme="minorHAnsi"/>
                <w:sz w:val="16"/>
                <w:szCs w:val="16"/>
              </w:rPr>
              <w:t>there is no need for additional, supplemental or highlighted requirements as part of any particular aspect of the operation of a health care entity’s business.</w:t>
            </w:r>
          </w:p>
        </w:tc>
      </w:tr>
      <w:tr w:rsidR="002C02D0" w:rsidRPr="00352C84" w:rsidTr="00DB12DB">
        <w:trPr>
          <w:cantSplit/>
        </w:trPr>
        <w:tc>
          <w:tcPr>
            <w:cnfStyle w:val="001000000000"/>
            <w:tcW w:w="537" w:type="dxa"/>
          </w:tcPr>
          <w:p w:rsidR="002C02D0" w:rsidRPr="00352C84" w:rsidRDefault="002C02D0" w:rsidP="002B70A0">
            <w:r w:rsidRPr="00352C84">
              <w:lastRenderedPageBreak/>
              <w:t>24</w:t>
            </w:r>
          </w:p>
        </w:tc>
        <w:tc>
          <w:tcPr>
            <w:tcW w:w="2181" w:type="dxa"/>
          </w:tcPr>
          <w:p w:rsidR="002C02D0" w:rsidRPr="00352C84" w:rsidRDefault="00E142D0" w:rsidP="003B0182">
            <w:pPr>
              <w:cnfStyle w:val="000000000000"/>
              <w:rPr>
                <w:rFonts w:ascii="Calibri" w:hAnsi="Calibri"/>
                <w:color w:val="0000FF"/>
                <w:sz w:val="16"/>
                <w:szCs w:val="16"/>
                <w:u w:val="single"/>
              </w:rPr>
            </w:pPr>
            <w:hyperlink r:id="rId30" w:anchor="!documentDetail;D=HHS-OS-2012-0007-0486" w:history="1">
              <w:r w:rsidR="002C02D0" w:rsidRPr="00352C84">
                <w:rPr>
                  <w:rFonts w:ascii="Calibri" w:hAnsi="Calibri"/>
                  <w:color w:val="0000FF"/>
                  <w:sz w:val="16"/>
                  <w:u w:val="single"/>
                </w:rPr>
                <w:t>HHS-OS-2012-0007-0486</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p.2</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Tina Grande</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The Confidentiality Coalition</w:t>
            </w:r>
          </w:p>
        </w:tc>
        <w:tc>
          <w:tcPr>
            <w:tcW w:w="5130" w:type="dxa"/>
          </w:tcPr>
          <w:p w:rsidR="00305911" w:rsidRPr="00352C84" w:rsidRDefault="00CF6C26" w:rsidP="003B0182">
            <w:pPr>
              <w:pStyle w:val="ListParagraph"/>
              <w:numPr>
                <w:ilvl w:val="0"/>
                <w:numId w:val="1"/>
              </w:numPr>
              <w:ind w:left="288" w:hanging="144"/>
              <w:cnfStyle w:val="000000000000"/>
              <w:rPr>
                <w:rFonts w:cstheme="minorHAnsi"/>
                <w:sz w:val="16"/>
                <w:szCs w:val="16"/>
              </w:rPr>
            </w:pPr>
            <w:r w:rsidRPr="00352C84">
              <w:rPr>
                <w:rFonts w:cstheme="minorHAnsi"/>
                <w:sz w:val="16"/>
                <w:szCs w:val="16"/>
              </w:rPr>
              <w:t>Did</w:t>
            </w:r>
            <w:r w:rsidR="00305911" w:rsidRPr="00352C84">
              <w:rPr>
                <w:rFonts w:cstheme="minorHAnsi"/>
                <w:sz w:val="16"/>
                <w:szCs w:val="16"/>
              </w:rPr>
              <w:t xml:space="preserve"> not object to guidance or advice issued by the HHS Office of Civil Rights related to the HIPAA Security Rule.</w:t>
            </w:r>
          </w:p>
          <w:p w:rsidR="00305911" w:rsidRPr="00352C84" w:rsidRDefault="00CF6C26" w:rsidP="003B0182">
            <w:pPr>
              <w:pStyle w:val="ListParagraph"/>
              <w:numPr>
                <w:ilvl w:val="0"/>
                <w:numId w:val="1"/>
              </w:numPr>
              <w:ind w:left="288" w:hanging="144"/>
              <w:cnfStyle w:val="000000000000"/>
              <w:rPr>
                <w:rFonts w:cstheme="minorHAnsi"/>
                <w:sz w:val="16"/>
                <w:szCs w:val="16"/>
              </w:rPr>
            </w:pPr>
            <w:r w:rsidRPr="00352C84">
              <w:rPr>
                <w:rFonts w:cstheme="minorHAnsi"/>
                <w:sz w:val="16"/>
                <w:szCs w:val="16"/>
              </w:rPr>
              <w:t>Did</w:t>
            </w:r>
            <w:r w:rsidR="00305911" w:rsidRPr="00352C84">
              <w:rPr>
                <w:rFonts w:cstheme="minorHAnsi"/>
                <w:sz w:val="16"/>
                <w:szCs w:val="16"/>
              </w:rPr>
              <w:t xml:space="preserve"> not object to ONC issues its own guidance about recommendations for steps related to security risk analysis or other aspects of the HIPAA Security Rule, in the appropriate context.</w:t>
            </w:r>
          </w:p>
          <w:p w:rsidR="007D365E" w:rsidRPr="00352C84" w:rsidRDefault="00CF6C26" w:rsidP="003B0182">
            <w:pPr>
              <w:pStyle w:val="ListParagraph"/>
              <w:numPr>
                <w:ilvl w:val="0"/>
                <w:numId w:val="1"/>
              </w:numPr>
              <w:ind w:left="288" w:hanging="144"/>
              <w:cnfStyle w:val="000000000000"/>
              <w:rPr>
                <w:rFonts w:cstheme="minorHAnsi"/>
                <w:sz w:val="16"/>
                <w:szCs w:val="16"/>
              </w:rPr>
            </w:pPr>
            <w:r w:rsidRPr="00352C84">
              <w:rPr>
                <w:rFonts w:cstheme="minorHAnsi"/>
                <w:sz w:val="16"/>
                <w:szCs w:val="16"/>
              </w:rPr>
              <w:t>Did</w:t>
            </w:r>
            <w:r w:rsidR="00305911" w:rsidRPr="00352C84">
              <w:rPr>
                <w:rFonts w:cstheme="minorHAnsi"/>
                <w:sz w:val="16"/>
                <w:szCs w:val="16"/>
              </w:rPr>
              <w:t xml:space="preserve"> not believe that ONC should include additional security steps as a component o</w:t>
            </w:r>
            <w:r w:rsidR="007D365E" w:rsidRPr="00352C84">
              <w:rPr>
                <w:rFonts w:cstheme="minorHAnsi"/>
                <w:sz w:val="16"/>
                <w:szCs w:val="16"/>
              </w:rPr>
              <w:t xml:space="preserve">f a meaningful use attestation, because the </w:t>
            </w:r>
            <w:r w:rsidR="00305911" w:rsidRPr="00352C84">
              <w:rPr>
                <w:rFonts w:cstheme="minorHAnsi"/>
                <w:sz w:val="16"/>
                <w:szCs w:val="16"/>
              </w:rPr>
              <w:t>HIPAA Security Rule will apply to any entity seeking meaningful use incentives (as a HIPAA covered entity).</w:t>
            </w:r>
          </w:p>
          <w:p w:rsidR="002C02D0" w:rsidRPr="00352C84" w:rsidRDefault="00A739CE" w:rsidP="003B0182">
            <w:pPr>
              <w:pStyle w:val="ListParagraph"/>
              <w:numPr>
                <w:ilvl w:val="0"/>
                <w:numId w:val="1"/>
              </w:numPr>
              <w:ind w:left="288" w:hanging="144"/>
              <w:cnfStyle w:val="000000000000"/>
              <w:rPr>
                <w:rFonts w:cstheme="minorHAnsi"/>
                <w:sz w:val="16"/>
                <w:szCs w:val="16"/>
              </w:rPr>
            </w:pPr>
            <w:r>
              <w:rPr>
                <w:rFonts w:cstheme="minorHAnsi"/>
                <w:sz w:val="16"/>
                <w:szCs w:val="16"/>
              </w:rPr>
              <w:t>Commented</w:t>
            </w:r>
            <w:r w:rsidRPr="00352C84">
              <w:rPr>
                <w:rFonts w:cstheme="minorHAnsi"/>
                <w:sz w:val="16"/>
                <w:szCs w:val="16"/>
              </w:rPr>
              <w:t xml:space="preserve"> </w:t>
            </w:r>
            <w:r w:rsidR="007D365E" w:rsidRPr="00352C84">
              <w:rPr>
                <w:rFonts w:cstheme="minorHAnsi"/>
                <w:sz w:val="16"/>
                <w:szCs w:val="16"/>
              </w:rPr>
              <w:t xml:space="preserve">that the requirements for risk assessment, risk management and risk mitigation are </w:t>
            </w:r>
            <w:r w:rsidR="00305911" w:rsidRPr="00352C84">
              <w:rPr>
                <w:rFonts w:cstheme="minorHAnsi"/>
                <w:sz w:val="16"/>
                <w:szCs w:val="16"/>
              </w:rPr>
              <w:t xml:space="preserve">required </w:t>
            </w:r>
            <w:r w:rsidR="007D365E" w:rsidRPr="00352C84">
              <w:rPr>
                <w:rFonts w:cstheme="minorHAnsi"/>
                <w:sz w:val="16"/>
                <w:szCs w:val="16"/>
              </w:rPr>
              <w:t>by the</w:t>
            </w:r>
            <w:r w:rsidR="00305911" w:rsidRPr="00352C84">
              <w:rPr>
                <w:rFonts w:cstheme="minorHAnsi"/>
                <w:sz w:val="16"/>
                <w:szCs w:val="16"/>
              </w:rPr>
              <w:t xml:space="preserve"> HIPAA </w:t>
            </w:r>
            <w:r w:rsidR="007D365E" w:rsidRPr="00352C84">
              <w:rPr>
                <w:rFonts w:cstheme="minorHAnsi"/>
                <w:sz w:val="16"/>
                <w:szCs w:val="16"/>
              </w:rPr>
              <w:t xml:space="preserve">Security Rule are obligations of </w:t>
            </w:r>
            <w:r w:rsidR="00305911" w:rsidRPr="00352C84">
              <w:rPr>
                <w:rFonts w:cstheme="minorHAnsi"/>
                <w:sz w:val="16"/>
                <w:szCs w:val="16"/>
              </w:rPr>
              <w:t>every covered entity (and shortly will be, as well, for all business associates).</w:t>
            </w:r>
          </w:p>
          <w:p w:rsidR="007D365E" w:rsidRPr="00352C84" w:rsidRDefault="00A739CE" w:rsidP="003B0182">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w:t>
            </w:r>
            <w:r w:rsidR="007D365E" w:rsidRPr="00352C84">
              <w:rPr>
                <w:rFonts w:cstheme="minorHAnsi"/>
                <w:sz w:val="16"/>
                <w:szCs w:val="16"/>
              </w:rPr>
              <w:t xml:space="preserve">that </w:t>
            </w:r>
            <w:r w:rsidR="00305911" w:rsidRPr="00352C84">
              <w:rPr>
                <w:rFonts w:cstheme="minorHAnsi"/>
                <w:sz w:val="16"/>
                <w:szCs w:val="16"/>
              </w:rPr>
              <w:t>training is an important aspect of any kind of complian</w:t>
            </w:r>
            <w:r w:rsidR="007D365E" w:rsidRPr="00352C84">
              <w:rPr>
                <w:rFonts w:cstheme="minorHAnsi"/>
                <w:sz w:val="16"/>
                <w:szCs w:val="16"/>
              </w:rPr>
              <w:t xml:space="preserve">ce, but asserts that there is no </w:t>
            </w:r>
            <w:r w:rsidR="00305911" w:rsidRPr="00352C84">
              <w:rPr>
                <w:rFonts w:cstheme="minorHAnsi"/>
                <w:sz w:val="16"/>
                <w:szCs w:val="16"/>
              </w:rPr>
              <w:t>value in singling out any particular element of the HIPAA Security Rule as deserving more attention than others or imposing additional obligations related to any particular requirements, even if compliance problems have been identified in the past.</w:t>
            </w:r>
          </w:p>
          <w:p w:rsidR="007D365E" w:rsidRPr="00352C84" w:rsidRDefault="00CF6C26" w:rsidP="003B0182">
            <w:pPr>
              <w:pStyle w:val="ListParagraph"/>
              <w:numPr>
                <w:ilvl w:val="0"/>
                <w:numId w:val="1"/>
              </w:numPr>
              <w:ind w:left="288" w:hanging="144"/>
              <w:cnfStyle w:val="000000000000"/>
              <w:rPr>
                <w:rFonts w:cstheme="minorHAnsi"/>
                <w:sz w:val="16"/>
                <w:szCs w:val="16"/>
              </w:rPr>
            </w:pPr>
            <w:r w:rsidRPr="00352C84">
              <w:rPr>
                <w:rFonts w:cstheme="minorHAnsi"/>
                <w:sz w:val="16"/>
                <w:szCs w:val="16"/>
              </w:rPr>
              <w:t>Stated</w:t>
            </w:r>
            <w:r w:rsidR="000D7AAA" w:rsidRPr="00352C84">
              <w:rPr>
                <w:rFonts w:cstheme="minorHAnsi"/>
                <w:sz w:val="16"/>
                <w:szCs w:val="16"/>
              </w:rPr>
              <w:t xml:space="preserve"> that</w:t>
            </w:r>
            <w:r w:rsidR="007D365E" w:rsidRPr="00352C84">
              <w:rPr>
                <w:rFonts w:cstheme="minorHAnsi"/>
                <w:sz w:val="16"/>
                <w:szCs w:val="16"/>
              </w:rPr>
              <w:t xml:space="preserve"> the </w:t>
            </w:r>
            <w:r w:rsidR="00305911" w:rsidRPr="00352C84">
              <w:rPr>
                <w:rFonts w:cstheme="minorHAnsi"/>
                <w:sz w:val="16"/>
                <w:szCs w:val="16"/>
              </w:rPr>
              <w:t>HIPAA standard, with its risk-focused approach, is sufficient to address the full range of information security concerns raised by electronic health records.</w:t>
            </w:r>
          </w:p>
          <w:p w:rsidR="00305911" w:rsidRPr="00352C84" w:rsidRDefault="00A739CE" w:rsidP="003B0182">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that </w:t>
            </w:r>
            <w:r w:rsidR="007D365E" w:rsidRPr="00352C84">
              <w:rPr>
                <w:rFonts w:cstheme="minorHAnsi"/>
                <w:sz w:val="16"/>
                <w:szCs w:val="16"/>
              </w:rPr>
              <w:t>t</w:t>
            </w:r>
            <w:r w:rsidR="00305911" w:rsidRPr="00352C84">
              <w:rPr>
                <w:rFonts w:cstheme="minorHAnsi"/>
                <w:sz w:val="16"/>
                <w:szCs w:val="16"/>
              </w:rPr>
              <w:t>here is no need for additional, supplemental or highlighted requirements as part of any particular aspect of the operation of a health care entity’s business.</w:t>
            </w:r>
          </w:p>
          <w:p w:rsidR="007D365E" w:rsidRPr="00352C84" w:rsidRDefault="00CF6C26" w:rsidP="003B0182">
            <w:pPr>
              <w:pStyle w:val="ListParagraph"/>
              <w:numPr>
                <w:ilvl w:val="0"/>
                <w:numId w:val="1"/>
              </w:numPr>
              <w:ind w:left="288" w:hanging="144"/>
              <w:cnfStyle w:val="000000000000"/>
              <w:rPr>
                <w:rFonts w:cstheme="minorHAnsi"/>
                <w:sz w:val="16"/>
                <w:szCs w:val="16"/>
              </w:rPr>
            </w:pPr>
            <w:r w:rsidRPr="00352C84">
              <w:rPr>
                <w:rFonts w:cstheme="minorHAnsi"/>
                <w:sz w:val="16"/>
                <w:szCs w:val="16"/>
              </w:rPr>
              <w:t>Stated</w:t>
            </w:r>
            <w:r w:rsidR="007D365E" w:rsidRPr="00352C84">
              <w:rPr>
                <w:rFonts w:cstheme="minorHAnsi"/>
                <w:sz w:val="16"/>
                <w:szCs w:val="16"/>
              </w:rPr>
              <w:t xml:space="preserve"> that</w:t>
            </w:r>
            <w:r w:rsidR="00305911" w:rsidRPr="00352C84">
              <w:rPr>
                <w:rFonts w:cstheme="minorHAnsi"/>
                <w:sz w:val="16"/>
                <w:szCs w:val="16"/>
              </w:rPr>
              <w:t xml:space="preserve"> Congress has spoken on its desired changes to the HIPAA structure, and </w:t>
            </w:r>
            <w:r w:rsidR="007D365E" w:rsidRPr="00352C84">
              <w:rPr>
                <w:rFonts w:cstheme="minorHAnsi"/>
                <w:sz w:val="16"/>
                <w:szCs w:val="16"/>
              </w:rPr>
              <w:t>asserts there is</w:t>
            </w:r>
            <w:r w:rsidR="00305911" w:rsidRPr="00352C84">
              <w:rPr>
                <w:rFonts w:cstheme="minorHAnsi"/>
                <w:sz w:val="16"/>
                <w:szCs w:val="16"/>
              </w:rPr>
              <w:t xml:space="preserve"> no basis at this time to go beyond Congressional intent (which has not yet even been implemented in full) to impose a broader set of changes.</w:t>
            </w:r>
          </w:p>
          <w:p w:rsidR="00305911" w:rsidRPr="00352C84" w:rsidRDefault="00CF6C26" w:rsidP="000D7AAA">
            <w:pPr>
              <w:pStyle w:val="ListParagraph"/>
              <w:numPr>
                <w:ilvl w:val="0"/>
                <w:numId w:val="1"/>
              </w:numPr>
              <w:ind w:left="288" w:hanging="144"/>
              <w:cnfStyle w:val="000000000000"/>
              <w:rPr>
                <w:rFonts w:cstheme="minorHAnsi"/>
                <w:sz w:val="16"/>
                <w:szCs w:val="16"/>
              </w:rPr>
            </w:pPr>
            <w:r w:rsidRPr="00352C84">
              <w:rPr>
                <w:rFonts w:cstheme="minorHAnsi"/>
                <w:sz w:val="16"/>
                <w:szCs w:val="16"/>
              </w:rPr>
              <w:t>Suggested</w:t>
            </w:r>
            <w:r w:rsidR="007D365E" w:rsidRPr="00352C84">
              <w:rPr>
                <w:rFonts w:cstheme="minorHAnsi"/>
                <w:sz w:val="16"/>
                <w:szCs w:val="16"/>
              </w:rPr>
              <w:t xml:space="preserve"> i</w:t>
            </w:r>
            <w:r w:rsidR="00305911" w:rsidRPr="00352C84">
              <w:rPr>
                <w:rFonts w:cstheme="minorHAnsi"/>
                <w:sz w:val="16"/>
                <w:szCs w:val="16"/>
              </w:rPr>
              <w:t xml:space="preserve">f ONC does in fact propose new privacy and security standards that affect electronic health records or health information exchange (HIE) activity more broadly, </w:t>
            </w:r>
            <w:r w:rsidR="007D365E" w:rsidRPr="00352C84">
              <w:rPr>
                <w:rFonts w:cstheme="minorHAnsi"/>
                <w:sz w:val="16"/>
                <w:szCs w:val="16"/>
              </w:rPr>
              <w:t xml:space="preserve">then </w:t>
            </w:r>
            <w:r w:rsidR="00305911" w:rsidRPr="00352C84">
              <w:rPr>
                <w:rFonts w:cstheme="minorHAnsi"/>
                <w:sz w:val="16"/>
                <w:szCs w:val="16"/>
              </w:rPr>
              <w:t>it should delay any such efforts until HITECH has been finalized and implemented.</w:t>
            </w:r>
          </w:p>
        </w:tc>
      </w:tr>
      <w:tr w:rsidR="002C02D0" w:rsidRPr="00352C84" w:rsidTr="00DB12DB">
        <w:trPr>
          <w:cnfStyle w:val="000000100000"/>
          <w:cantSplit/>
        </w:trPr>
        <w:tc>
          <w:tcPr>
            <w:cnfStyle w:val="001000000000"/>
            <w:tcW w:w="537" w:type="dxa"/>
          </w:tcPr>
          <w:p w:rsidR="002C02D0" w:rsidRPr="00352C84" w:rsidRDefault="002C02D0" w:rsidP="002B70A0">
            <w:r w:rsidRPr="00352C84">
              <w:t>25</w:t>
            </w:r>
          </w:p>
        </w:tc>
        <w:tc>
          <w:tcPr>
            <w:tcW w:w="2181" w:type="dxa"/>
          </w:tcPr>
          <w:p w:rsidR="002C02D0" w:rsidRPr="00352C84" w:rsidRDefault="00E142D0" w:rsidP="003B0182">
            <w:pPr>
              <w:cnfStyle w:val="000000100000"/>
              <w:rPr>
                <w:rFonts w:ascii="Calibri" w:hAnsi="Calibri"/>
                <w:color w:val="0000FF"/>
                <w:sz w:val="16"/>
                <w:szCs w:val="16"/>
                <w:u w:val="single"/>
              </w:rPr>
            </w:pPr>
            <w:hyperlink r:id="rId31" w:anchor="!documentDetail;D=HHS-OS-2012-0007-0565" w:tooltip="The document ID for this document is HHS-OS-2012-0007-0565" w:history="1">
              <w:r w:rsidR="002C02D0" w:rsidRPr="00352C84">
                <w:rPr>
                  <w:rFonts w:ascii="Calibri" w:hAnsi="Calibri"/>
                  <w:color w:val="0000FF"/>
                  <w:sz w:val="16"/>
                  <w:u w:val="single"/>
                </w:rPr>
                <w:t>HHS-OS-2012-0007-0565</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p.21</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Leigh  Burchell</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Allscripts</w:t>
            </w:r>
          </w:p>
        </w:tc>
        <w:tc>
          <w:tcPr>
            <w:tcW w:w="5130" w:type="dxa"/>
          </w:tcPr>
          <w:p w:rsidR="00DC37FA" w:rsidRPr="00352C84" w:rsidRDefault="00CF6C26"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Agreed</w:t>
            </w:r>
            <w:r w:rsidR="00DC37FA" w:rsidRPr="00352C84">
              <w:rPr>
                <w:rFonts w:cstheme="minorHAnsi"/>
                <w:sz w:val="16"/>
                <w:szCs w:val="16"/>
              </w:rPr>
              <w:t xml:space="preserve"> that employee training and other administrative controls from the HIPAA Security Rule are important</w:t>
            </w:r>
            <w:r w:rsidR="00E02A1E">
              <w:rPr>
                <w:rFonts w:cstheme="minorHAnsi"/>
                <w:sz w:val="16"/>
                <w:szCs w:val="16"/>
              </w:rPr>
              <w:t>.</w:t>
            </w:r>
          </w:p>
          <w:p w:rsidR="00DC37FA" w:rsidRPr="00352C84" w:rsidRDefault="00A739CE" w:rsidP="000D7AAA">
            <w:pPr>
              <w:pStyle w:val="ListParagraph"/>
              <w:numPr>
                <w:ilvl w:val="0"/>
                <w:numId w:val="1"/>
              </w:numPr>
              <w:ind w:left="288" w:hanging="144"/>
              <w:cnfStyle w:val="000000100000"/>
              <w:rPr>
                <w:rFonts w:cstheme="minorHAnsi"/>
                <w:sz w:val="16"/>
                <w:szCs w:val="16"/>
              </w:rPr>
            </w:pPr>
            <w:r>
              <w:rPr>
                <w:rFonts w:cstheme="minorHAnsi"/>
                <w:sz w:val="16"/>
                <w:szCs w:val="16"/>
              </w:rPr>
              <w:t>Commented</w:t>
            </w:r>
            <w:r w:rsidRPr="00352C84">
              <w:rPr>
                <w:rFonts w:cstheme="minorHAnsi"/>
                <w:sz w:val="16"/>
                <w:szCs w:val="16"/>
              </w:rPr>
              <w:t xml:space="preserve"> </w:t>
            </w:r>
            <w:r w:rsidR="00DC37FA" w:rsidRPr="00352C84">
              <w:rPr>
                <w:rFonts w:cstheme="minorHAnsi"/>
                <w:sz w:val="16"/>
                <w:szCs w:val="16"/>
              </w:rPr>
              <w:t>that employee training and other administrative controls should not have an impact on EHR certification.</w:t>
            </w:r>
          </w:p>
        </w:tc>
      </w:tr>
      <w:tr w:rsidR="002C02D0" w:rsidRPr="00352C84" w:rsidTr="00DB12DB">
        <w:trPr>
          <w:cantSplit/>
        </w:trPr>
        <w:tc>
          <w:tcPr>
            <w:cnfStyle w:val="001000000000"/>
            <w:tcW w:w="537" w:type="dxa"/>
          </w:tcPr>
          <w:p w:rsidR="002C02D0" w:rsidRPr="00352C84" w:rsidRDefault="002C02D0" w:rsidP="002B70A0">
            <w:r w:rsidRPr="00352C84">
              <w:t>26</w:t>
            </w:r>
          </w:p>
        </w:tc>
        <w:tc>
          <w:tcPr>
            <w:tcW w:w="2181" w:type="dxa"/>
          </w:tcPr>
          <w:p w:rsidR="002C02D0" w:rsidRPr="00352C84" w:rsidRDefault="00E142D0" w:rsidP="003B0182">
            <w:pPr>
              <w:cnfStyle w:val="000000000000"/>
              <w:rPr>
                <w:rFonts w:ascii="Calibri" w:hAnsi="Calibri"/>
                <w:color w:val="0000FF"/>
                <w:sz w:val="16"/>
                <w:szCs w:val="16"/>
                <w:u w:val="single"/>
              </w:rPr>
            </w:pPr>
            <w:hyperlink r:id="rId32" w:anchor="!documentDetail;D=HHS-OS-2012-0007-0493" w:history="1">
              <w:r w:rsidR="002C02D0" w:rsidRPr="00352C84">
                <w:rPr>
                  <w:rFonts w:ascii="Calibri" w:hAnsi="Calibri"/>
                  <w:color w:val="0000FF"/>
                  <w:sz w:val="16"/>
                  <w:u w:val="single"/>
                </w:rPr>
                <w:t>HHS-OS-2012-0007-0493</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p.27</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Thomas Merrill</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New York City Department of Health and Mental Hygiene</w:t>
            </w:r>
          </w:p>
        </w:tc>
        <w:tc>
          <w:tcPr>
            <w:tcW w:w="5130" w:type="dxa"/>
          </w:tcPr>
          <w:p w:rsidR="002C02D0" w:rsidRPr="00352C84" w:rsidRDefault="00CF6C26" w:rsidP="003B0182">
            <w:pPr>
              <w:pStyle w:val="ListParagraph"/>
              <w:numPr>
                <w:ilvl w:val="0"/>
                <w:numId w:val="1"/>
              </w:numPr>
              <w:ind w:left="288" w:hanging="144"/>
              <w:cnfStyle w:val="000000000000"/>
              <w:rPr>
                <w:rFonts w:cstheme="minorHAnsi"/>
                <w:sz w:val="16"/>
                <w:szCs w:val="16"/>
              </w:rPr>
            </w:pPr>
            <w:r w:rsidRPr="00352C84">
              <w:rPr>
                <w:rFonts w:cstheme="minorHAnsi"/>
                <w:sz w:val="16"/>
                <w:szCs w:val="16"/>
              </w:rPr>
              <w:t>Stated</w:t>
            </w:r>
            <w:r w:rsidR="000D7AAA" w:rsidRPr="00352C84">
              <w:rPr>
                <w:rFonts w:cstheme="minorHAnsi"/>
                <w:sz w:val="16"/>
                <w:szCs w:val="16"/>
              </w:rPr>
              <w:t xml:space="preserve"> that</w:t>
            </w:r>
            <w:r w:rsidR="00713616" w:rsidRPr="00352C84">
              <w:rPr>
                <w:rFonts w:cstheme="minorHAnsi"/>
                <w:sz w:val="16"/>
                <w:szCs w:val="16"/>
              </w:rPr>
              <w:t xml:space="preserve"> demonstrating that staff is appropriately trained should be a requirement.</w:t>
            </w:r>
          </w:p>
          <w:p w:rsidR="00713616" w:rsidRPr="00352C84" w:rsidRDefault="00A739CE" w:rsidP="003B0182">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w:t>
            </w:r>
            <w:r w:rsidR="00713616" w:rsidRPr="00352C84">
              <w:rPr>
                <w:rFonts w:cstheme="minorHAnsi"/>
                <w:sz w:val="16"/>
                <w:szCs w:val="16"/>
              </w:rPr>
              <w:t>that in an audit, the provider would have the burden of demonstrating that each employee is appropriately trained.</w:t>
            </w:r>
          </w:p>
          <w:p w:rsidR="00713616" w:rsidRPr="00352C84" w:rsidRDefault="00A739CE" w:rsidP="000D7AAA">
            <w:pPr>
              <w:pStyle w:val="ListParagraph"/>
              <w:numPr>
                <w:ilvl w:val="0"/>
                <w:numId w:val="1"/>
              </w:numPr>
              <w:ind w:left="288" w:hanging="144"/>
              <w:cnfStyle w:val="000000000000"/>
              <w:rPr>
                <w:rFonts w:cstheme="minorHAnsi"/>
                <w:sz w:val="16"/>
                <w:szCs w:val="16"/>
              </w:rPr>
            </w:pPr>
            <w:r>
              <w:rPr>
                <w:rFonts w:cstheme="minorHAnsi"/>
                <w:sz w:val="16"/>
                <w:szCs w:val="16"/>
              </w:rPr>
              <w:t>Commented</w:t>
            </w:r>
            <w:r w:rsidRPr="00352C84">
              <w:rPr>
                <w:rFonts w:cstheme="minorHAnsi"/>
                <w:sz w:val="16"/>
                <w:szCs w:val="16"/>
              </w:rPr>
              <w:t xml:space="preserve"> </w:t>
            </w:r>
            <w:r w:rsidR="00713616" w:rsidRPr="00352C84">
              <w:rPr>
                <w:rFonts w:cstheme="minorHAnsi"/>
                <w:sz w:val="16"/>
                <w:szCs w:val="16"/>
              </w:rPr>
              <w:t>that a verification of training in the employee personnel file might be more effective than requiring an additional attestation.</w:t>
            </w:r>
          </w:p>
        </w:tc>
      </w:tr>
      <w:tr w:rsidR="002C02D0" w:rsidRPr="00352C84" w:rsidTr="00DB12DB">
        <w:trPr>
          <w:cnfStyle w:val="000000100000"/>
          <w:cantSplit/>
        </w:trPr>
        <w:tc>
          <w:tcPr>
            <w:cnfStyle w:val="001000000000"/>
            <w:tcW w:w="537" w:type="dxa"/>
          </w:tcPr>
          <w:p w:rsidR="002C02D0" w:rsidRPr="00352C84" w:rsidRDefault="002C02D0" w:rsidP="002B70A0">
            <w:r w:rsidRPr="00352C84">
              <w:t>27</w:t>
            </w:r>
          </w:p>
        </w:tc>
        <w:tc>
          <w:tcPr>
            <w:tcW w:w="2181" w:type="dxa"/>
          </w:tcPr>
          <w:p w:rsidR="002C02D0" w:rsidRPr="00352C84" w:rsidRDefault="00E142D0" w:rsidP="003B0182">
            <w:pPr>
              <w:cnfStyle w:val="000000100000"/>
              <w:rPr>
                <w:rFonts w:ascii="Calibri" w:hAnsi="Calibri"/>
                <w:color w:val="0000FF"/>
                <w:sz w:val="16"/>
                <w:szCs w:val="16"/>
                <w:u w:val="single"/>
              </w:rPr>
            </w:pPr>
            <w:hyperlink r:id="rId33" w:anchor="!documentDetail;D=HHS-OS-2012-0007-0505" w:history="1">
              <w:r w:rsidR="002C02D0" w:rsidRPr="00352C84">
                <w:rPr>
                  <w:rFonts w:ascii="Calibri" w:hAnsi="Calibri"/>
                  <w:color w:val="0000FF"/>
                  <w:sz w:val="16"/>
                  <w:u w:val="single"/>
                </w:rPr>
                <w:t>HHS-OS-2012-0007-0505</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p.27</w:t>
            </w:r>
          </w:p>
        </w:tc>
        <w:tc>
          <w:tcPr>
            <w:tcW w:w="1890" w:type="dxa"/>
          </w:tcPr>
          <w:p w:rsidR="002C02D0" w:rsidRPr="00352C84" w:rsidRDefault="002C02D0" w:rsidP="004A5AF5">
            <w:pPr>
              <w:tabs>
                <w:tab w:val="center" w:pos="837"/>
              </w:tabs>
              <w:cnfStyle w:val="000000100000"/>
              <w:rPr>
                <w:rFonts w:ascii="Calibri" w:hAnsi="Calibri"/>
                <w:color w:val="000000"/>
                <w:sz w:val="16"/>
                <w:szCs w:val="16"/>
              </w:rPr>
            </w:pPr>
            <w:r w:rsidRPr="00352C84">
              <w:rPr>
                <w:rFonts w:ascii="Calibri" w:hAnsi="Calibri"/>
                <w:color w:val="000000"/>
                <w:sz w:val="16"/>
                <w:szCs w:val="16"/>
              </w:rPr>
              <w:t> </w:t>
            </w:r>
            <w:r w:rsidR="004A5AF5" w:rsidRPr="00352C84">
              <w:rPr>
                <w:rFonts w:ascii="Calibri" w:hAnsi="Calibri"/>
                <w:color w:val="000000"/>
                <w:sz w:val="16"/>
                <w:szCs w:val="16"/>
              </w:rPr>
              <w:tab/>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Pharmacy e-HIT Collaborative</w:t>
            </w:r>
          </w:p>
        </w:tc>
        <w:tc>
          <w:tcPr>
            <w:tcW w:w="5130" w:type="dxa"/>
          </w:tcPr>
          <w:p w:rsidR="004A5AF5" w:rsidRPr="00352C84" w:rsidRDefault="004A5AF5" w:rsidP="000D7AAA">
            <w:pPr>
              <w:pStyle w:val="ListParagraph"/>
              <w:numPr>
                <w:ilvl w:val="0"/>
                <w:numId w:val="1"/>
              </w:numPr>
              <w:ind w:left="288" w:hanging="144"/>
              <w:cnfStyle w:val="000000100000"/>
              <w:rPr>
                <w:rFonts w:cstheme="minorHAnsi"/>
                <w:sz w:val="16"/>
                <w:szCs w:val="16"/>
              </w:rPr>
            </w:pPr>
            <w:r w:rsidRPr="00352C84">
              <w:rPr>
                <w:rFonts w:cstheme="minorHAnsi"/>
                <w:sz w:val="16"/>
                <w:szCs w:val="16"/>
              </w:rPr>
              <w:t>S</w:t>
            </w:r>
            <w:r w:rsidR="00CF6C26" w:rsidRPr="00352C84">
              <w:rPr>
                <w:rFonts w:cstheme="minorHAnsi"/>
                <w:sz w:val="16"/>
                <w:szCs w:val="16"/>
              </w:rPr>
              <w:t>upported</w:t>
            </w:r>
            <w:r w:rsidRPr="00352C84">
              <w:rPr>
                <w:rFonts w:cstheme="minorHAnsi"/>
                <w:sz w:val="16"/>
                <w:szCs w:val="16"/>
              </w:rPr>
              <w:t xml:space="preserve"> current HIPAA security rule provisions.</w:t>
            </w:r>
          </w:p>
        </w:tc>
      </w:tr>
      <w:tr w:rsidR="002C02D0" w:rsidRPr="00352C84" w:rsidTr="00DB12DB">
        <w:trPr>
          <w:cantSplit/>
        </w:trPr>
        <w:tc>
          <w:tcPr>
            <w:cnfStyle w:val="001000000000"/>
            <w:tcW w:w="537" w:type="dxa"/>
          </w:tcPr>
          <w:p w:rsidR="002C02D0" w:rsidRPr="00352C84" w:rsidRDefault="002C02D0" w:rsidP="002B70A0">
            <w:r w:rsidRPr="00352C84">
              <w:lastRenderedPageBreak/>
              <w:t>28</w:t>
            </w:r>
          </w:p>
        </w:tc>
        <w:tc>
          <w:tcPr>
            <w:tcW w:w="2181" w:type="dxa"/>
          </w:tcPr>
          <w:p w:rsidR="002C02D0" w:rsidRPr="00352C84" w:rsidRDefault="00E142D0" w:rsidP="003B0182">
            <w:pPr>
              <w:cnfStyle w:val="000000000000"/>
              <w:rPr>
                <w:rFonts w:ascii="Calibri" w:hAnsi="Calibri"/>
                <w:color w:val="0000FF"/>
                <w:sz w:val="16"/>
                <w:szCs w:val="16"/>
                <w:u w:val="single"/>
              </w:rPr>
            </w:pPr>
            <w:hyperlink r:id="rId34" w:anchor="!documentDetail;D=HHS-OS-2012-0007-0274" w:tooltip="The document ID for this document is HHS-OS-2012-0007-0274" w:history="1">
              <w:r w:rsidR="002C02D0" w:rsidRPr="00352C84">
                <w:rPr>
                  <w:rFonts w:ascii="Calibri" w:hAnsi="Calibri"/>
                  <w:color w:val="0000FF"/>
                  <w:sz w:val="16"/>
                  <w:u w:val="single"/>
                </w:rPr>
                <w:t>HHS-OS-2012-0007-0274</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p.28</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Thomson  Kuhn</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American College of Physicians</w:t>
            </w:r>
          </w:p>
        </w:tc>
        <w:tc>
          <w:tcPr>
            <w:tcW w:w="5130" w:type="dxa"/>
          </w:tcPr>
          <w:p w:rsidR="00EC6BD2" w:rsidRPr="00352C84" w:rsidRDefault="00CF6C26" w:rsidP="00EC6BD2">
            <w:pPr>
              <w:pStyle w:val="ListParagraph"/>
              <w:numPr>
                <w:ilvl w:val="0"/>
                <w:numId w:val="1"/>
              </w:numPr>
              <w:ind w:left="288" w:hanging="144"/>
              <w:cnfStyle w:val="000000000000"/>
              <w:rPr>
                <w:rFonts w:cstheme="minorHAnsi"/>
                <w:sz w:val="16"/>
                <w:szCs w:val="16"/>
              </w:rPr>
            </w:pPr>
            <w:r w:rsidRPr="00352C84">
              <w:rPr>
                <w:rFonts w:cstheme="minorHAnsi"/>
                <w:sz w:val="16"/>
                <w:szCs w:val="16"/>
              </w:rPr>
              <w:t>Stated</w:t>
            </w:r>
            <w:r w:rsidR="000D7AAA" w:rsidRPr="00352C84">
              <w:rPr>
                <w:rFonts w:cstheme="minorHAnsi"/>
                <w:sz w:val="16"/>
                <w:szCs w:val="16"/>
              </w:rPr>
              <w:t xml:space="preserve"> that</w:t>
            </w:r>
            <w:r w:rsidR="00EC6BD2" w:rsidRPr="00352C84">
              <w:rPr>
                <w:rFonts w:cstheme="minorHAnsi"/>
                <w:sz w:val="16"/>
                <w:szCs w:val="16"/>
              </w:rPr>
              <w:t xml:space="preserve"> t</w:t>
            </w:r>
            <w:r w:rsidR="004A5AF5" w:rsidRPr="00352C84">
              <w:rPr>
                <w:rFonts w:cstheme="minorHAnsi"/>
                <w:sz w:val="16"/>
                <w:szCs w:val="16"/>
              </w:rPr>
              <w:t xml:space="preserve">he key to any such activity is the availability of truly useful education materials on the security rule to guide practices to the desired performance. </w:t>
            </w:r>
          </w:p>
          <w:p w:rsidR="00EC6BD2" w:rsidRPr="00352C84" w:rsidRDefault="00A739CE" w:rsidP="00EC6BD2">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w:t>
            </w:r>
            <w:r w:rsidR="00EC6BD2" w:rsidRPr="00352C84">
              <w:rPr>
                <w:rFonts w:cstheme="minorHAnsi"/>
                <w:sz w:val="16"/>
                <w:szCs w:val="16"/>
              </w:rPr>
              <w:t>that s</w:t>
            </w:r>
            <w:r w:rsidR="004A5AF5" w:rsidRPr="00352C84">
              <w:rPr>
                <w:rFonts w:cstheme="minorHAnsi"/>
                <w:sz w:val="16"/>
                <w:szCs w:val="16"/>
              </w:rPr>
              <w:t>mall practices lack the expertise needed to design and deliver such programs and therefore, must typically rely on outside sources of such content.</w:t>
            </w:r>
          </w:p>
          <w:p w:rsidR="00EC6BD2" w:rsidRPr="00352C84" w:rsidRDefault="00CF6C26" w:rsidP="000D7AAA">
            <w:pPr>
              <w:pStyle w:val="ListParagraph"/>
              <w:numPr>
                <w:ilvl w:val="0"/>
                <w:numId w:val="1"/>
              </w:numPr>
              <w:ind w:left="288" w:hanging="144"/>
              <w:cnfStyle w:val="000000000000"/>
              <w:rPr>
                <w:rFonts w:cstheme="minorHAnsi"/>
                <w:sz w:val="16"/>
                <w:szCs w:val="16"/>
              </w:rPr>
            </w:pPr>
            <w:r w:rsidRPr="00352C84">
              <w:rPr>
                <w:rFonts w:cstheme="minorHAnsi"/>
                <w:sz w:val="16"/>
                <w:szCs w:val="16"/>
              </w:rPr>
              <w:t>Did</w:t>
            </w:r>
            <w:r w:rsidR="00EC6BD2" w:rsidRPr="00352C84">
              <w:rPr>
                <w:rFonts w:cstheme="minorHAnsi"/>
                <w:sz w:val="16"/>
                <w:szCs w:val="16"/>
              </w:rPr>
              <w:t xml:space="preserve"> not want </w:t>
            </w:r>
            <w:r w:rsidR="004A5AF5" w:rsidRPr="00352C84">
              <w:rPr>
                <w:rFonts w:cstheme="minorHAnsi"/>
                <w:sz w:val="16"/>
                <w:szCs w:val="16"/>
              </w:rPr>
              <w:t>practices having to pay for consultants to come in and deliver programs</w:t>
            </w:r>
            <w:r w:rsidR="00111612">
              <w:rPr>
                <w:rFonts w:cstheme="minorHAnsi"/>
                <w:sz w:val="16"/>
                <w:szCs w:val="16"/>
              </w:rPr>
              <w:t>,</w:t>
            </w:r>
            <w:r w:rsidR="004A5AF5" w:rsidRPr="00352C84">
              <w:rPr>
                <w:rFonts w:cstheme="minorHAnsi"/>
                <w:sz w:val="16"/>
                <w:szCs w:val="16"/>
              </w:rPr>
              <w:t xml:space="preserve"> which would add considerable expense to maintaining compliance.</w:t>
            </w:r>
          </w:p>
        </w:tc>
      </w:tr>
      <w:tr w:rsidR="002C02D0" w:rsidRPr="00352C84" w:rsidTr="00DB12DB">
        <w:trPr>
          <w:cnfStyle w:val="000000100000"/>
          <w:cantSplit/>
        </w:trPr>
        <w:tc>
          <w:tcPr>
            <w:cnfStyle w:val="001000000000"/>
            <w:tcW w:w="537" w:type="dxa"/>
          </w:tcPr>
          <w:p w:rsidR="002C02D0" w:rsidRPr="00352C84" w:rsidRDefault="002C02D0" w:rsidP="002B70A0">
            <w:r w:rsidRPr="00352C84">
              <w:t>29</w:t>
            </w:r>
          </w:p>
        </w:tc>
        <w:tc>
          <w:tcPr>
            <w:tcW w:w="2181" w:type="dxa"/>
          </w:tcPr>
          <w:p w:rsidR="002C02D0" w:rsidRPr="00352C84" w:rsidRDefault="00E142D0" w:rsidP="003B0182">
            <w:pPr>
              <w:cnfStyle w:val="000000100000"/>
              <w:rPr>
                <w:rFonts w:ascii="Calibri" w:hAnsi="Calibri"/>
                <w:color w:val="0000FF"/>
                <w:sz w:val="16"/>
                <w:szCs w:val="16"/>
                <w:u w:val="single"/>
              </w:rPr>
            </w:pPr>
            <w:hyperlink r:id="rId35" w:anchor="!documentDetail;D=HHS-OS-2012-0007-0321" w:tooltip="The document ID for this document is HHS-OS-2012-0007-0321" w:history="1">
              <w:r w:rsidR="002C02D0" w:rsidRPr="00352C84">
                <w:rPr>
                  <w:rFonts w:ascii="Calibri" w:hAnsi="Calibri"/>
                  <w:color w:val="0000FF"/>
                  <w:sz w:val="16"/>
                  <w:u w:val="single"/>
                </w:rPr>
                <w:t>HHS-OS-2012-0007-0321</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p.28</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Linda  Fishman</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American Hospital Association</w:t>
            </w:r>
          </w:p>
        </w:tc>
        <w:tc>
          <w:tcPr>
            <w:tcW w:w="5130" w:type="dxa"/>
          </w:tcPr>
          <w:p w:rsidR="00426BC7" w:rsidRPr="00352C84" w:rsidRDefault="00426BC7"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Believe</w:t>
            </w:r>
            <w:r w:rsidR="00CF6C26" w:rsidRPr="00352C84">
              <w:rPr>
                <w:rFonts w:cstheme="minorHAnsi"/>
                <w:sz w:val="16"/>
                <w:szCs w:val="16"/>
              </w:rPr>
              <w:t>d</w:t>
            </w:r>
            <w:r w:rsidRPr="00352C84">
              <w:rPr>
                <w:rFonts w:cstheme="minorHAnsi"/>
                <w:sz w:val="16"/>
                <w:szCs w:val="16"/>
              </w:rPr>
              <w:t xml:space="preserve"> that the meaningful use rule should not be used as a means to enforce compliance with all HIPAA privacy and security requirements, including those for making staff and workforce members aware of the HIPAA Security Rule and to train them on Security Rule provisions.</w:t>
            </w:r>
          </w:p>
          <w:p w:rsidR="00426BC7" w:rsidRPr="00352C84" w:rsidRDefault="00426BC7"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Believe</w:t>
            </w:r>
            <w:r w:rsidR="00CF6C26" w:rsidRPr="00352C84">
              <w:rPr>
                <w:rFonts w:cstheme="minorHAnsi"/>
                <w:sz w:val="16"/>
                <w:szCs w:val="16"/>
              </w:rPr>
              <w:t>d</w:t>
            </w:r>
            <w:r w:rsidRPr="00352C84">
              <w:rPr>
                <w:rFonts w:cstheme="minorHAnsi"/>
                <w:sz w:val="16"/>
                <w:szCs w:val="16"/>
              </w:rPr>
              <w:t xml:space="preserve"> that meaningful use attestation about implementing the HIPAA rules is unnecessary.</w:t>
            </w:r>
          </w:p>
          <w:p w:rsidR="00426BC7" w:rsidRPr="00352C84" w:rsidRDefault="00A739CE" w:rsidP="00426BC7">
            <w:pPr>
              <w:pStyle w:val="ListParagraph"/>
              <w:numPr>
                <w:ilvl w:val="0"/>
                <w:numId w:val="1"/>
              </w:numPr>
              <w:ind w:left="288" w:hanging="144"/>
              <w:cnfStyle w:val="000000100000"/>
              <w:rPr>
                <w:rFonts w:cstheme="minorHAnsi"/>
                <w:sz w:val="16"/>
                <w:szCs w:val="16"/>
              </w:rPr>
            </w:pPr>
            <w:r>
              <w:rPr>
                <w:rFonts w:cstheme="minorHAnsi"/>
                <w:sz w:val="16"/>
                <w:szCs w:val="16"/>
              </w:rPr>
              <w:t>Commented</w:t>
            </w:r>
            <w:r w:rsidRPr="00352C84">
              <w:rPr>
                <w:rFonts w:cstheme="minorHAnsi"/>
                <w:sz w:val="16"/>
                <w:szCs w:val="16"/>
              </w:rPr>
              <w:t xml:space="preserve"> </w:t>
            </w:r>
            <w:r w:rsidR="00426BC7" w:rsidRPr="00352C84">
              <w:rPr>
                <w:rFonts w:cstheme="minorHAnsi"/>
                <w:sz w:val="16"/>
                <w:szCs w:val="16"/>
              </w:rPr>
              <w:t>that it is the Office of Civil Rights (OCR) that regulates and enforces HIPAA, and using the  meaningful use rules as a back-up mechanism for enforcement is inappropriate and may lead to a potentially different or conflicting set of compliance obligations enforced by multiple agencies through multiple and uncoordinated means.</w:t>
            </w:r>
          </w:p>
          <w:p w:rsidR="00426BC7" w:rsidRPr="00352C84" w:rsidRDefault="00CF6C26" w:rsidP="00A35F5E">
            <w:pPr>
              <w:pStyle w:val="ListParagraph"/>
              <w:numPr>
                <w:ilvl w:val="0"/>
                <w:numId w:val="1"/>
              </w:numPr>
              <w:ind w:left="288" w:hanging="144"/>
              <w:cnfStyle w:val="000000100000"/>
              <w:rPr>
                <w:rFonts w:cstheme="minorHAnsi"/>
                <w:sz w:val="16"/>
                <w:szCs w:val="16"/>
              </w:rPr>
            </w:pPr>
            <w:r w:rsidRPr="00352C84">
              <w:rPr>
                <w:rFonts w:cstheme="minorHAnsi"/>
                <w:sz w:val="16"/>
                <w:szCs w:val="16"/>
              </w:rPr>
              <w:t>Suggested</w:t>
            </w:r>
            <w:r w:rsidR="00426BC7" w:rsidRPr="00352C84">
              <w:rPr>
                <w:rFonts w:cstheme="minorHAnsi"/>
                <w:sz w:val="16"/>
                <w:szCs w:val="16"/>
              </w:rPr>
              <w:t xml:space="preserve"> the HITPC to reject requirements for EPs/EHs/CAHs to attest to implementing HIPAA Security Rule provisions regarding workforce/staff outreach and training and sending periodic security reminders.</w:t>
            </w:r>
          </w:p>
        </w:tc>
      </w:tr>
      <w:tr w:rsidR="002C02D0" w:rsidRPr="00352C84" w:rsidTr="00DB12DB">
        <w:trPr>
          <w:cantSplit/>
        </w:trPr>
        <w:tc>
          <w:tcPr>
            <w:cnfStyle w:val="001000000000"/>
            <w:tcW w:w="537" w:type="dxa"/>
          </w:tcPr>
          <w:p w:rsidR="002C02D0" w:rsidRPr="00352C84" w:rsidRDefault="002C02D0" w:rsidP="002B70A0">
            <w:r w:rsidRPr="00352C84">
              <w:t>30</w:t>
            </w:r>
          </w:p>
        </w:tc>
        <w:tc>
          <w:tcPr>
            <w:tcW w:w="2181" w:type="dxa"/>
          </w:tcPr>
          <w:p w:rsidR="002C02D0" w:rsidRPr="00352C84" w:rsidRDefault="00E142D0" w:rsidP="003B0182">
            <w:pPr>
              <w:cnfStyle w:val="000000000000"/>
              <w:rPr>
                <w:rFonts w:ascii="Calibri" w:hAnsi="Calibri"/>
                <w:color w:val="0000FF"/>
                <w:sz w:val="16"/>
                <w:szCs w:val="16"/>
                <w:u w:val="single"/>
              </w:rPr>
            </w:pPr>
            <w:hyperlink r:id="rId36" w:anchor="!documentDetail;D=HHS-OS-2012-0007-0350" w:tooltip="The document ID for this document is HHS-OS-2012-0007-0350" w:history="1">
              <w:r w:rsidR="002C02D0" w:rsidRPr="00352C84">
                <w:rPr>
                  <w:rFonts w:ascii="Calibri" w:hAnsi="Calibri"/>
                  <w:color w:val="0000FF"/>
                  <w:sz w:val="16"/>
                  <w:u w:val="single"/>
                </w:rPr>
                <w:t>HHS-OS-2012-0007-0350</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p.3</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Landon  Combs</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Highlands Physicians Inc</w:t>
            </w:r>
          </w:p>
        </w:tc>
        <w:tc>
          <w:tcPr>
            <w:tcW w:w="5130" w:type="dxa"/>
          </w:tcPr>
          <w:p w:rsidR="00EC26E2" w:rsidRPr="00890336" w:rsidRDefault="00EC26E2" w:rsidP="00E964AD">
            <w:pPr>
              <w:pStyle w:val="ListParagraph"/>
              <w:numPr>
                <w:ilvl w:val="0"/>
                <w:numId w:val="1"/>
              </w:numPr>
              <w:ind w:left="288" w:hanging="144"/>
              <w:cnfStyle w:val="000000000000"/>
              <w:rPr>
                <w:rFonts w:cstheme="minorHAnsi"/>
                <w:sz w:val="16"/>
                <w:szCs w:val="16"/>
              </w:rPr>
            </w:pPr>
            <w:r w:rsidRPr="00890336">
              <w:rPr>
                <w:rFonts w:cstheme="minorHAnsi"/>
                <w:sz w:val="16"/>
                <w:szCs w:val="16"/>
              </w:rPr>
              <w:t>Agree to attestation</w:t>
            </w:r>
          </w:p>
          <w:p w:rsidR="00E964AD" w:rsidRPr="00352C84" w:rsidRDefault="00CF6C26" w:rsidP="00E964AD">
            <w:pPr>
              <w:pStyle w:val="ListParagraph"/>
              <w:numPr>
                <w:ilvl w:val="0"/>
                <w:numId w:val="1"/>
              </w:numPr>
              <w:ind w:left="288" w:hanging="144"/>
              <w:cnfStyle w:val="000000000000"/>
              <w:rPr>
                <w:rFonts w:cstheme="minorHAnsi"/>
                <w:sz w:val="16"/>
                <w:szCs w:val="16"/>
              </w:rPr>
            </w:pPr>
            <w:r w:rsidRPr="00352C84">
              <w:rPr>
                <w:rFonts w:cstheme="minorHAnsi"/>
                <w:sz w:val="16"/>
                <w:szCs w:val="16"/>
              </w:rPr>
              <w:t>Suggested</w:t>
            </w:r>
            <w:r w:rsidR="00E964AD" w:rsidRPr="00352C84">
              <w:rPr>
                <w:rFonts w:cstheme="minorHAnsi"/>
                <w:sz w:val="16"/>
                <w:szCs w:val="16"/>
              </w:rPr>
              <w:t xml:space="preserve"> providing online access to classes/Data to help people train/track.</w:t>
            </w:r>
          </w:p>
          <w:p w:rsidR="009D0A3B" w:rsidRPr="00352C84" w:rsidRDefault="00CF6C26" w:rsidP="00A35F5E">
            <w:pPr>
              <w:pStyle w:val="ListParagraph"/>
              <w:numPr>
                <w:ilvl w:val="0"/>
                <w:numId w:val="1"/>
              </w:numPr>
              <w:ind w:left="288" w:hanging="144"/>
              <w:cnfStyle w:val="000000000000"/>
              <w:rPr>
                <w:rFonts w:cstheme="minorHAnsi"/>
                <w:sz w:val="16"/>
                <w:szCs w:val="16"/>
              </w:rPr>
            </w:pPr>
            <w:r w:rsidRPr="00352C84">
              <w:rPr>
                <w:rFonts w:cstheme="minorHAnsi"/>
                <w:sz w:val="16"/>
                <w:szCs w:val="16"/>
              </w:rPr>
              <w:t>Suggested this</w:t>
            </w:r>
            <w:r w:rsidR="00E964AD" w:rsidRPr="00352C84">
              <w:rPr>
                <w:rFonts w:cstheme="minorHAnsi"/>
                <w:sz w:val="16"/>
                <w:szCs w:val="16"/>
              </w:rPr>
              <w:t xml:space="preserve"> could also incorporate into welcoming message</w:t>
            </w:r>
            <w:r w:rsidR="009D0A3B" w:rsidRPr="00352C84">
              <w:rPr>
                <w:rFonts w:cstheme="minorHAnsi"/>
                <w:sz w:val="16"/>
                <w:szCs w:val="16"/>
              </w:rPr>
              <w:t>.</w:t>
            </w:r>
          </w:p>
        </w:tc>
      </w:tr>
      <w:tr w:rsidR="002C02D0" w:rsidRPr="00352C84" w:rsidTr="00DB12DB">
        <w:trPr>
          <w:cnfStyle w:val="000000100000"/>
          <w:cantSplit/>
        </w:trPr>
        <w:tc>
          <w:tcPr>
            <w:cnfStyle w:val="001000000000"/>
            <w:tcW w:w="537" w:type="dxa"/>
          </w:tcPr>
          <w:p w:rsidR="002C02D0" w:rsidRPr="00352C84" w:rsidRDefault="002C02D0" w:rsidP="002B70A0">
            <w:r w:rsidRPr="00352C84">
              <w:t>31</w:t>
            </w:r>
          </w:p>
        </w:tc>
        <w:tc>
          <w:tcPr>
            <w:tcW w:w="2181" w:type="dxa"/>
          </w:tcPr>
          <w:p w:rsidR="002C02D0" w:rsidRPr="00352C84" w:rsidRDefault="00E142D0" w:rsidP="003B0182">
            <w:pPr>
              <w:cnfStyle w:val="000000100000"/>
              <w:rPr>
                <w:rFonts w:ascii="Calibri" w:hAnsi="Calibri"/>
                <w:color w:val="0000FF"/>
                <w:sz w:val="16"/>
                <w:szCs w:val="16"/>
                <w:u w:val="single"/>
              </w:rPr>
            </w:pPr>
            <w:hyperlink r:id="rId37" w:anchor="!documentDetail;D=HHS-OS-2012-0007-0533" w:tooltip="The document ID for this document is HHS-OS-2012-0007-0533" w:history="1">
              <w:r w:rsidR="002C02D0" w:rsidRPr="00352C84">
                <w:rPr>
                  <w:rFonts w:ascii="Calibri" w:hAnsi="Calibri"/>
                  <w:color w:val="0000FF"/>
                  <w:sz w:val="16"/>
                  <w:u w:val="single"/>
                </w:rPr>
                <w:t>HHS-OS-2012-0007-0533</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p.31-32</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Lindsey  Hoggle</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Academy of Nutrition and Dietetics</w:t>
            </w:r>
          </w:p>
        </w:tc>
        <w:tc>
          <w:tcPr>
            <w:tcW w:w="5130" w:type="dxa"/>
          </w:tcPr>
          <w:p w:rsidR="009D0A3B" w:rsidRPr="00352C84" w:rsidRDefault="00CF6C26" w:rsidP="009D0A3B">
            <w:pPr>
              <w:pStyle w:val="ListParagraph"/>
              <w:numPr>
                <w:ilvl w:val="0"/>
                <w:numId w:val="1"/>
              </w:numPr>
              <w:ind w:left="288" w:hanging="144"/>
              <w:cnfStyle w:val="000000100000"/>
              <w:rPr>
                <w:rFonts w:cstheme="minorHAnsi"/>
                <w:sz w:val="16"/>
                <w:szCs w:val="16"/>
              </w:rPr>
            </w:pPr>
            <w:r w:rsidRPr="00352C84">
              <w:rPr>
                <w:rFonts w:cstheme="minorHAnsi"/>
                <w:sz w:val="16"/>
                <w:szCs w:val="16"/>
              </w:rPr>
              <w:t>Was</w:t>
            </w:r>
            <w:r w:rsidR="009D0A3B" w:rsidRPr="00352C84">
              <w:rPr>
                <w:rFonts w:cstheme="minorHAnsi"/>
                <w:sz w:val="16"/>
                <w:szCs w:val="16"/>
              </w:rPr>
              <w:t xml:space="preserve"> concerned that there is still significant confusion in the medical profession as to the provisions of HIPAA.</w:t>
            </w:r>
          </w:p>
          <w:p w:rsidR="009D0A3B" w:rsidRPr="00352C84" w:rsidRDefault="00754CE4" w:rsidP="009D0A3B">
            <w:pPr>
              <w:pStyle w:val="ListParagraph"/>
              <w:numPr>
                <w:ilvl w:val="0"/>
                <w:numId w:val="1"/>
              </w:numPr>
              <w:ind w:left="288" w:hanging="144"/>
              <w:cnfStyle w:val="000000100000"/>
              <w:rPr>
                <w:rFonts w:cstheme="minorHAnsi"/>
                <w:sz w:val="16"/>
                <w:szCs w:val="16"/>
              </w:rPr>
            </w:pPr>
            <w:r w:rsidRPr="00352C84">
              <w:rPr>
                <w:rFonts w:cstheme="minorHAnsi"/>
                <w:sz w:val="16"/>
                <w:szCs w:val="16"/>
              </w:rPr>
              <w:t>State</w:t>
            </w:r>
            <w:r w:rsidR="00CF6C26" w:rsidRPr="00352C84">
              <w:rPr>
                <w:rFonts w:cstheme="minorHAnsi"/>
                <w:sz w:val="16"/>
                <w:szCs w:val="16"/>
              </w:rPr>
              <w:t>d</w:t>
            </w:r>
            <w:r w:rsidRPr="00352C84">
              <w:rPr>
                <w:rFonts w:cstheme="minorHAnsi"/>
                <w:sz w:val="16"/>
                <w:szCs w:val="16"/>
              </w:rPr>
              <w:t xml:space="preserve"> that</w:t>
            </w:r>
            <w:r w:rsidR="009D0A3B" w:rsidRPr="00352C84">
              <w:rPr>
                <w:rFonts w:cstheme="minorHAnsi"/>
                <w:sz w:val="16"/>
                <w:szCs w:val="16"/>
              </w:rPr>
              <w:t xml:space="preserve"> if patients are to understand security risks of accessing their own data online, it seems that a consistent culture of security awareness amongst providers (in all areas of care) is necessary.</w:t>
            </w:r>
          </w:p>
          <w:p w:rsidR="009D0A3B" w:rsidRPr="00352C84" w:rsidRDefault="00CF6C26" w:rsidP="009D0A3B">
            <w:pPr>
              <w:pStyle w:val="ListParagraph"/>
              <w:numPr>
                <w:ilvl w:val="0"/>
                <w:numId w:val="1"/>
              </w:numPr>
              <w:ind w:left="288" w:hanging="144"/>
              <w:cnfStyle w:val="000000100000"/>
              <w:rPr>
                <w:rFonts w:cstheme="minorHAnsi"/>
                <w:sz w:val="16"/>
                <w:szCs w:val="16"/>
              </w:rPr>
            </w:pPr>
            <w:r w:rsidRPr="00352C84">
              <w:rPr>
                <w:rFonts w:cstheme="minorHAnsi"/>
                <w:sz w:val="16"/>
                <w:szCs w:val="16"/>
              </w:rPr>
              <w:t>Suggested</w:t>
            </w:r>
            <w:r w:rsidR="009D0A3B" w:rsidRPr="00352C84">
              <w:rPr>
                <w:rFonts w:cstheme="minorHAnsi"/>
                <w:sz w:val="16"/>
                <w:szCs w:val="16"/>
              </w:rPr>
              <w:t xml:space="preserve"> attestation under MU will support the continued need for Security Training among all health care staff.</w:t>
            </w:r>
          </w:p>
          <w:p w:rsidR="009D0A3B" w:rsidRPr="00352C84" w:rsidRDefault="00754CE4" w:rsidP="00A35F5E">
            <w:pPr>
              <w:pStyle w:val="ListParagraph"/>
              <w:numPr>
                <w:ilvl w:val="0"/>
                <w:numId w:val="1"/>
              </w:numPr>
              <w:ind w:left="288" w:hanging="144"/>
              <w:cnfStyle w:val="000000100000"/>
              <w:rPr>
                <w:rFonts w:cstheme="minorHAnsi"/>
                <w:sz w:val="16"/>
                <w:szCs w:val="16"/>
              </w:rPr>
            </w:pPr>
            <w:r w:rsidRPr="00352C84">
              <w:rPr>
                <w:rFonts w:cstheme="minorHAnsi"/>
                <w:sz w:val="16"/>
                <w:szCs w:val="16"/>
              </w:rPr>
              <w:t>State</w:t>
            </w:r>
            <w:r w:rsidR="00CF6C26" w:rsidRPr="00352C84">
              <w:rPr>
                <w:rFonts w:cstheme="minorHAnsi"/>
                <w:sz w:val="16"/>
                <w:szCs w:val="16"/>
              </w:rPr>
              <w:t>d</w:t>
            </w:r>
            <w:r w:rsidR="009D0A3B" w:rsidRPr="00352C84">
              <w:rPr>
                <w:rFonts w:cstheme="minorHAnsi"/>
                <w:sz w:val="16"/>
                <w:szCs w:val="16"/>
              </w:rPr>
              <w:t xml:space="preserve"> that proof of security reminders should be a requirement.</w:t>
            </w:r>
          </w:p>
        </w:tc>
      </w:tr>
      <w:tr w:rsidR="002C02D0" w:rsidRPr="00352C84" w:rsidTr="00DB12DB">
        <w:trPr>
          <w:cantSplit/>
        </w:trPr>
        <w:tc>
          <w:tcPr>
            <w:cnfStyle w:val="001000000000"/>
            <w:tcW w:w="537" w:type="dxa"/>
          </w:tcPr>
          <w:p w:rsidR="002C02D0" w:rsidRPr="00352C84" w:rsidRDefault="002C02D0" w:rsidP="002B70A0">
            <w:r w:rsidRPr="00352C84">
              <w:t>32</w:t>
            </w:r>
          </w:p>
        </w:tc>
        <w:tc>
          <w:tcPr>
            <w:tcW w:w="2181" w:type="dxa"/>
          </w:tcPr>
          <w:p w:rsidR="002C02D0" w:rsidRPr="00352C84" w:rsidRDefault="00E142D0" w:rsidP="003B0182">
            <w:pPr>
              <w:cnfStyle w:val="000000000000"/>
              <w:rPr>
                <w:rFonts w:ascii="Calibri" w:hAnsi="Calibri"/>
                <w:color w:val="0000FF"/>
                <w:sz w:val="16"/>
                <w:szCs w:val="16"/>
                <w:u w:val="single"/>
              </w:rPr>
            </w:pPr>
            <w:hyperlink r:id="rId38" w:anchor="!documentDetail;D=HHS-OS-2012-0007-0315" w:tooltip="The document ID for this document is HHS-OS-2012-0007-0315" w:history="1">
              <w:r w:rsidR="002C02D0" w:rsidRPr="00352C84">
                <w:rPr>
                  <w:rFonts w:ascii="Calibri" w:hAnsi="Calibri"/>
                  <w:color w:val="0000FF"/>
                  <w:sz w:val="16"/>
                  <w:u w:val="single"/>
                </w:rPr>
                <w:t>HHS-OS-2012-0007-0315</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p.33</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Angela  Jeansonne</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American Osteopathic Association</w:t>
            </w:r>
          </w:p>
        </w:tc>
        <w:tc>
          <w:tcPr>
            <w:tcW w:w="5130" w:type="dxa"/>
          </w:tcPr>
          <w:p w:rsidR="002C02D0" w:rsidRPr="00352C84" w:rsidRDefault="00D773FD" w:rsidP="003B0182">
            <w:pPr>
              <w:pStyle w:val="ListParagraph"/>
              <w:numPr>
                <w:ilvl w:val="0"/>
                <w:numId w:val="1"/>
              </w:numPr>
              <w:ind w:left="288" w:hanging="144"/>
              <w:cnfStyle w:val="000000000000"/>
              <w:rPr>
                <w:rFonts w:cstheme="minorHAnsi"/>
                <w:sz w:val="16"/>
                <w:szCs w:val="16"/>
              </w:rPr>
            </w:pPr>
            <w:r w:rsidRPr="00352C84">
              <w:rPr>
                <w:rFonts w:cstheme="minorHAnsi"/>
                <w:sz w:val="16"/>
                <w:szCs w:val="16"/>
              </w:rPr>
              <w:t>No response.</w:t>
            </w:r>
          </w:p>
        </w:tc>
      </w:tr>
      <w:tr w:rsidR="002C02D0" w:rsidRPr="00352C84" w:rsidTr="00DB12DB">
        <w:trPr>
          <w:cnfStyle w:val="000000100000"/>
          <w:cantSplit/>
        </w:trPr>
        <w:tc>
          <w:tcPr>
            <w:cnfStyle w:val="001000000000"/>
            <w:tcW w:w="537" w:type="dxa"/>
          </w:tcPr>
          <w:p w:rsidR="002C02D0" w:rsidRPr="00352C84" w:rsidRDefault="002C02D0" w:rsidP="002B70A0">
            <w:r w:rsidRPr="00352C84">
              <w:t>33</w:t>
            </w:r>
          </w:p>
        </w:tc>
        <w:tc>
          <w:tcPr>
            <w:tcW w:w="2181" w:type="dxa"/>
          </w:tcPr>
          <w:p w:rsidR="002C02D0" w:rsidRPr="00352C84" w:rsidRDefault="00E142D0" w:rsidP="003B0182">
            <w:pPr>
              <w:cnfStyle w:val="000000100000"/>
              <w:rPr>
                <w:rFonts w:ascii="Calibri" w:hAnsi="Calibri"/>
                <w:color w:val="0000FF"/>
                <w:sz w:val="16"/>
                <w:szCs w:val="16"/>
                <w:u w:val="single"/>
              </w:rPr>
            </w:pPr>
            <w:hyperlink r:id="rId39" w:anchor="!documentDetail;D=HHS-OS-2012-0007-0568" w:tooltip="The document ID for this document is HHS-OS-2012-0007-0568" w:history="1">
              <w:r w:rsidR="002C02D0" w:rsidRPr="00352C84">
                <w:rPr>
                  <w:rFonts w:ascii="Calibri" w:hAnsi="Calibri"/>
                  <w:color w:val="0000FF"/>
                  <w:sz w:val="16"/>
                  <w:u w:val="single"/>
                </w:rPr>
                <w:t>HHS-OS-2012-0007-0568</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p.33</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Sasha  TerMaat</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Epic</w:t>
            </w:r>
          </w:p>
        </w:tc>
        <w:tc>
          <w:tcPr>
            <w:tcW w:w="5130" w:type="dxa"/>
          </w:tcPr>
          <w:p w:rsidR="00890336" w:rsidRDefault="00890336" w:rsidP="00890336">
            <w:pPr>
              <w:pStyle w:val="Default"/>
              <w:cnfStyle w:val="000000100000"/>
              <w:rPr>
                <w:color w:val="auto"/>
                <w:sz w:val="16"/>
                <w:szCs w:val="16"/>
              </w:rPr>
            </w:pPr>
            <w:r>
              <w:rPr>
                <w:color w:val="auto"/>
                <w:sz w:val="16"/>
                <w:szCs w:val="16"/>
              </w:rPr>
              <w:t xml:space="preserve">        </w:t>
            </w:r>
            <w:r w:rsidR="00EC26E2" w:rsidRPr="00890336">
              <w:rPr>
                <w:color w:val="auto"/>
                <w:sz w:val="16"/>
                <w:szCs w:val="16"/>
              </w:rPr>
              <w:t xml:space="preserve">Providers and hospitals will provide the best feedback on this </w:t>
            </w:r>
            <w:r>
              <w:rPr>
                <w:color w:val="auto"/>
                <w:sz w:val="16"/>
                <w:szCs w:val="16"/>
              </w:rPr>
              <w:t xml:space="preserve"> </w:t>
            </w:r>
          </w:p>
          <w:p w:rsidR="002C02D0" w:rsidRPr="00890336" w:rsidRDefault="00890336" w:rsidP="00890336">
            <w:pPr>
              <w:pStyle w:val="Default"/>
              <w:cnfStyle w:val="000000100000"/>
              <w:rPr>
                <w:color w:val="auto"/>
                <w:sz w:val="16"/>
                <w:szCs w:val="16"/>
              </w:rPr>
            </w:pPr>
            <w:r>
              <w:rPr>
                <w:color w:val="auto"/>
                <w:sz w:val="16"/>
                <w:szCs w:val="16"/>
              </w:rPr>
              <w:t xml:space="preserve">        </w:t>
            </w:r>
            <w:r w:rsidR="00EC26E2" w:rsidRPr="00890336">
              <w:rPr>
                <w:color w:val="auto"/>
                <w:sz w:val="16"/>
                <w:szCs w:val="16"/>
              </w:rPr>
              <w:t xml:space="preserve">question. </w:t>
            </w:r>
          </w:p>
        </w:tc>
      </w:tr>
      <w:tr w:rsidR="002C02D0" w:rsidRPr="00352C84" w:rsidTr="00DB12DB">
        <w:trPr>
          <w:cantSplit/>
        </w:trPr>
        <w:tc>
          <w:tcPr>
            <w:cnfStyle w:val="001000000000"/>
            <w:tcW w:w="537" w:type="dxa"/>
          </w:tcPr>
          <w:p w:rsidR="002C02D0" w:rsidRPr="00352C84" w:rsidRDefault="002C02D0" w:rsidP="002B70A0">
            <w:r w:rsidRPr="00352C84">
              <w:lastRenderedPageBreak/>
              <w:t>34</w:t>
            </w:r>
          </w:p>
        </w:tc>
        <w:tc>
          <w:tcPr>
            <w:tcW w:w="2181" w:type="dxa"/>
          </w:tcPr>
          <w:p w:rsidR="002C02D0" w:rsidRPr="00352C84" w:rsidRDefault="00E142D0" w:rsidP="003B0182">
            <w:pPr>
              <w:cnfStyle w:val="000000000000"/>
              <w:rPr>
                <w:rFonts w:ascii="Calibri" w:hAnsi="Calibri"/>
                <w:color w:val="0000FF"/>
                <w:sz w:val="16"/>
                <w:szCs w:val="16"/>
                <w:u w:val="single"/>
              </w:rPr>
            </w:pPr>
            <w:hyperlink r:id="rId40" w:anchor="!documentDetail;D=HHS-OS-2012-0007-0306" w:tooltip="The document ID for this document is HHS-OS-2012-0007-0306" w:history="1">
              <w:r w:rsidR="002C02D0" w:rsidRPr="00352C84">
                <w:rPr>
                  <w:rFonts w:ascii="Calibri" w:hAnsi="Calibri"/>
                  <w:color w:val="0000FF"/>
                  <w:sz w:val="16"/>
                  <w:u w:val="single"/>
                </w:rPr>
                <w:t>HHS-OS-2012-0007-0306</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p.33</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Julie  Cantor-Weinberg</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College of American Pathologists</w:t>
            </w:r>
          </w:p>
        </w:tc>
        <w:tc>
          <w:tcPr>
            <w:tcW w:w="5130" w:type="dxa"/>
          </w:tcPr>
          <w:p w:rsidR="00433309" w:rsidRPr="00352C84" w:rsidRDefault="00433309" w:rsidP="00D773FD">
            <w:pPr>
              <w:pStyle w:val="ListParagraph"/>
              <w:numPr>
                <w:ilvl w:val="0"/>
                <w:numId w:val="1"/>
              </w:numPr>
              <w:ind w:left="288" w:hanging="144"/>
              <w:cnfStyle w:val="000000000000"/>
              <w:rPr>
                <w:rFonts w:cstheme="minorHAnsi"/>
                <w:sz w:val="16"/>
                <w:szCs w:val="16"/>
              </w:rPr>
            </w:pPr>
            <w:r w:rsidRPr="00352C84">
              <w:rPr>
                <w:rFonts w:cstheme="minorHAnsi"/>
                <w:sz w:val="16"/>
                <w:szCs w:val="16"/>
              </w:rPr>
              <w:t>D</w:t>
            </w:r>
            <w:r w:rsidR="00CF6C26" w:rsidRPr="00352C84">
              <w:rPr>
                <w:rFonts w:cstheme="minorHAnsi"/>
                <w:sz w:val="16"/>
                <w:szCs w:val="16"/>
              </w:rPr>
              <w:t>id</w:t>
            </w:r>
            <w:r w:rsidR="00D773FD" w:rsidRPr="00352C84">
              <w:rPr>
                <w:rFonts w:cstheme="minorHAnsi"/>
                <w:sz w:val="16"/>
                <w:szCs w:val="16"/>
              </w:rPr>
              <w:t xml:space="preserve"> not believe that ONC should include additional security steps as a component of a meaningful use attestation.</w:t>
            </w:r>
          </w:p>
          <w:p w:rsidR="00433309" w:rsidRPr="00352C84" w:rsidRDefault="00CF6C26" w:rsidP="00D773FD">
            <w:pPr>
              <w:pStyle w:val="ListParagraph"/>
              <w:numPr>
                <w:ilvl w:val="0"/>
                <w:numId w:val="1"/>
              </w:numPr>
              <w:ind w:left="288" w:hanging="144"/>
              <w:cnfStyle w:val="000000000000"/>
              <w:rPr>
                <w:rFonts w:cstheme="minorHAnsi"/>
                <w:sz w:val="16"/>
                <w:szCs w:val="16"/>
              </w:rPr>
            </w:pPr>
            <w:r w:rsidRPr="00352C84">
              <w:rPr>
                <w:rFonts w:cstheme="minorHAnsi"/>
                <w:sz w:val="16"/>
                <w:szCs w:val="16"/>
              </w:rPr>
              <w:t>Utilized</w:t>
            </w:r>
            <w:r w:rsidR="00D773FD" w:rsidRPr="00352C84">
              <w:rPr>
                <w:rFonts w:cstheme="minorHAnsi"/>
                <w:sz w:val="16"/>
                <w:szCs w:val="16"/>
              </w:rPr>
              <w:t xml:space="preserve"> the idea of training as a potential element of an attestation, based on HIPAA compliance reviews that identified certain weaknesses in compliance related to training.</w:t>
            </w:r>
          </w:p>
          <w:p w:rsidR="00D773FD" w:rsidRPr="00352C84" w:rsidRDefault="00CF6C26" w:rsidP="00D773FD">
            <w:pPr>
              <w:pStyle w:val="ListParagraph"/>
              <w:numPr>
                <w:ilvl w:val="0"/>
                <w:numId w:val="1"/>
              </w:numPr>
              <w:ind w:left="288" w:hanging="144"/>
              <w:cnfStyle w:val="000000000000"/>
              <w:rPr>
                <w:rFonts w:cstheme="minorHAnsi"/>
                <w:sz w:val="16"/>
                <w:szCs w:val="16"/>
              </w:rPr>
            </w:pPr>
            <w:r w:rsidRPr="00352C84">
              <w:rPr>
                <w:rFonts w:cstheme="minorHAnsi"/>
                <w:sz w:val="16"/>
                <w:szCs w:val="16"/>
              </w:rPr>
              <w:t>Acknowledged</w:t>
            </w:r>
            <w:r w:rsidR="00433309" w:rsidRPr="00352C84">
              <w:rPr>
                <w:rFonts w:cstheme="minorHAnsi"/>
                <w:sz w:val="16"/>
                <w:szCs w:val="16"/>
              </w:rPr>
              <w:t xml:space="preserve"> </w:t>
            </w:r>
            <w:r w:rsidR="00D773FD" w:rsidRPr="00352C84">
              <w:rPr>
                <w:rFonts w:cstheme="minorHAnsi"/>
                <w:sz w:val="16"/>
                <w:szCs w:val="16"/>
              </w:rPr>
              <w:t>training is an important aspect of any kind of complianc</w:t>
            </w:r>
            <w:r w:rsidR="00433309" w:rsidRPr="00352C84">
              <w:rPr>
                <w:rFonts w:cstheme="minorHAnsi"/>
                <w:sz w:val="16"/>
                <w:szCs w:val="16"/>
              </w:rPr>
              <w:t xml:space="preserve">e, but sees no </w:t>
            </w:r>
            <w:r w:rsidR="00D773FD" w:rsidRPr="00352C84">
              <w:rPr>
                <w:rFonts w:cstheme="minorHAnsi"/>
                <w:sz w:val="16"/>
                <w:szCs w:val="16"/>
              </w:rPr>
              <w:t xml:space="preserve">value in singling out any particular element of the HIPAA Security Rule as deserving more attention than others or imposing additional obligations related </w:t>
            </w:r>
            <w:r w:rsidR="00433309" w:rsidRPr="00352C84">
              <w:rPr>
                <w:rFonts w:cstheme="minorHAnsi"/>
                <w:sz w:val="16"/>
                <w:szCs w:val="16"/>
              </w:rPr>
              <w:t>to any particular requirements.</w:t>
            </w:r>
          </w:p>
          <w:p w:rsidR="00433309" w:rsidRPr="00352C84" w:rsidRDefault="002B495B" w:rsidP="00754CE4">
            <w:pPr>
              <w:pStyle w:val="ListParagraph"/>
              <w:numPr>
                <w:ilvl w:val="0"/>
                <w:numId w:val="1"/>
              </w:numPr>
              <w:ind w:left="288" w:hanging="144"/>
              <w:cnfStyle w:val="000000000000"/>
              <w:rPr>
                <w:rFonts w:cstheme="minorHAnsi"/>
                <w:sz w:val="16"/>
                <w:szCs w:val="16"/>
              </w:rPr>
            </w:pPr>
            <w:r w:rsidRPr="00352C84">
              <w:rPr>
                <w:rFonts w:cstheme="minorHAnsi"/>
                <w:sz w:val="16"/>
                <w:szCs w:val="16"/>
              </w:rPr>
              <w:t>Suggested</w:t>
            </w:r>
            <w:r w:rsidR="00433309" w:rsidRPr="00352C84">
              <w:rPr>
                <w:rFonts w:cstheme="minorHAnsi"/>
                <w:sz w:val="16"/>
                <w:szCs w:val="16"/>
              </w:rPr>
              <w:t xml:space="preserve"> that i</w:t>
            </w:r>
            <w:r w:rsidR="00D773FD" w:rsidRPr="00352C84">
              <w:rPr>
                <w:rFonts w:cstheme="minorHAnsi"/>
                <w:sz w:val="16"/>
                <w:szCs w:val="16"/>
              </w:rPr>
              <w:t xml:space="preserve">f ONC does in fact propose new privacy and security standards that affect electronic health records or health information exchange (HIE) activity more broadly, </w:t>
            </w:r>
            <w:r w:rsidR="00433309" w:rsidRPr="00352C84">
              <w:rPr>
                <w:rFonts w:cstheme="minorHAnsi"/>
                <w:sz w:val="16"/>
                <w:szCs w:val="16"/>
              </w:rPr>
              <w:t xml:space="preserve">then </w:t>
            </w:r>
            <w:r w:rsidR="00D773FD" w:rsidRPr="00352C84">
              <w:rPr>
                <w:rFonts w:cstheme="minorHAnsi"/>
                <w:sz w:val="16"/>
                <w:szCs w:val="16"/>
              </w:rPr>
              <w:t xml:space="preserve">it should delay any such efforts until HITECH has been finalized and implemented. </w:t>
            </w:r>
          </w:p>
        </w:tc>
      </w:tr>
      <w:tr w:rsidR="002C02D0" w:rsidRPr="00352C84" w:rsidTr="00DB12DB">
        <w:trPr>
          <w:cnfStyle w:val="000000100000"/>
          <w:cantSplit/>
        </w:trPr>
        <w:tc>
          <w:tcPr>
            <w:cnfStyle w:val="001000000000"/>
            <w:tcW w:w="537" w:type="dxa"/>
          </w:tcPr>
          <w:p w:rsidR="002C02D0" w:rsidRPr="00352C84" w:rsidRDefault="002C02D0" w:rsidP="002B70A0">
            <w:r w:rsidRPr="00352C84">
              <w:t>35</w:t>
            </w:r>
          </w:p>
        </w:tc>
        <w:tc>
          <w:tcPr>
            <w:tcW w:w="2181" w:type="dxa"/>
          </w:tcPr>
          <w:p w:rsidR="002C02D0" w:rsidRPr="00352C84" w:rsidRDefault="00E142D0" w:rsidP="003B0182">
            <w:pPr>
              <w:cnfStyle w:val="000000100000"/>
              <w:rPr>
                <w:rFonts w:ascii="Calibri" w:hAnsi="Calibri"/>
                <w:color w:val="0000FF"/>
                <w:sz w:val="16"/>
                <w:szCs w:val="16"/>
                <w:u w:val="single"/>
              </w:rPr>
            </w:pPr>
            <w:hyperlink r:id="rId41" w:anchor="!documentDetail;D=HHS-OS-2012-0007-0212" w:tooltip="The document ID for this document is HHS-OS-2012-0007-0212" w:history="1">
              <w:r w:rsidR="002C02D0" w:rsidRPr="00352C84">
                <w:rPr>
                  <w:rFonts w:ascii="Calibri" w:hAnsi="Calibri"/>
                  <w:color w:val="0000FF"/>
                  <w:sz w:val="16"/>
                  <w:u w:val="single"/>
                </w:rPr>
                <w:t>HHS-OS-2012-0007-0212</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p.34</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Kari  Guida</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 xml:space="preserve">Minnesota </w:t>
            </w:r>
            <w:r w:rsidR="00C10626" w:rsidRPr="00352C84">
              <w:rPr>
                <w:rFonts w:ascii="Calibri" w:hAnsi="Calibri"/>
                <w:color w:val="000000"/>
                <w:sz w:val="16"/>
                <w:szCs w:val="16"/>
              </w:rPr>
              <w:t>Department</w:t>
            </w:r>
            <w:r w:rsidRPr="00352C84">
              <w:rPr>
                <w:rFonts w:ascii="Calibri" w:hAnsi="Calibri"/>
                <w:color w:val="000000"/>
                <w:sz w:val="16"/>
                <w:szCs w:val="16"/>
              </w:rPr>
              <w:t xml:space="preserve"> of Health</w:t>
            </w:r>
          </w:p>
        </w:tc>
        <w:tc>
          <w:tcPr>
            <w:tcW w:w="5130" w:type="dxa"/>
          </w:tcPr>
          <w:p w:rsidR="002C02D0" w:rsidRPr="00352C84" w:rsidRDefault="00A739CE" w:rsidP="00754CE4">
            <w:pPr>
              <w:pStyle w:val="ListParagraph"/>
              <w:numPr>
                <w:ilvl w:val="0"/>
                <w:numId w:val="1"/>
              </w:numPr>
              <w:ind w:left="288" w:hanging="144"/>
              <w:cnfStyle w:val="000000100000"/>
              <w:rPr>
                <w:rFonts w:cstheme="minorHAnsi"/>
                <w:sz w:val="16"/>
                <w:szCs w:val="16"/>
              </w:rPr>
            </w:pPr>
            <w:r>
              <w:rPr>
                <w:rFonts w:cstheme="minorHAnsi"/>
                <w:sz w:val="16"/>
                <w:szCs w:val="16"/>
              </w:rPr>
              <w:t>Commented that</w:t>
            </w:r>
            <w:r w:rsidRPr="00352C84">
              <w:rPr>
                <w:rFonts w:cstheme="minorHAnsi"/>
                <w:sz w:val="16"/>
                <w:szCs w:val="16"/>
              </w:rPr>
              <w:t xml:space="preserve"> </w:t>
            </w:r>
            <w:r w:rsidR="004B76F7" w:rsidRPr="00352C84">
              <w:rPr>
                <w:rFonts w:cstheme="minorHAnsi"/>
                <w:sz w:val="16"/>
                <w:szCs w:val="16"/>
              </w:rPr>
              <w:t>mobile health and user-provided device</w:t>
            </w:r>
            <w:r>
              <w:rPr>
                <w:rFonts w:cstheme="minorHAnsi"/>
                <w:sz w:val="16"/>
                <w:szCs w:val="16"/>
              </w:rPr>
              <w:t xml:space="preserve"> should be considered</w:t>
            </w:r>
            <w:r w:rsidR="004B76F7" w:rsidRPr="00352C84">
              <w:rPr>
                <w:rFonts w:cstheme="minorHAnsi"/>
                <w:sz w:val="16"/>
                <w:szCs w:val="16"/>
              </w:rPr>
              <w:t>.</w:t>
            </w:r>
          </w:p>
        </w:tc>
      </w:tr>
      <w:tr w:rsidR="002C02D0" w:rsidRPr="00352C84" w:rsidTr="00DB12DB">
        <w:trPr>
          <w:cantSplit/>
        </w:trPr>
        <w:tc>
          <w:tcPr>
            <w:cnfStyle w:val="001000000000"/>
            <w:tcW w:w="537" w:type="dxa"/>
          </w:tcPr>
          <w:p w:rsidR="002C02D0" w:rsidRPr="00352C84" w:rsidRDefault="002C02D0" w:rsidP="002B70A0">
            <w:r w:rsidRPr="00352C84">
              <w:t>36</w:t>
            </w:r>
          </w:p>
        </w:tc>
        <w:tc>
          <w:tcPr>
            <w:tcW w:w="2181" w:type="dxa"/>
          </w:tcPr>
          <w:p w:rsidR="002C02D0" w:rsidRPr="00352C84" w:rsidRDefault="00E142D0" w:rsidP="003B0182">
            <w:pPr>
              <w:cnfStyle w:val="000000000000"/>
              <w:rPr>
                <w:rFonts w:ascii="Calibri" w:hAnsi="Calibri"/>
                <w:color w:val="0000FF"/>
                <w:sz w:val="16"/>
                <w:szCs w:val="16"/>
                <w:u w:val="single"/>
              </w:rPr>
            </w:pPr>
            <w:hyperlink r:id="rId42" w:anchor="!documentDetail;D=HHS-OS-2012-0007-0502" w:history="1">
              <w:r w:rsidR="002C02D0" w:rsidRPr="00352C84">
                <w:rPr>
                  <w:rFonts w:ascii="Calibri" w:hAnsi="Calibri"/>
                  <w:color w:val="0000FF"/>
                  <w:sz w:val="16"/>
                  <w:u w:val="single"/>
                </w:rPr>
                <w:t>HHS-OS-2012-0007-0502</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p.36</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Clara Evans</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Dignity Health</w:t>
            </w:r>
          </w:p>
        </w:tc>
        <w:tc>
          <w:tcPr>
            <w:tcW w:w="5130" w:type="dxa"/>
          </w:tcPr>
          <w:p w:rsidR="004B76F7" w:rsidRPr="00352C84" w:rsidRDefault="004B76F7" w:rsidP="004B76F7">
            <w:pPr>
              <w:pStyle w:val="ListParagraph"/>
              <w:numPr>
                <w:ilvl w:val="0"/>
                <w:numId w:val="1"/>
              </w:numPr>
              <w:ind w:left="288" w:hanging="144"/>
              <w:cnfStyle w:val="000000000000"/>
              <w:rPr>
                <w:rFonts w:cstheme="minorHAnsi"/>
                <w:sz w:val="16"/>
                <w:szCs w:val="16"/>
              </w:rPr>
            </w:pPr>
            <w:r w:rsidRPr="00352C84">
              <w:rPr>
                <w:rFonts w:cstheme="minorHAnsi"/>
                <w:sz w:val="16"/>
                <w:szCs w:val="16"/>
              </w:rPr>
              <w:t>B</w:t>
            </w:r>
            <w:r w:rsidR="002B495B" w:rsidRPr="00352C84">
              <w:rPr>
                <w:rFonts w:cstheme="minorHAnsi"/>
                <w:sz w:val="16"/>
                <w:szCs w:val="16"/>
              </w:rPr>
              <w:t>elieved</w:t>
            </w:r>
            <w:r w:rsidRPr="00352C84">
              <w:rPr>
                <w:rFonts w:cstheme="minorHAnsi"/>
                <w:sz w:val="16"/>
                <w:szCs w:val="16"/>
              </w:rPr>
              <w:t xml:space="preserve"> that the meaningful use rule should not be used as a means to enforce compliance with all HIPAA privacy and security requirements, including those for making staff and workforce members aware of the HIPAA Security Rule and to train them on Security Rule provisions.</w:t>
            </w:r>
          </w:p>
          <w:p w:rsidR="004B76F7" w:rsidRPr="00352C84" w:rsidRDefault="004B76F7" w:rsidP="004B76F7">
            <w:pPr>
              <w:pStyle w:val="ListParagraph"/>
              <w:numPr>
                <w:ilvl w:val="0"/>
                <w:numId w:val="1"/>
              </w:numPr>
              <w:ind w:left="288" w:hanging="144"/>
              <w:cnfStyle w:val="000000000000"/>
              <w:rPr>
                <w:rFonts w:cstheme="minorHAnsi"/>
                <w:sz w:val="16"/>
                <w:szCs w:val="16"/>
              </w:rPr>
            </w:pPr>
            <w:r w:rsidRPr="00352C84">
              <w:rPr>
                <w:rFonts w:cstheme="minorHAnsi"/>
                <w:sz w:val="16"/>
                <w:szCs w:val="16"/>
              </w:rPr>
              <w:t>Believe</w:t>
            </w:r>
            <w:r w:rsidR="002B495B" w:rsidRPr="00352C84">
              <w:rPr>
                <w:rFonts w:cstheme="minorHAnsi"/>
                <w:sz w:val="16"/>
                <w:szCs w:val="16"/>
              </w:rPr>
              <w:t>d</w:t>
            </w:r>
            <w:r w:rsidRPr="00352C84">
              <w:rPr>
                <w:rFonts w:cstheme="minorHAnsi"/>
                <w:sz w:val="16"/>
                <w:szCs w:val="16"/>
              </w:rPr>
              <w:t xml:space="preserve"> that meaningful use attestation about implementation of HIPAA rules is unnecessary and recommend HITPC allow the Office of Civil Rights (OCR) to continue regulating and enforcing HIPAA. </w:t>
            </w:r>
          </w:p>
          <w:p w:rsidR="004B76F7" w:rsidRPr="00352C84" w:rsidRDefault="004B76F7" w:rsidP="00754CE4">
            <w:pPr>
              <w:pStyle w:val="ListParagraph"/>
              <w:numPr>
                <w:ilvl w:val="0"/>
                <w:numId w:val="1"/>
              </w:numPr>
              <w:ind w:left="288" w:hanging="144"/>
              <w:cnfStyle w:val="000000000000"/>
              <w:rPr>
                <w:rFonts w:cstheme="minorHAnsi"/>
                <w:sz w:val="16"/>
                <w:szCs w:val="16"/>
              </w:rPr>
            </w:pPr>
            <w:r w:rsidRPr="00352C84">
              <w:rPr>
                <w:rFonts w:cstheme="minorHAnsi"/>
                <w:sz w:val="16"/>
                <w:szCs w:val="16"/>
              </w:rPr>
              <w:t>U</w:t>
            </w:r>
            <w:r w:rsidR="002B495B" w:rsidRPr="00352C84">
              <w:rPr>
                <w:rFonts w:cstheme="minorHAnsi"/>
                <w:sz w:val="16"/>
                <w:szCs w:val="16"/>
              </w:rPr>
              <w:t>rged</w:t>
            </w:r>
            <w:r w:rsidRPr="00352C84">
              <w:rPr>
                <w:rFonts w:cstheme="minorHAnsi"/>
                <w:sz w:val="16"/>
                <w:szCs w:val="16"/>
              </w:rPr>
              <w:t xml:space="preserve"> the HITPC to reject requirements for EPs/EHs/CAHs to attest to implementing HIPAA Security Rule provisions regarding workforce/staff outreach and training and sending periodic security reminders.</w:t>
            </w:r>
          </w:p>
        </w:tc>
      </w:tr>
      <w:tr w:rsidR="002C02D0" w:rsidRPr="00352C84" w:rsidTr="00DB12DB">
        <w:trPr>
          <w:cnfStyle w:val="000000100000"/>
          <w:cantSplit/>
        </w:trPr>
        <w:tc>
          <w:tcPr>
            <w:cnfStyle w:val="001000000000"/>
            <w:tcW w:w="537" w:type="dxa"/>
          </w:tcPr>
          <w:p w:rsidR="002C02D0" w:rsidRPr="00352C84" w:rsidRDefault="002C02D0" w:rsidP="002B70A0">
            <w:r w:rsidRPr="00352C84">
              <w:t>37</w:t>
            </w:r>
          </w:p>
        </w:tc>
        <w:tc>
          <w:tcPr>
            <w:tcW w:w="2181" w:type="dxa"/>
          </w:tcPr>
          <w:p w:rsidR="002C02D0" w:rsidRPr="00352C84" w:rsidRDefault="00E142D0" w:rsidP="003B0182">
            <w:pPr>
              <w:cnfStyle w:val="000000100000"/>
              <w:rPr>
                <w:rFonts w:ascii="Calibri" w:hAnsi="Calibri"/>
                <w:color w:val="0000FF"/>
                <w:sz w:val="16"/>
                <w:szCs w:val="16"/>
                <w:u w:val="single"/>
              </w:rPr>
            </w:pPr>
            <w:hyperlink r:id="rId43" w:anchor="!documentDetail;D=HHS-OS-2012-0007-0569" w:tooltip="The document ID for this document is HHS-OS-2012-0007-0569" w:history="1">
              <w:r w:rsidR="002C02D0" w:rsidRPr="00352C84">
                <w:rPr>
                  <w:rFonts w:ascii="Calibri" w:hAnsi="Calibri"/>
                  <w:color w:val="0000FF"/>
                  <w:sz w:val="16"/>
                  <w:u w:val="single"/>
                </w:rPr>
                <w:t>HHS-OS-2012-0007-0569</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p.37</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Del  Conyers</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Heart Rhythm Society</w:t>
            </w:r>
          </w:p>
        </w:tc>
        <w:tc>
          <w:tcPr>
            <w:tcW w:w="5130" w:type="dxa"/>
          </w:tcPr>
          <w:p w:rsidR="002D4FEE" w:rsidRPr="00890336" w:rsidRDefault="00890336" w:rsidP="00890336">
            <w:pPr>
              <w:pStyle w:val="ListParagraph"/>
              <w:numPr>
                <w:ilvl w:val="0"/>
                <w:numId w:val="1"/>
              </w:numPr>
              <w:ind w:left="288" w:hanging="144"/>
              <w:cnfStyle w:val="000000100000"/>
              <w:rPr>
                <w:rFonts w:cstheme="minorHAnsi"/>
                <w:strike/>
                <w:sz w:val="16"/>
                <w:szCs w:val="16"/>
              </w:rPr>
            </w:pPr>
            <w:r w:rsidRPr="00890336">
              <w:rPr>
                <w:rFonts w:cstheme="minorHAnsi"/>
                <w:sz w:val="16"/>
                <w:szCs w:val="16"/>
              </w:rPr>
              <w:t>No</w:t>
            </w:r>
            <w:r w:rsidR="001F4934" w:rsidRPr="00890336">
              <w:rPr>
                <w:rFonts w:cstheme="minorHAnsi"/>
                <w:sz w:val="16"/>
                <w:szCs w:val="16"/>
              </w:rPr>
              <w:t xml:space="preserve"> Comment</w:t>
            </w:r>
            <w:r w:rsidR="001F4934" w:rsidRPr="00890336">
              <w:rPr>
                <w:rFonts w:cstheme="minorHAnsi"/>
                <w:strike/>
                <w:sz w:val="16"/>
                <w:szCs w:val="16"/>
              </w:rPr>
              <w:t xml:space="preserve"> </w:t>
            </w:r>
          </w:p>
        </w:tc>
      </w:tr>
      <w:tr w:rsidR="002C02D0" w:rsidRPr="00352C84" w:rsidTr="00DB12DB">
        <w:trPr>
          <w:cantSplit/>
        </w:trPr>
        <w:tc>
          <w:tcPr>
            <w:cnfStyle w:val="001000000000"/>
            <w:tcW w:w="537" w:type="dxa"/>
          </w:tcPr>
          <w:p w:rsidR="002C02D0" w:rsidRPr="00352C84" w:rsidRDefault="002C02D0" w:rsidP="002B70A0">
            <w:r w:rsidRPr="00352C84">
              <w:t>38</w:t>
            </w:r>
          </w:p>
        </w:tc>
        <w:tc>
          <w:tcPr>
            <w:tcW w:w="2181" w:type="dxa"/>
          </w:tcPr>
          <w:p w:rsidR="002C02D0" w:rsidRPr="00352C84" w:rsidRDefault="00E142D0" w:rsidP="003B0182">
            <w:pPr>
              <w:cnfStyle w:val="000000000000"/>
              <w:rPr>
                <w:rFonts w:ascii="Calibri" w:hAnsi="Calibri"/>
                <w:color w:val="0000FF"/>
                <w:sz w:val="16"/>
                <w:szCs w:val="16"/>
                <w:u w:val="single"/>
              </w:rPr>
            </w:pPr>
            <w:hyperlink r:id="rId44" w:anchor="!documentDetail;D=HHS-OS-2012-0007-0588" w:tooltip="The document ID for this document is HHS-OS-2012-0007-0588" w:history="1">
              <w:r w:rsidR="002C02D0" w:rsidRPr="00352C84">
                <w:rPr>
                  <w:rFonts w:ascii="Calibri" w:hAnsi="Calibri"/>
                  <w:color w:val="0000FF"/>
                  <w:sz w:val="16"/>
                  <w:u w:val="single"/>
                </w:rPr>
                <w:t>HHS-OS-2012-0007-0588</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p.46</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Gregory  Rivas</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UC Davis Medical Center</w:t>
            </w:r>
          </w:p>
        </w:tc>
        <w:tc>
          <w:tcPr>
            <w:tcW w:w="5130" w:type="dxa"/>
          </w:tcPr>
          <w:p w:rsidR="002D4FEE" w:rsidRPr="00352C84" w:rsidRDefault="002B495B" w:rsidP="00EF734E">
            <w:pPr>
              <w:pStyle w:val="ListParagraph"/>
              <w:numPr>
                <w:ilvl w:val="0"/>
                <w:numId w:val="1"/>
              </w:numPr>
              <w:ind w:left="288" w:hanging="144"/>
              <w:cnfStyle w:val="000000000000"/>
              <w:rPr>
                <w:rFonts w:cstheme="minorHAnsi"/>
                <w:sz w:val="16"/>
                <w:szCs w:val="16"/>
              </w:rPr>
            </w:pPr>
            <w:r w:rsidRPr="00352C84">
              <w:rPr>
                <w:rFonts w:cstheme="minorHAnsi"/>
                <w:sz w:val="16"/>
                <w:szCs w:val="16"/>
              </w:rPr>
              <w:t>Did</w:t>
            </w:r>
            <w:r w:rsidR="002D4FEE" w:rsidRPr="00352C84">
              <w:rPr>
                <w:rFonts w:cstheme="minorHAnsi"/>
                <w:sz w:val="16"/>
                <w:szCs w:val="16"/>
              </w:rPr>
              <w:t xml:space="preserve"> not have issues. </w:t>
            </w:r>
            <w:r w:rsidR="00C63484">
              <w:rPr>
                <w:rFonts w:cstheme="minorHAnsi"/>
                <w:sz w:val="16"/>
                <w:szCs w:val="16"/>
              </w:rPr>
              <w:t xml:space="preserve">Noted that </w:t>
            </w:r>
            <w:r w:rsidR="002D4FEE" w:rsidRPr="00352C84">
              <w:rPr>
                <w:rFonts w:cstheme="minorHAnsi"/>
                <w:sz w:val="16"/>
                <w:szCs w:val="16"/>
              </w:rPr>
              <w:t>UCDMC is currently mandating this training</w:t>
            </w:r>
            <w:r w:rsidR="00EF734E">
              <w:rPr>
                <w:rFonts w:cstheme="minorHAnsi"/>
                <w:sz w:val="16"/>
                <w:szCs w:val="16"/>
              </w:rPr>
              <w:t>.</w:t>
            </w:r>
          </w:p>
        </w:tc>
      </w:tr>
      <w:tr w:rsidR="002C02D0" w:rsidRPr="00352C84" w:rsidTr="00DB12DB">
        <w:trPr>
          <w:cnfStyle w:val="000000100000"/>
          <w:cantSplit/>
        </w:trPr>
        <w:tc>
          <w:tcPr>
            <w:cnfStyle w:val="001000000000"/>
            <w:tcW w:w="537" w:type="dxa"/>
          </w:tcPr>
          <w:p w:rsidR="002C02D0" w:rsidRPr="00352C84" w:rsidRDefault="002C02D0" w:rsidP="002B70A0">
            <w:r w:rsidRPr="00352C84">
              <w:t>39</w:t>
            </w:r>
          </w:p>
        </w:tc>
        <w:tc>
          <w:tcPr>
            <w:tcW w:w="2181" w:type="dxa"/>
          </w:tcPr>
          <w:p w:rsidR="002C02D0" w:rsidRPr="00352C84" w:rsidRDefault="00E142D0" w:rsidP="003B0182">
            <w:pPr>
              <w:cnfStyle w:val="000000100000"/>
              <w:rPr>
                <w:rFonts w:ascii="Calibri" w:hAnsi="Calibri"/>
                <w:color w:val="0000FF"/>
                <w:sz w:val="16"/>
                <w:szCs w:val="16"/>
                <w:u w:val="single"/>
              </w:rPr>
            </w:pPr>
            <w:hyperlink r:id="rId45" w:anchor="!documentDetail;D=HHS-OS-2012-0007-0332" w:tooltip="The document ID for this document is HHS-OS-2012-0007-0332" w:history="1">
              <w:r w:rsidR="002C02D0" w:rsidRPr="00352C84">
                <w:rPr>
                  <w:rFonts w:ascii="Calibri" w:hAnsi="Calibri"/>
                  <w:color w:val="0000FF"/>
                  <w:sz w:val="16"/>
                  <w:u w:val="single"/>
                </w:rPr>
                <w:t>HHS-OS-2012-0007-0332</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P.5</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Patrick  Sullivan</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Harris Corporation</w:t>
            </w:r>
          </w:p>
        </w:tc>
        <w:tc>
          <w:tcPr>
            <w:tcW w:w="5130" w:type="dxa"/>
          </w:tcPr>
          <w:p w:rsidR="002D4FEE" w:rsidRPr="00352C84" w:rsidRDefault="002B495B" w:rsidP="002D4FEE">
            <w:pPr>
              <w:pStyle w:val="ListParagraph"/>
              <w:numPr>
                <w:ilvl w:val="0"/>
                <w:numId w:val="1"/>
              </w:numPr>
              <w:ind w:left="288" w:hanging="144"/>
              <w:cnfStyle w:val="000000100000"/>
              <w:rPr>
                <w:rFonts w:cstheme="minorHAnsi"/>
                <w:sz w:val="16"/>
                <w:szCs w:val="16"/>
              </w:rPr>
            </w:pPr>
            <w:r w:rsidRPr="00352C84">
              <w:rPr>
                <w:rFonts w:cstheme="minorHAnsi"/>
                <w:sz w:val="16"/>
                <w:szCs w:val="16"/>
              </w:rPr>
              <w:t>Noted</w:t>
            </w:r>
            <w:r w:rsidR="002D4FEE" w:rsidRPr="00352C84">
              <w:rPr>
                <w:rFonts w:cstheme="minorHAnsi"/>
                <w:sz w:val="16"/>
                <w:szCs w:val="16"/>
              </w:rPr>
              <w:t xml:space="preserve"> that there is 5 years of data on covered entity noncompliance.</w:t>
            </w:r>
          </w:p>
          <w:p w:rsidR="002D4FEE" w:rsidRPr="00352C84" w:rsidRDefault="002B495B" w:rsidP="00754CE4">
            <w:pPr>
              <w:pStyle w:val="ListParagraph"/>
              <w:numPr>
                <w:ilvl w:val="0"/>
                <w:numId w:val="1"/>
              </w:numPr>
              <w:ind w:left="288" w:hanging="144"/>
              <w:cnfStyle w:val="000000100000"/>
              <w:rPr>
                <w:rFonts w:cstheme="minorHAnsi"/>
                <w:sz w:val="16"/>
                <w:szCs w:val="16"/>
              </w:rPr>
            </w:pPr>
            <w:r w:rsidRPr="00352C84">
              <w:rPr>
                <w:rFonts w:cstheme="minorHAnsi"/>
                <w:sz w:val="16"/>
                <w:szCs w:val="16"/>
              </w:rPr>
              <w:t>Recommended</w:t>
            </w:r>
            <w:r w:rsidR="002D4FEE" w:rsidRPr="00352C84">
              <w:rPr>
                <w:rFonts w:cstheme="minorHAnsi"/>
                <w:sz w:val="16"/>
                <w:szCs w:val="16"/>
              </w:rPr>
              <w:t xml:space="preserve"> that HITPC require EPs/EHs/CAHs to attest to implementing HIPAA Security Rule provisions, at least to address the top 5 areas of noncompliance. </w:t>
            </w:r>
          </w:p>
        </w:tc>
      </w:tr>
      <w:tr w:rsidR="002C02D0" w:rsidRPr="00352C84" w:rsidTr="00DB12DB">
        <w:trPr>
          <w:cantSplit/>
        </w:trPr>
        <w:tc>
          <w:tcPr>
            <w:cnfStyle w:val="001000000000"/>
            <w:tcW w:w="537" w:type="dxa"/>
          </w:tcPr>
          <w:p w:rsidR="002C02D0" w:rsidRPr="00352C84" w:rsidRDefault="002C02D0" w:rsidP="002B70A0">
            <w:r w:rsidRPr="00352C84">
              <w:t>40</w:t>
            </w:r>
          </w:p>
        </w:tc>
        <w:tc>
          <w:tcPr>
            <w:tcW w:w="2181" w:type="dxa"/>
          </w:tcPr>
          <w:p w:rsidR="002C02D0" w:rsidRPr="00352C84" w:rsidRDefault="00E142D0" w:rsidP="003B0182">
            <w:pPr>
              <w:cnfStyle w:val="000000000000"/>
              <w:rPr>
                <w:rFonts w:ascii="Calibri" w:hAnsi="Calibri"/>
                <w:color w:val="0000FF"/>
                <w:sz w:val="16"/>
                <w:szCs w:val="16"/>
                <w:u w:val="single"/>
              </w:rPr>
            </w:pPr>
            <w:hyperlink r:id="rId46" w:anchor="!documentDetail;D=HHS-OS-2012-0007-0536" w:tooltip="The document ID for this document is HHS-OS-2012-0007-0536" w:history="1">
              <w:r w:rsidR="002C02D0" w:rsidRPr="00352C84">
                <w:rPr>
                  <w:rFonts w:ascii="Calibri" w:hAnsi="Calibri"/>
                  <w:color w:val="0000FF"/>
                  <w:sz w:val="16"/>
                  <w:u w:val="single"/>
                </w:rPr>
                <w:t>HHS-OS-2012-0007-0536</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p.5</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David  Harlow</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Society for Participatory Medicine</w:t>
            </w:r>
          </w:p>
        </w:tc>
        <w:tc>
          <w:tcPr>
            <w:tcW w:w="5130" w:type="dxa"/>
          </w:tcPr>
          <w:p w:rsidR="00F13497" w:rsidRPr="00352C84" w:rsidRDefault="002B495B" w:rsidP="00F13497">
            <w:pPr>
              <w:pStyle w:val="ListParagraph"/>
              <w:numPr>
                <w:ilvl w:val="0"/>
                <w:numId w:val="1"/>
              </w:numPr>
              <w:ind w:left="288" w:hanging="144"/>
              <w:cnfStyle w:val="000000000000"/>
              <w:rPr>
                <w:rFonts w:cstheme="minorHAnsi"/>
                <w:sz w:val="16"/>
                <w:szCs w:val="16"/>
              </w:rPr>
            </w:pPr>
            <w:r w:rsidRPr="00352C84">
              <w:rPr>
                <w:rFonts w:cstheme="minorHAnsi"/>
                <w:sz w:val="16"/>
                <w:szCs w:val="16"/>
              </w:rPr>
              <w:t>Suggested</w:t>
            </w:r>
            <w:r w:rsidR="00F13497" w:rsidRPr="00352C84">
              <w:rPr>
                <w:rFonts w:cstheme="minorHAnsi"/>
                <w:sz w:val="16"/>
                <w:szCs w:val="16"/>
              </w:rPr>
              <w:t xml:space="preserve"> action on provider education.</w:t>
            </w:r>
          </w:p>
          <w:p w:rsidR="00F13497" w:rsidRPr="00352C84" w:rsidRDefault="002B495B" w:rsidP="002B495B">
            <w:pPr>
              <w:pStyle w:val="ListParagraph"/>
              <w:numPr>
                <w:ilvl w:val="0"/>
                <w:numId w:val="1"/>
              </w:numPr>
              <w:ind w:left="288" w:hanging="144"/>
              <w:cnfStyle w:val="000000000000"/>
              <w:rPr>
                <w:rFonts w:cstheme="minorHAnsi"/>
                <w:sz w:val="16"/>
                <w:szCs w:val="16"/>
              </w:rPr>
            </w:pPr>
            <w:r w:rsidRPr="00352C84">
              <w:rPr>
                <w:rFonts w:cstheme="minorHAnsi"/>
                <w:sz w:val="16"/>
                <w:szCs w:val="16"/>
              </w:rPr>
              <w:t>Suggested</w:t>
            </w:r>
            <w:r w:rsidR="00F13497" w:rsidRPr="00352C84">
              <w:rPr>
                <w:rFonts w:cstheme="minorHAnsi"/>
                <w:sz w:val="16"/>
                <w:szCs w:val="16"/>
              </w:rPr>
              <w:t xml:space="preserve"> that provider staff should be trained on the rights of patients to access their own health care information as part of their HIPAA training.</w:t>
            </w:r>
          </w:p>
        </w:tc>
      </w:tr>
      <w:tr w:rsidR="002C02D0" w:rsidRPr="00352C84" w:rsidTr="00DB12DB">
        <w:trPr>
          <w:cnfStyle w:val="000000100000"/>
          <w:cantSplit/>
        </w:trPr>
        <w:tc>
          <w:tcPr>
            <w:cnfStyle w:val="001000000000"/>
            <w:tcW w:w="537" w:type="dxa"/>
          </w:tcPr>
          <w:p w:rsidR="002C02D0" w:rsidRPr="00352C84" w:rsidRDefault="002C02D0" w:rsidP="002B70A0">
            <w:r w:rsidRPr="00352C84">
              <w:lastRenderedPageBreak/>
              <w:t>41</w:t>
            </w:r>
          </w:p>
        </w:tc>
        <w:tc>
          <w:tcPr>
            <w:tcW w:w="2181" w:type="dxa"/>
          </w:tcPr>
          <w:p w:rsidR="002C02D0" w:rsidRPr="00352C84" w:rsidRDefault="00E142D0" w:rsidP="003B0182">
            <w:pPr>
              <w:cnfStyle w:val="000000100000"/>
              <w:rPr>
                <w:rFonts w:ascii="Calibri" w:hAnsi="Calibri"/>
                <w:color w:val="0000FF"/>
                <w:sz w:val="16"/>
                <w:szCs w:val="16"/>
                <w:u w:val="single"/>
              </w:rPr>
            </w:pPr>
            <w:hyperlink r:id="rId47" w:anchor="!documentDetail;D=HHS-OS-2012-0007-0346" w:tooltip="The document ID for this document is HHS-OS-2012-0007-0346" w:history="1">
              <w:r w:rsidR="002C02D0" w:rsidRPr="00352C84">
                <w:rPr>
                  <w:rFonts w:ascii="Calibri" w:hAnsi="Calibri"/>
                  <w:color w:val="0000FF"/>
                  <w:sz w:val="16"/>
                  <w:u w:val="single"/>
                </w:rPr>
                <w:t>HHS-OS-2012-0007-0346</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p.5</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American Academy of Dermatology Association</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 </w:t>
            </w:r>
          </w:p>
        </w:tc>
        <w:tc>
          <w:tcPr>
            <w:tcW w:w="5130" w:type="dxa"/>
          </w:tcPr>
          <w:p w:rsidR="00F13497" w:rsidRPr="00352C84" w:rsidRDefault="00F13497"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Ha</w:t>
            </w:r>
            <w:r w:rsidR="002B495B" w:rsidRPr="00352C84">
              <w:rPr>
                <w:rFonts w:cstheme="minorHAnsi"/>
                <w:sz w:val="16"/>
                <w:szCs w:val="16"/>
              </w:rPr>
              <w:t>d</w:t>
            </w:r>
            <w:r w:rsidRPr="00352C84">
              <w:rPr>
                <w:rFonts w:cstheme="minorHAnsi"/>
                <w:sz w:val="16"/>
                <w:szCs w:val="16"/>
              </w:rPr>
              <w:t xml:space="preserve"> concerns that many practices and other provider organizations are being challenged to meet standards on privacy and security of patient information as prescribed by both meaningful use and the Health Insurance Portability and Accountability Act (HIPAA).</w:t>
            </w:r>
          </w:p>
          <w:p w:rsidR="002C02D0" w:rsidRPr="00352C84" w:rsidRDefault="00F13497"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B</w:t>
            </w:r>
            <w:r w:rsidR="002B495B" w:rsidRPr="00352C84">
              <w:rPr>
                <w:rFonts w:cstheme="minorHAnsi"/>
                <w:sz w:val="16"/>
                <w:szCs w:val="16"/>
              </w:rPr>
              <w:t>elieved</w:t>
            </w:r>
            <w:r w:rsidRPr="00352C84">
              <w:rPr>
                <w:rFonts w:cstheme="minorHAnsi"/>
                <w:sz w:val="16"/>
                <w:szCs w:val="16"/>
              </w:rPr>
              <w:t xml:space="preserve"> that transmission and exchange of patient data or information across the enterprise must be very solid and secure.</w:t>
            </w:r>
          </w:p>
          <w:p w:rsidR="00F13497" w:rsidRPr="00352C84" w:rsidRDefault="00F13497"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R</w:t>
            </w:r>
            <w:r w:rsidR="002B495B" w:rsidRPr="00352C84">
              <w:rPr>
                <w:rFonts w:cstheme="minorHAnsi"/>
                <w:sz w:val="16"/>
                <w:szCs w:val="16"/>
              </w:rPr>
              <w:t>ecommended</w:t>
            </w:r>
            <w:r w:rsidRPr="00352C84">
              <w:rPr>
                <w:rFonts w:cstheme="minorHAnsi"/>
                <w:sz w:val="16"/>
                <w:szCs w:val="16"/>
              </w:rPr>
              <w:t xml:space="preserve"> against requiring that physicians attest to implementing HIPAA Security Rule provisions regarding workforce/staff outreach &amp; training and sending periodic security reminders. </w:t>
            </w:r>
          </w:p>
          <w:p w:rsidR="00F13497" w:rsidRPr="00352C84" w:rsidRDefault="002B495B"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Suggested</w:t>
            </w:r>
            <w:r w:rsidR="00F13497" w:rsidRPr="00352C84">
              <w:rPr>
                <w:rFonts w:cstheme="minorHAnsi"/>
                <w:sz w:val="16"/>
                <w:szCs w:val="16"/>
              </w:rPr>
              <w:t xml:space="preserve"> that awareness of staff of the HIPAA Security Rule provisions superficially speaks to HIPAA compliance, but it does not address the substantive technological issues of keeping information secure. For example, use of mobile devices to generate and communicate health information subjects this potentially sensitive information to increased security risks, and the security risks presented by these transmissions must be adequately addressed. </w:t>
            </w:r>
            <w:r w:rsidR="00695DA6" w:rsidRPr="00352C84">
              <w:rPr>
                <w:rFonts w:cstheme="minorHAnsi"/>
                <w:sz w:val="16"/>
                <w:szCs w:val="16"/>
              </w:rPr>
              <w:t xml:space="preserve"> </w:t>
            </w:r>
            <w:r w:rsidR="00F13497" w:rsidRPr="00352C84">
              <w:rPr>
                <w:rFonts w:cstheme="minorHAnsi"/>
                <w:sz w:val="16"/>
                <w:szCs w:val="16"/>
              </w:rPr>
              <w:t>Successfully engaging in meaningful use will require expanded focus on secure transmission of data within and outside of the enterprise.</w:t>
            </w:r>
          </w:p>
          <w:p w:rsidR="00F13497" w:rsidRPr="00352C84" w:rsidRDefault="00F13497" w:rsidP="003B0182">
            <w:pPr>
              <w:pStyle w:val="ListParagraph"/>
              <w:numPr>
                <w:ilvl w:val="0"/>
                <w:numId w:val="1"/>
              </w:numPr>
              <w:ind w:left="288" w:hanging="144"/>
              <w:cnfStyle w:val="000000100000"/>
              <w:rPr>
                <w:rFonts w:cstheme="minorHAnsi"/>
                <w:sz w:val="16"/>
                <w:szCs w:val="16"/>
              </w:rPr>
            </w:pPr>
            <w:r w:rsidRPr="00352C84">
              <w:rPr>
                <w:rFonts w:cstheme="minorHAnsi"/>
                <w:sz w:val="16"/>
                <w:szCs w:val="16"/>
              </w:rPr>
              <w:t>U</w:t>
            </w:r>
            <w:r w:rsidR="002B495B" w:rsidRPr="00352C84">
              <w:rPr>
                <w:rFonts w:cstheme="minorHAnsi"/>
                <w:sz w:val="16"/>
                <w:szCs w:val="16"/>
              </w:rPr>
              <w:t>rged</w:t>
            </w:r>
            <w:r w:rsidRPr="00352C84">
              <w:rPr>
                <w:rFonts w:cstheme="minorHAnsi"/>
                <w:sz w:val="16"/>
                <w:szCs w:val="16"/>
              </w:rPr>
              <w:t xml:space="preserve"> the HITPC to give greater attention to existing technological deficiencies that foster security breaches.</w:t>
            </w:r>
          </w:p>
          <w:p w:rsidR="00F13497" w:rsidRPr="00352C84" w:rsidRDefault="00F13497" w:rsidP="002B495B">
            <w:pPr>
              <w:pStyle w:val="ListParagraph"/>
              <w:numPr>
                <w:ilvl w:val="0"/>
                <w:numId w:val="1"/>
              </w:numPr>
              <w:ind w:left="288" w:hanging="144"/>
              <w:cnfStyle w:val="000000100000"/>
              <w:rPr>
                <w:rFonts w:cstheme="minorHAnsi"/>
                <w:sz w:val="16"/>
                <w:szCs w:val="16"/>
              </w:rPr>
            </w:pPr>
            <w:r w:rsidRPr="00352C84">
              <w:rPr>
                <w:rFonts w:cstheme="minorHAnsi"/>
                <w:sz w:val="16"/>
                <w:szCs w:val="16"/>
              </w:rPr>
              <w:t>Recommend</w:t>
            </w:r>
            <w:r w:rsidR="002B495B" w:rsidRPr="00352C84">
              <w:rPr>
                <w:rFonts w:cstheme="minorHAnsi"/>
                <w:sz w:val="16"/>
                <w:szCs w:val="16"/>
              </w:rPr>
              <w:t>ed</w:t>
            </w:r>
            <w:r w:rsidRPr="00352C84">
              <w:rPr>
                <w:rFonts w:cstheme="minorHAnsi"/>
                <w:sz w:val="16"/>
                <w:szCs w:val="16"/>
              </w:rPr>
              <w:t xml:space="preserve"> that CMS or the Office of the National Coordinator provide additional educational resources on HIPAA to small physician practices.</w:t>
            </w:r>
          </w:p>
        </w:tc>
      </w:tr>
      <w:tr w:rsidR="002C02D0" w:rsidRPr="00352C84" w:rsidTr="00DB12DB">
        <w:trPr>
          <w:cantSplit/>
        </w:trPr>
        <w:tc>
          <w:tcPr>
            <w:cnfStyle w:val="001000000000"/>
            <w:tcW w:w="537" w:type="dxa"/>
          </w:tcPr>
          <w:p w:rsidR="002C02D0" w:rsidRPr="00352C84" w:rsidRDefault="002C02D0" w:rsidP="002B70A0">
            <w:r w:rsidRPr="00352C84">
              <w:t>42</w:t>
            </w:r>
          </w:p>
        </w:tc>
        <w:tc>
          <w:tcPr>
            <w:tcW w:w="2181" w:type="dxa"/>
          </w:tcPr>
          <w:p w:rsidR="002C02D0" w:rsidRPr="00352C84" w:rsidRDefault="00E142D0" w:rsidP="003B0182">
            <w:pPr>
              <w:cnfStyle w:val="000000000000"/>
              <w:rPr>
                <w:rFonts w:ascii="Calibri" w:hAnsi="Calibri"/>
                <w:color w:val="0000FF"/>
                <w:sz w:val="16"/>
                <w:szCs w:val="16"/>
                <w:u w:val="single"/>
              </w:rPr>
            </w:pPr>
            <w:hyperlink r:id="rId48" w:anchor="!documentDetail;D=HHS-OS-2012-0007-0333" w:tooltip="The document ID for this document is HHS-OS-2012-0007-0333" w:history="1">
              <w:r w:rsidR="002C02D0" w:rsidRPr="00352C84">
                <w:rPr>
                  <w:rFonts w:ascii="Calibri" w:hAnsi="Calibri"/>
                  <w:color w:val="0000FF"/>
                  <w:sz w:val="16"/>
                  <w:u w:val="single"/>
                </w:rPr>
                <w:t>HHS-OS-2012-0007-0333</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P.50</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Koryn  Rubin</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American Association of Neurological Surgeons and Congress of Neurological Surgeons</w:t>
            </w:r>
          </w:p>
        </w:tc>
        <w:tc>
          <w:tcPr>
            <w:tcW w:w="5130" w:type="dxa"/>
          </w:tcPr>
          <w:p w:rsidR="00AA7243" w:rsidRPr="00352C84" w:rsidRDefault="00AA7243" w:rsidP="00AA7243">
            <w:pPr>
              <w:pStyle w:val="ListParagraph"/>
              <w:numPr>
                <w:ilvl w:val="0"/>
                <w:numId w:val="1"/>
              </w:numPr>
              <w:ind w:left="288" w:hanging="144"/>
              <w:cnfStyle w:val="000000000000"/>
              <w:rPr>
                <w:rFonts w:cstheme="minorHAnsi"/>
                <w:sz w:val="16"/>
                <w:szCs w:val="16"/>
              </w:rPr>
            </w:pPr>
            <w:r w:rsidRPr="00352C84">
              <w:rPr>
                <w:rFonts w:cstheme="minorHAnsi"/>
                <w:sz w:val="16"/>
                <w:szCs w:val="16"/>
              </w:rPr>
              <w:t>Recommend</w:t>
            </w:r>
            <w:r w:rsidR="002B495B" w:rsidRPr="00352C84">
              <w:rPr>
                <w:rFonts w:cstheme="minorHAnsi"/>
                <w:sz w:val="16"/>
                <w:szCs w:val="16"/>
              </w:rPr>
              <w:t>ed</w:t>
            </w:r>
            <w:r w:rsidRPr="00352C84">
              <w:rPr>
                <w:rFonts w:cstheme="minorHAnsi"/>
                <w:sz w:val="16"/>
                <w:szCs w:val="16"/>
              </w:rPr>
              <w:t xml:space="preserve"> preservation of the requirement that meaningful users meet HIPAA Security Rule requirements.</w:t>
            </w:r>
          </w:p>
          <w:p w:rsidR="002C02D0" w:rsidRPr="00352C84" w:rsidRDefault="002B495B" w:rsidP="002B495B">
            <w:pPr>
              <w:pStyle w:val="ListParagraph"/>
              <w:numPr>
                <w:ilvl w:val="0"/>
                <w:numId w:val="1"/>
              </w:numPr>
              <w:ind w:left="288" w:hanging="144"/>
              <w:cnfStyle w:val="000000000000"/>
              <w:rPr>
                <w:rFonts w:cstheme="minorHAnsi"/>
                <w:sz w:val="16"/>
                <w:szCs w:val="16"/>
              </w:rPr>
            </w:pPr>
            <w:r w:rsidRPr="00352C84">
              <w:rPr>
                <w:rFonts w:cstheme="minorHAnsi"/>
                <w:sz w:val="16"/>
                <w:szCs w:val="16"/>
              </w:rPr>
              <w:t>Suggested</w:t>
            </w:r>
            <w:r w:rsidR="00AA7243" w:rsidRPr="00352C84">
              <w:rPr>
                <w:rFonts w:cstheme="minorHAnsi"/>
                <w:sz w:val="16"/>
                <w:szCs w:val="16"/>
              </w:rPr>
              <w:t xml:space="preserve"> developing tools, such as webinars, PowerPoint presentations and YouTube videos to assist with understanding the HIPAA Security Rules.</w:t>
            </w:r>
          </w:p>
        </w:tc>
      </w:tr>
      <w:tr w:rsidR="002C02D0" w:rsidRPr="00352C84" w:rsidTr="00DB12DB">
        <w:trPr>
          <w:cnfStyle w:val="000000100000"/>
          <w:cantSplit/>
        </w:trPr>
        <w:tc>
          <w:tcPr>
            <w:cnfStyle w:val="001000000000"/>
            <w:tcW w:w="537" w:type="dxa"/>
          </w:tcPr>
          <w:p w:rsidR="002C02D0" w:rsidRPr="00352C84" w:rsidRDefault="002C02D0" w:rsidP="002B70A0">
            <w:r w:rsidRPr="00352C84">
              <w:t>43</w:t>
            </w:r>
          </w:p>
        </w:tc>
        <w:tc>
          <w:tcPr>
            <w:tcW w:w="2181" w:type="dxa"/>
          </w:tcPr>
          <w:p w:rsidR="002C02D0" w:rsidRPr="00352C84" w:rsidRDefault="00E142D0" w:rsidP="003B0182">
            <w:pPr>
              <w:cnfStyle w:val="000000100000"/>
              <w:rPr>
                <w:rFonts w:ascii="Calibri" w:hAnsi="Calibri"/>
                <w:color w:val="0000FF"/>
                <w:sz w:val="16"/>
                <w:szCs w:val="16"/>
                <w:u w:val="single"/>
              </w:rPr>
            </w:pPr>
            <w:hyperlink r:id="rId49" w:anchor="!documentDetail;D=HHS-OS-2012-0007-0541" w:tooltip="The document ID for this document is HHS-OS-2012-0007-0541" w:history="1">
              <w:r w:rsidR="002C02D0" w:rsidRPr="00352C84">
                <w:rPr>
                  <w:rFonts w:ascii="Calibri" w:hAnsi="Calibri"/>
                  <w:color w:val="0000FF"/>
                  <w:sz w:val="16"/>
                  <w:u w:val="single"/>
                </w:rPr>
                <w:t>HHS-OS-2012-0007-0541</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p.51</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John  Glaser</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Siemens Healthcare</w:t>
            </w:r>
          </w:p>
        </w:tc>
        <w:tc>
          <w:tcPr>
            <w:tcW w:w="5130" w:type="dxa"/>
          </w:tcPr>
          <w:p w:rsidR="00AA7243" w:rsidRPr="00352C84" w:rsidRDefault="00AA7243" w:rsidP="00AA7243">
            <w:pPr>
              <w:pStyle w:val="ListParagraph"/>
              <w:numPr>
                <w:ilvl w:val="0"/>
                <w:numId w:val="1"/>
              </w:numPr>
              <w:ind w:left="288" w:hanging="144"/>
              <w:cnfStyle w:val="000000100000"/>
              <w:rPr>
                <w:rFonts w:cstheme="minorHAnsi"/>
                <w:sz w:val="16"/>
                <w:szCs w:val="16"/>
              </w:rPr>
            </w:pPr>
            <w:r w:rsidRPr="00352C84">
              <w:rPr>
                <w:rFonts w:cstheme="minorHAnsi"/>
                <w:sz w:val="16"/>
                <w:szCs w:val="16"/>
              </w:rPr>
              <w:t>Recommend</w:t>
            </w:r>
            <w:r w:rsidR="002B495B" w:rsidRPr="00352C84">
              <w:rPr>
                <w:rFonts w:cstheme="minorHAnsi"/>
                <w:sz w:val="16"/>
                <w:szCs w:val="16"/>
              </w:rPr>
              <w:t>ed</w:t>
            </w:r>
            <w:r w:rsidRPr="00352C84">
              <w:rPr>
                <w:rFonts w:cstheme="minorHAnsi"/>
                <w:sz w:val="16"/>
                <w:szCs w:val="16"/>
              </w:rPr>
              <w:t xml:space="preserve"> focusing on administration, policy, and procedures, as these are highlighted in the HIPAA Security Rule.</w:t>
            </w:r>
          </w:p>
          <w:p w:rsidR="00AA7243" w:rsidRPr="00352C84" w:rsidRDefault="002B495B" w:rsidP="002B495B">
            <w:pPr>
              <w:pStyle w:val="ListParagraph"/>
              <w:numPr>
                <w:ilvl w:val="0"/>
                <w:numId w:val="1"/>
              </w:numPr>
              <w:ind w:left="288" w:hanging="144"/>
              <w:cnfStyle w:val="000000100000"/>
              <w:rPr>
                <w:rFonts w:cstheme="minorHAnsi"/>
                <w:sz w:val="16"/>
                <w:szCs w:val="16"/>
              </w:rPr>
            </w:pPr>
            <w:r w:rsidRPr="00352C84">
              <w:rPr>
                <w:rFonts w:cstheme="minorHAnsi"/>
                <w:sz w:val="16"/>
                <w:szCs w:val="16"/>
              </w:rPr>
              <w:t>Suggested</w:t>
            </w:r>
            <w:r w:rsidR="00AA7243" w:rsidRPr="00352C84">
              <w:rPr>
                <w:rFonts w:cstheme="minorHAnsi"/>
                <w:sz w:val="16"/>
                <w:szCs w:val="16"/>
              </w:rPr>
              <w:t xml:space="preserve"> that the management of these processes should not be considered part of EHRT, but rather part of education or security management systems that can track who was trained, notifications, refresher courses, etc. and becomes more of an attestation or proof of compliance from EH/EP/CAH.</w:t>
            </w:r>
          </w:p>
        </w:tc>
      </w:tr>
      <w:tr w:rsidR="002C02D0" w:rsidRPr="00352C84" w:rsidTr="00DB12DB">
        <w:trPr>
          <w:cantSplit/>
        </w:trPr>
        <w:tc>
          <w:tcPr>
            <w:cnfStyle w:val="001000000000"/>
            <w:tcW w:w="537" w:type="dxa"/>
          </w:tcPr>
          <w:p w:rsidR="002C02D0" w:rsidRPr="00352C84" w:rsidRDefault="002C02D0" w:rsidP="002B70A0">
            <w:r w:rsidRPr="00352C84">
              <w:t>44</w:t>
            </w:r>
          </w:p>
        </w:tc>
        <w:tc>
          <w:tcPr>
            <w:tcW w:w="2181" w:type="dxa"/>
          </w:tcPr>
          <w:p w:rsidR="002C02D0" w:rsidRPr="00352C84" w:rsidRDefault="00E142D0" w:rsidP="003B0182">
            <w:pPr>
              <w:cnfStyle w:val="000000000000"/>
              <w:rPr>
                <w:rFonts w:ascii="Calibri" w:hAnsi="Calibri"/>
                <w:color w:val="0000FF"/>
                <w:sz w:val="16"/>
                <w:szCs w:val="16"/>
                <w:u w:val="single"/>
              </w:rPr>
            </w:pPr>
            <w:hyperlink r:id="rId50" w:anchor="!documentDetail;D=HHS-OS-2012-0007-0145" w:tooltip="The document ID for this document is HHS-OS-2012-0007-0145" w:history="1">
              <w:r w:rsidR="002C02D0" w:rsidRPr="00352C84">
                <w:rPr>
                  <w:rFonts w:ascii="Calibri" w:hAnsi="Calibri"/>
                  <w:color w:val="0000FF"/>
                  <w:sz w:val="16"/>
                  <w:u w:val="single"/>
                </w:rPr>
                <w:t>HHS-OS-2012-0007-0145</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p.53</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Nancy  Payne</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Allina Health</w:t>
            </w:r>
          </w:p>
        </w:tc>
        <w:tc>
          <w:tcPr>
            <w:tcW w:w="5130" w:type="dxa"/>
          </w:tcPr>
          <w:p w:rsidR="00AA7243" w:rsidRPr="00352C84" w:rsidRDefault="00EF734E" w:rsidP="00AA7243">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w:t>
            </w:r>
            <w:r w:rsidR="00AA7243" w:rsidRPr="00352C84">
              <w:rPr>
                <w:rFonts w:cstheme="minorHAnsi"/>
                <w:sz w:val="16"/>
                <w:szCs w:val="16"/>
              </w:rPr>
              <w:t>that human behavior is a very important part of good security.</w:t>
            </w:r>
          </w:p>
          <w:p w:rsidR="00AA7243" w:rsidRPr="00352C84" w:rsidRDefault="002B495B" w:rsidP="00AA7243">
            <w:pPr>
              <w:pStyle w:val="ListParagraph"/>
              <w:numPr>
                <w:ilvl w:val="0"/>
                <w:numId w:val="1"/>
              </w:numPr>
              <w:ind w:left="288" w:hanging="144"/>
              <w:cnfStyle w:val="000000000000"/>
              <w:rPr>
                <w:rFonts w:cstheme="minorHAnsi"/>
                <w:sz w:val="16"/>
                <w:szCs w:val="16"/>
              </w:rPr>
            </w:pPr>
            <w:r w:rsidRPr="00352C84">
              <w:rPr>
                <w:rFonts w:cstheme="minorHAnsi"/>
                <w:sz w:val="16"/>
                <w:szCs w:val="16"/>
              </w:rPr>
              <w:t>Stated that</w:t>
            </w:r>
            <w:r w:rsidR="00AA7243" w:rsidRPr="00352C84">
              <w:rPr>
                <w:rFonts w:cstheme="minorHAnsi"/>
                <w:sz w:val="16"/>
                <w:szCs w:val="16"/>
              </w:rPr>
              <w:t xml:space="preserve"> education is a good part of the rule to focus on.</w:t>
            </w:r>
          </w:p>
          <w:p w:rsidR="00AA7243" w:rsidRPr="00352C84" w:rsidRDefault="002B495B" w:rsidP="002B495B">
            <w:pPr>
              <w:pStyle w:val="ListParagraph"/>
              <w:numPr>
                <w:ilvl w:val="0"/>
                <w:numId w:val="1"/>
              </w:numPr>
              <w:ind w:left="288" w:hanging="144"/>
              <w:cnfStyle w:val="000000000000"/>
              <w:rPr>
                <w:rFonts w:cstheme="minorHAnsi"/>
                <w:sz w:val="16"/>
                <w:szCs w:val="16"/>
              </w:rPr>
            </w:pPr>
            <w:r w:rsidRPr="00352C84">
              <w:rPr>
                <w:rFonts w:cstheme="minorHAnsi"/>
                <w:sz w:val="16"/>
                <w:szCs w:val="16"/>
              </w:rPr>
              <w:t>Suggested</w:t>
            </w:r>
            <w:r w:rsidR="00AA7243" w:rsidRPr="00352C84">
              <w:rPr>
                <w:rFonts w:cstheme="minorHAnsi"/>
                <w:sz w:val="16"/>
                <w:szCs w:val="16"/>
              </w:rPr>
              <w:t xml:space="preserve"> that education remains as an attestation only measure.</w:t>
            </w:r>
          </w:p>
        </w:tc>
      </w:tr>
      <w:tr w:rsidR="002C02D0" w:rsidRPr="00352C84" w:rsidTr="00DB12DB">
        <w:trPr>
          <w:cnfStyle w:val="000000100000"/>
          <w:cantSplit/>
        </w:trPr>
        <w:tc>
          <w:tcPr>
            <w:cnfStyle w:val="001000000000"/>
            <w:tcW w:w="537" w:type="dxa"/>
          </w:tcPr>
          <w:p w:rsidR="002C02D0" w:rsidRPr="00352C84" w:rsidRDefault="002C02D0" w:rsidP="002B70A0">
            <w:r w:rsidRPr="00352C84">
              <w:t>45</w:t>
            </w:r>
          </w:p>
        </w:tc>
        <w:tc>
          <w:tcPr>
            <w:tcW w:w="2181" w:type="dxa"/>
          </w:tcPr>
          <w:p w:rsidR="002C02D0" w:rsidRPr="00352C84" w:rsidRDefault="00E142D0" w:rsidP="003B0182">
            <w:pPr>
              <w:cnfStyle w:val="000000100000"/>
              <w:rPr>
                <w:rFonts w:ascii="Calibri" w:hAnsi="Calibri"/>
                <w:color w:val="0000FF"/>
                <w:sz w:val="16"/>
                <w:szCs w:val="16"/>
                <w:u w:val="single"/>
              </w:rPr>
            </w:pPr>
            <w:hyperlink r:id="rId51" w:anchor="!documentDetail;D=HHS-OS-2012-0007-0561" w:tooltip="The document ID for this document is HHS-OS-2012-0007-0561" w:history="1">
              <w:r w:rsidR="002C02D0" w:rsidRPr="00352C84">
                <w:rPr>
                  <w:rFonts w:ascii="Calibri" w:hAnsi="Calibri"/>
                  <w:color w:val="0000FF"/>
                  <w:sz w:val="16"/>
                  <w:u w:val="single"/>
                </w:rPr>
                <w:t>HHS-OS-2012-0007-0561</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p.57</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Emily  Graham</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Alliance of Specialty Medicine</w:t>
            </w:r>
          </w:p>
        </w:tc>
        <w:tc>
          <w:tcPr>
            <w:tcW w:w="5130" w:type="dxa"/>
          </w:tcPr>
          <w:p w:rsidR="00AA7243" w:rsidRPr="00352C84" w:rsidRDefault="002B495B" w:rsidP="00AA7243">
            <w:pPr>
              <w:pStyle w:val="ListParagraph"/>
              <w:numPr>
                <w:ilvl w:val="0"/>
                <w:numId w:val="1"/>
              </w:numPr>
              <w:ind w:left="288" w:hanging="144"/>
              <w:cnfStyle w:val="000000100000"/>
              <w:rPr>
                <w:rFonts w:cstheme="minorHAnsi"/>
                <w:sz w:val="16"/>
                <w:szCs w:val="16"/>
              </w:rPr>
            </w:pPr>
            <w:r w:rsidRPr="00352C84">
              <w:rPr>
                <w:rFonts w:cstheme="minorHAnsi"/>
                <w:sz w:val="16"/>
                <w:szCs w:val="16"/>
              </w:rPr>
              <w:t>Recommended</w:t>
            </w:r>
            <w:r w:rsidR="00AA7243" w:rsidRPr="00352C84">
              <w:rPr>
                <w:rFonts w:cstheme="minorHAnsi"/>
                <w:sz w:val="16"/>
                <w:szCs w:val="16"/>
              </w:rPr>
              <w:t xml:space="preserve"> preservation requirements for meaningful users to meet HIPAA Security Rule requirements.</w:t>
            </w:r>
          </w:p>
          <w:p w:rsidR="00AA7243" w:rsidRPr="00352C84" w:rsidRDefault="002B495B" w:rsidP="002B495B">
            <w:pPr>
              <w:pStyle w:val="ListParagraph"/>
              <w:numPr>
                <w:ilvl w:val="0"/>
                <w:numId w:val="1"/>
              </w:numPr>
              <w:ind w:left="288" w:hanging="144"/>
              <w:cnfStyle w:val="000000100000"/>
              <w:rPr>
                <w:rFonts w:cstheme="minorHAnsi"/>
                <w:sz w:val="16"/>
                <w:szCs w:val="16"/>
              </w:rPr>
            </w:pPr>
            <w:r w:rsidRPr="00352C84">
              <w:rPr>
                <w:rFonts w:cstheme="minorHAnsi"/>
                <w:sz w:val="16"/>
                <w:szCs w:val="16"/>
              </w:rPr>
              <w:t>Suggested</w:t>
            </w:r>
            <w:r w:rsidR="00AA7243" w:rsidRPr="00352C84">
              <w:rPr>
                <w:rFonts w:cstheme="minorHAnsi"/>
                <w:sz w:val="16"/>
                <w:szCs w:val="16"/>
              </w:rPr>
              <w:t xml:space="preserve"> developing tools, such as webinars, PowerPoint presentations and YouTube videos to assist with understanding the HIPAA Security Rules.</w:t>
            </w:r>
          </w:p>
        </w:tc>
      </w:tr>
      <w:tr w:rsidR="002C02D0" w:rsidRPr="00352C84" w:rsidTr="00DB12DB">
        <w:trPr>
          <w:cantSplit/>
        </w:trPr>
        <w:tc>
          <w:tcPr>
            <w:cnfStyle w:val="001000000000"/>
            <w:tcW w:w="537" w:type="dxa"/>
          </w:tcPr>
          <w:p w:rsidR="002C02D0" w:rsidRPr="00352C84" w:rsidRDefault="002C02D0" w:rsidP="002B70A0">
            <w:r w:rsidRPr="00352C84">
              <w:lastRenderedPageBreak/>
              <w:t>46</w:t>
            </w:r>
          </w:p>
        </w:tc>
        <w:tc>
          <w:tcPr>
            <w:tcW w:w="2181" w:type="dxa"/>
          </w:tcPr>
          <w:p w:rsidR="002C02D0" w:rsidRPr="00352C84" w:rsidRDefault="00E142D0" w:rsidP="003B0182">
            <w:pPr>
              <w:cnfStyle w:val="000000000000"/>
              <w:rPr>
                <w:rFonts w:ascii="Calibri" w:hAnsi="Calibri"/>
                <w:color w:val="0000FF"/>
                <w:sz w:val="16"/>
                <w:szCs w:val="16"/>
                <w:u w:val="single"/>
              </w:rPr>
            </w:pPr>
            <w:hyperlink r:id="rId52" w:anchor="!documentDetail;D=HHS-OS-2012-0007-0295" w:tooltip="The document ID for this document is HHS-OS-2012-0007-0295" w:history="1">
              <w:r w:rsidR="002C02D0" w:rsidRPr="00352C84">
                <w:rPr>
                  <w:rFonts w:ascii="Calibri" w:hAnsi="Calibri"/>
                  <w:color w:val="0000FF"/>
                  <w:sz w:val="16"/>
                  <w:u w:val="single"/>
                </w:rPr>
                <w:t>HHS-OS-2012-0007-0295</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p.7</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Susan  Owens</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Memorial Healthcare System</w:t>
            </w:r>
          </w:p>
        </w:tc>
        <w:tc>
          <w:tcPr>
            <w:tcW w:w="5130" w:type="dxa"/>
          </w:tcPr>
          <w:p w:rsidR="00F53816" w:rsidRPr="00352C84" w:rsidRDefault="002B495B" w:rsidP="00F53816">
            <w:pPr>
              <w:pStyle w:val="ListParagraph"/>
              <w:numPr>
                <w:ilvl w:val="0"/>
                <w:numId w:val="1"/>
              </w:numPr>
              <w:ind w:left="288" w:hanging="144"/>
              <w:cnfStyle w:val="000000000000"/>
              <w:rPr>
                <w:rFonts w:cstheme="minorHAnsi"/>
                <w:sz w:val="16"/>
                <w:szCs w:val="16"/>
              </w:rPr>
            </w:pPr>
            <w:r w:rsidRPr="00352C84">
              <w:rPr>
                <w:rFonts w:cstheme="minorHAnsi"/>
                <w:sz w:val="16"/>
                <w:szCs w:val="16"/>
              </w:rPr>
              <w:t>Stated that</w:t>
            </w:r>
            <w:r w:rsidR="00F53816" w:rsidRPr="00352C84">
              <w:rPr>
                <w:rFonts w:cstheme="minorHAnsi"/>
                <w:sz w:val="16"/>
                <w:szCs w:val="16"/>
              </w:rPr>
              <w:t xml:space="preserve"> Security Awareness Training </w:t>
            </w:r>
            <w:r w:rsidRPr="00352C84">
              <w:rPr>
                <w:rFonts w:cstheme="minorHAnsi"/>
                <w:sz w:val="16"/>
                <w:szCs w:val="16"/>
              </w:rPr>
              <w:t xml:space="preserve">should be mandatory </w:t>
            </w:r>
            <w:r w:rsidR="00F53816" w:rsidRPr="00352C84">
              <w:rPr>
                <w:rFonts w:cstheme="minorHAnsi"/>
                <w:sz w:val="16"/>
                <w:szCs w:val="16"/>
              </w:rPr>
              <w:t>because it is essential.</w:t>
            </w:r>
          </w:p>
          <w:p w:rsidR="00F53816" w:rsidRPr="00352C84" w:rsidRDefault="002B495B" w:rsidP="00F53816">
            <w:pPr>
              <w:pStyle w:val="ListParagraph"/>
              <w:numPr>
                <w:ilvl w:val="0"/>
                <w:numId w:val="1"/>
              </w:numPr>
              <w:ind w:left="288" w:hanging="144"/>
              <w:cnfStyle w:val="000000000000"/>
              <w:rPr>
                <w:rFonts w:cstheme="minorHAnsi"/>
                <w:sz w:val="16"/>
                <w:szCs w:val="16"/>
              </w:rPr>
            </w:pPr>
            <w:r w:rsidRPr="00352C84">
              <w:rPr>
                <w:rFonts w:cstheme="minorHAnsi"/>
                <w:sz w:val="16"/>
                <w:szCs w:val="16"/>
              </w:rPr>
              <w:t>Stated the importance of</w:t>
            </w:r>
            <w:r w:rsidR="00F53816" w:rsidRPr="00352C84">
              <w:rPr>
                <w:rFonts w:cstheme="minorHAnsi"/>
                <w:sz w:val="16"/>
                <w:szCs w:val="16"/>
              </w:rPr>
              <w:t xml:space="preserve"> requiring regular and consistent Access Review for all users.</w:t>
            </w:r>
          </w:p>
          <w:p w:rsidR="00F53816" w:rsidRPr="00352C84" w:rsidRDefault="002B495B" w:rsidP="002B495B">
            <w:pPr>
              <w:pStyle w:val="ListParagraph"/>
              <w:numPr>
                <w:ilvl w:val="0"/>
                <w:numId w:val="1"/>
              </w:numPr>
              <w:ind w:left="288" w:hanging="144"/>
              <w:cnfStyle w:val="000000000000"/>
              <w:rPr>
                <w:rFonts w:cstheme="minorHAnsi"/>
                <w:sz w:val="16"/>
                <w:szCs w:val="16"/>
              </w:rPr>
            </w:pPr>
            <w:r w:rsidRPr="00352C84">
              <w:rPr>
                <w:rFonts w:cstheme="minorHAnsi"/>
                <w:sz w:val="16"/>
                <w:szCs w:val="16"/>
              </w:rPr>
              <w:t>Stated the importance of</w:t>
            </w:r>
            <w:r w:rsidR="00F53816" w:rsidRPr="00352C84">
              <w:rPr>
                <w:rFonts w:cstheme="minorHAnsi"/>
                <w:sz w:val="16"/>
                <w:szCs w:val="16"/>
              </w:rPr>
              <w:t xml:space="preserve"> requiring encryption at rest and in transit.</w:t>
            </w:r>
          </w:p>
        </w:tc>
      </w:tr>
      <w:tr w:rsidR="002C02D0" w:rsidRPr="00352C84" w:rsidTr="00DB12DB">
        <w:trPr>
          <w:cnfStyle w:val="000000100000"/>
          <w:cantSplit/>
        </w:trPr>
        <w:tc>
          <w:tcPr>
            <w:cnfStyle w:val="001000000000"/>
            <w:tcW w:w="537" w:type="dxa"/>
          </w:tcPr>
          <w:p w:rsidR="002C02D0" w:rsidRPr="00352C84" w:rsidRDefault="002C02D0" w:rsidP="002B70A0">
            <w:r w:rsidRPr="00352C84">
              <w:t>47</w:t>
            </w:r>
          </w:p>
        </w:tc>
        <w:tc>
          <w:tcPr>
            <w:tcW w:w="2181" w:type="dxa"/>
          </w:tcPr>
          <w:p w:rsidR="002C02D0" w:rsidRPr="00352C84" w:rsidRDefault="00E142D0" w:rsidP="003B0182">
            <w:pPr>
              <w:cnfStyle w:val="000000100000"/>
              <w:rPr>
                <w:rFonts w:ascii="Calibri" w:hAnsi="Calibri"/>
                <w:color w:val="0000FF"/>
                <w:sz w:val="16"/>
                <w:szCs w:val="16"/>
                <w:u w:val="single"/>
              </w:rPr>
            </w:pPr>
            <w:hyperlink r:id="rId53" w:anchor="!documentDetail;D=HHS-OS-2012-0007-0327" w:tooltip="The document ID for this document is HHS-OS-2012-0007-0327" w:history="1">
              <w:r w:rsidR="002C02D0" w:rsidRPr="00352C84">
                <w:rPr>
                  <w:rFonts w:ascii="Calibri" w:hAnsi="Calibri"/>
                  <w:color w:val="0000FF"/>
                  <w:sz w:val="16"/>
                  <w:u w:val="single"/>
                </w:rPr>
                <w:t>HHS-OS-2012-0007-0327</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P.7</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Megan  Howell</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Group Health Cooperative</w:t>
            </w:r>
          </w:p>
        </w:tc>
        <w:tc>
          <w:tcPr>
            <w:tcW w:w="5130" w:type="dxa"/>
          </w:tcPr>
          <w:p w:rsidR="000A46E9" w:rsidRPr="00352C84" w:rsidRDefault="00705091" w:rsidP="000A46E9">
            <w:pPr>
              <w:pStyle w:val="ListParagraph"/>
              <w:numPr>
                <w:ilvl w:val="0"/>
                <w:numId w:val="1"/>
              </w:numPr>
              <w:ind w:left="288" w:hanging="144"/>
              <w:cnfStyle w:val="000000100000"/>
              <w:rPr>
                <w:rFonts w:cstheme="minorHAnsi"/>
                <w:sz w:val="16"/>
                <w:szCs w:val="16"/>
              </w:rPr>
            </w:pPr>
            <w:r w:rsidRPr="00352C84">
              <w:rPr>
                <w:rFonts w:cstheme="minorHAnsi"/>
                <w:sz w:val="16"/>
                <w:szCs w:val="16"/>
              </w:rPr>
              <w:t>Suggested</w:t>
            </w:r>
            <w:r w:rsidR="000A46E9" w:rsidRPr="00352C84">
              <w:rPr>
                <w:rFonts w:cstheme="minorHAnsi"/>
                <w:sz w:val="16"/>
                <w:szCs w:val="16"/>
              </w:rPr>
              <w:t xml:space="preserve"> requiring </w:t>
            </w:r>
            <w:r w:rsidRPr="00352C84">
              <w:rPr>
                <w:rFonts w:cstheme="minorHAnsi"/>
                <w:sz w:val="16"/>
                <w:szCs w:val="16"/>
              </w:rPr>
              <w:t>a Security</w:t>
            </w:r>
            <w:r w:rsidR="000A46E9" w:rsidRPr="00352C84">
              <w:rPr>
                <w:rFonts w:cstheme="minorHAnsi"/>
                <w:sz w:val="16"/>
                <w:szCs w:val="16"/>
              </w:rPr>
              <w:t xml:space="preserve"> Awareness Program that encompasses the HIPAA Security Rule requirements as part of an organization’s overall Information Security Program (by default).</w:t>
            </w:r>
          </w:p>
          <w:p w:rsidR="000A46E9" w:rsidRPr="00352C84" w:rsidRDefault="00705091" w:rsidP="00705091">
            <w:pPr>
              <w:pStyle w:val="ListParagraph"/>
              <w:numPr>
                <w:ilvl w:val="0"/>
                <w:numId w:val="1"/>
              </w:numPr>
              <w:ind w:left="288" w:hanging="144"/>
              <w:cnfStyle w:val="000000100000"/>
              <w:rPr>
                <w:rFonts w:cstheme="minorHAnsi"/>
                <w:sz w:val="16"/>
                <w:szCs w:val="16"/>
              </w:rPr>
            </w:pPr>
            <w:r w:rsidRPr="00352C84">
              <w:rPr>
                <w:rFonts w:cstheme="minorHAnsi"/>
                <w:sz w:val="16"/>
                <w:szCs w:val="16"/>
              </w:rPr>
              <w:t>Observed</w:t>
            </w:r>
            <w:r w:rsidR="000A46E9" w:rsidRPr="00352C84">
              <w:rPr>
                <w:rFonts w:cstheme="minorHAnsi"/>
                <w:sz w:val="16"/>
                <w:szCs w:val="16"/>
              </w:rPr>
              <w:t xml:space="preserve"> that attestation should not add significant overhead to the overall attestation effort.</w:t>
            </w:r>
          </w:p>
        </w:tc>
      </w:tr>
      <w:tr w:rsidR="002C02D0" w:rsidRPr="00352C84" w:rsidTr="00DB12DB">
        <w:trPr>
          <w:cantSplit/>
        </w:trPr>
        <w:tc>
          <w:tcPr>
            <w:cnfStyle w:val="001000000000"/>
            <w:tcW w:w="537" w:type="dxa"/>
          </w:tcPr>
          <w:p w:rsidR="002C02D0" w:rsidRPr="00352C84" w:rsidRDefault="002C02D0" w:rsidP="002B70A0">
            <w:r w:rsidRPr="00352C84">
              <w:t>48</w:t>
            </w:r>
          </w:p>
        </w:tc>
        <w:tc>
          <w:tcPr>
            <w:tcW w:w="2181" w:type="dxa"/>
          </w:tcPr>
          <w:p w:rsidR="002C02D0" w:rsidRPr="00352C84" w:rsidRDefault="00E142D0" w:rsidP="003B0182">
            <w:pPr>
              <w:cnfStyle w:val="000000000000"/>
              <w:rPr>
                <w:rFonts w:ascii="Calibri" w:hAnsi="Calibri"/>
                <w:color w:val="0000FF"/>
                <w:sz w:val="16"/>
                <w:szCs w:val="16"/>
                <w:u w:val="single"/>
              </w:rPr>
            </w:pPr>
            <w:hyperlink r:id="rId54" w:anchor="!documentDetail;D=HHS-OS-2012-0007-0520" w:history="1">
              <w:r w:rsidR="002C02D0" w:rsidRPr="00352C84">
                <w:rPr>
                  <w:rFonts w:ascii="Calibri" w:hAnsi="Calibri"/>
                  <w:color w:val="0000FF"/>
                  <w:sz w:val="16"/>
                  <w:u w:val="single"/>
                </w:rPr>
                <w:t>HHS-OS-2012-0007-0520</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PDF2 - p.78</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Andy Riedel</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NextGen Healthcare</w:t>
            </w:r>
          </w:p>
        </w:tc>
        <w:tc>
          <w:tcPr>
            <w:tcW w:w="5130" w:type="dxa"/>
          </w:tcPr>
          <w:p w:rsidR="00CA2108" w:rsidRPr="00352C84" w:rsidRDefault="00C63484" w:rsidP="00CA2108">
            <w:pPr>
              <w:pStyle w:val="ListParagraph"/>
              <w:numPr>
                <w:ilvl w:val="0"/>
                <w:numId w:val="1"/>
              </w:numPr>
              <w:ind w:left="288" w:hanging="144"/>
              <w:cnfStyle w:val="000000000000"/>
              <w:rPr>
                <w:rFonts w:cstheme="minorHAnsi"/>
                <w:sz w:val="16"/>
                <w:szCs w:val="16"/>
              </w:rPr>
            </w:pPr>
            <w:r>
              <w:rPr>
                <w:rFonts w:cstheme="minorHAnsi"/>
                <w:sz w:val="16"/>
                <w:szCs w:val="16"/>
              </w:rPr>
              <w:t>Noted that commenter</w:t>
            </w:r>
            <w:r w:rsidR="00EF734E">
              <w:rPr>
                <w:rFonts w:cstheme="minorHAnsi"/>
                <w:sz w:val="16"/>
                <w:szCs w:val="16"/>
              </w:rPr>
              <w:t xml:space="preserve"> a</w:t>
            </w:r>
            <w:r w:rsidR="00705091" w:rsidRPr="00352C84">
              <w:rPr>
                <w:rFonts w:cstheme="minorHAnsi"/>
                <w:sz w:val="16"/>
                <w:szCs w:val="16"/>
              </w:rPr>
              <w:t>greed</w:t>
            </w:r>
            <w:r w:rsidR="00CA2108" w:rsidRPr="00352C84">
              <w:rPr>
                <w:rFonts w:cstheme="minorHAnsi"/>
                <w:sz w:val="16"/>
                <w:szCs w:val="16"/>
              </w:rPr>
              <w:t xml:space="preserve"> that employee training and other administrative controls from the HIPAA Security Rule are important.</w:t>
            </w:r>
          </w:p>
          <w:p w:rsidR="00CA2108" w:rsidRPr="00352C84" w:rsidRDefault="00705091" w:rsidP="00CA2108">
            <w:pPr>
              <w:pStyle w:val="ListParagraph"/>
              <w:numPr>
                <w:ilvl w:val="0"/>
                <w:numId w:val="1"/>
              </w:numPr>
              <w:ind w:left="288" w:hanging="144"/>
              <w:cnfStyle w:val="000000000000"/>
              <w:rPr>
                <w:rFonts w:cstheme="minorHAnsi"/>
                <w:sz w:val="16"/>
                <w:szCs w:val="16"/>
              </w:rPr>
            </w:pPr>
            <w:r w:rsidRPr="00352C84">
              <w:rPr>
                <w:rFonts w:cstheme="minorHAnsi"/>
                <w:sz w:val="16"/>
                <w:szCs w:val="16"/>
              </w:rPr>
              <w:t>Did</w:t>
            </w:r>
            <w:r w:rsidR="00CA2108" w:rsidRPr="00352C84">
              <w:rPr>
                <w:rFonts w:cstheme="minorHAnsi"/>
                <w:sz w:val="16"/>
                <w:szCs w:val="16"/>
              </w:rPr>
              <w:t xml:space="preserve"> not believe that training and other administrative controls need to be added to meaningful use attestation.</w:t>
            </w:r>
          </w:p>
          <w:p w:rsidR="00CA2108" w:rsidRPr="00352C84" w:rsidRDefault="00EF734E" w:rsidP="00CA2108">
            <w:pPr>
              <w:pStyle w:val="ListParagraph"/>
              <w:numPr>
                <w:ilvl w:val="0"/>
                <w:numId w:val="1"/>
              </w:numPr>
              <w:ind w:left="288" w:hanging="144"/>
              <w:cnfStyle w:val="000000000000"/>
              <w:rPr>
                <w:rFonts w:cstheme="minorHAnsi"/>
                <w:sz w:val="16"/>
                <w:szCs w:val="16"/>
              </w:rPr>
            </w:pPr>
            <w:r>
              <w:rPr>
                <w:rFonts w:cstheme="minorHAnsi"/>
                <w:sz w:val="16"/>
                <w:szCs w:val="16"/>
              </w:rPr>
              <w:t xml:space="preserve">Commented </w:t>
            </w:r>
            <w:r w:rsidR="00CA2108" w:rsidRPr="00352C84">
              <w:rPr>
                <w:rFonts w:cstheme="minorHAnsi"/>
                <w:sz w:val="16"/>
                <w:szCs w:val="16"/>
              </w:rPr>
              <w:t>that training and such are already HIPAA obligations.</w:t>
            </w:r>
          </w:p>
          <w:p w:rsidR="00CA2108" w:rsidRPr="00352C84" w:rsidRDefault="00705091" w:rsidP="00705091">
            <w:pPr>
              <w:pStyle w:val="ListParagraph"/>
              <w:numPr>
                <w:ilvl w:val="0"/>
                <w:numId w:val="1"/>
              </w:numPr>
              <w:ind w:left="288" w:hanging="144"/>
              <w:cnfStyle w:val="000000000000"/>
              <w:rPr>
                <w:rFonts w:cstheme="minorHAnsi"/>
                <w:sz w:val="16"/>
                <w:szCs w:val="16"/>
              </w:rPr>
            </w:pPr>
            <w:r w:rsidRPr="00352C84">
              <w:rPr>
                <w:rFonts w:cstheme="minorHAnsi"/>
                <w:sz w:val="16"/>
                <w:szCs w:val="16"/>
              </w:rPr>
              <w:t>Stated that</w:t>
            </w:r>
            <w:r w:rsidR="00CA2108" w:rsidRPr="00352C84">
              <w:rPr>
                <w:rFonts w:cstheme="minorHAnsi"/>
                <w:sz w:val="16"/>
                <w:szCs w:val="16"/>
              </w:rPr>
              <w:t>, as a matter of principle, meaningful use should not attempt to duplicate existing regulatory requirements.</w:t>
            </w:r>
          </w:p>
        </w:tc>
      </w:tr>
      <w:tr w:rsidR="002C02D0" w:rsidRPr="00352C84" w:rsidTr="00DB12DB">
        <w:trPr>
          <w:cnfStyle w:val="000000100000"/>
          <w:cantSplit/>
        </w:trPr>
        <w:tc>
          <w:tcPr>
            <w:cnfStyle w:val="001000000000"/>
            <w:tcW w:w="537" w:type="dxa"/>
          </w:tcPr>
          <w:p w:rsidR="002C02D0" w:rsidRPr="00352C84" w:rsidRDefault="002C02D0" w:rsidP="002B70A0">
            <w:r w:rsidRPr="00352C84">
              <w:t>49</w:t>
            </w:r>
          </w:p>
        </w:tc>
        <w:tc>
          <w:tcPr>
            <w:tcW w:w="2181" w:type="dxa"/>
          </w:tcPr>
          <w:p w:rsidR="002C02D0" w:rsidRPr="00352C84" w:rsidRDefault="00E142D0" w:rsidP="003B0182">
            <w:pPr>
              <w:cnfStyle w:val="000000100000"/>
              <w:rPr>
                <w:rFonts w:ascii="Calibri" w:hAnsi="Calibri"/>
                <w:color w:val="0000FF"/>
                <w:sz w:val="16"/>
                <w:szCs w:val="16"/>
                <w:u w:val="single"/>
              </w:rPr>
            </w:pPr>
            <w:hyperlink r:id="rId55" w:anchor="!documentDetail;D=HHS-OS-2012-0007-0547" w:tooltip="The document ID for this document is HHS-OS-2012-0007-0547" w:history="1">
              <w:r w:rsidR="002C02D0" w:rsidRPr="00352C84">
                <w:rPr>
                  <w:rFonts w:ascii="Calibri" w:hAnsi="Calibri"/>
                  <w:color w:val="0000FF"/>
                  <w:sz w:val="16"/>
                  <w:u w:val="single"/>
                </w:rPr>
                <w:t>HHS-OS-2012-0007-0547</w:t>
              </w:r>
            </w:hyperlink>
          </w:p>
        </w:tc>
        <w:tc>
          <w:tcPr>
            <w:tcW w:w="72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tab 3</w:t>
            </w:r>
          </w:p>
        </w:tc>
        <w:tc>
          <w:tcPr>
            <w:tcW w:w="189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Erin  Laney</w:t>
            </w:r>
          </w:p>
        </w:tc>
        <w:tc>
          <w:tcPr>
            <w:tcW w:w="2610" w:type="dxa"/>
          </w:tcPr>
          <w:p w:rsidR="002C02D0" w:rsidRPr="00352C84" w:rsidRDefault="002C02D0" w:rsidP="003B0182">
            <w:pPr>
              <w:cnfStyle w:val="000000100000"/>
              <w:rPr>
                <w:rFonts w:ascii="Calibri" w:hAnsi="Calibri"/>
                <w:color w:val="000000"/>
                <w:sz w:val="16"/>
                <w:szCs w:val="16"/>
              </w:rPr>
            </w:pPr>
            <w:r w:rsidRPr="00352C84">
              <w:rPr>
                <w:rFonts w:ascii="Calibri" w:hAnsi="Calibri"/>
                <w:color w:val="000000"/>
                <w:sz w:val="16"/>
                <w:szCs w:val="16"/>
              </w:rPr>
              <w:t>Intermountain Healthcare</w:t>
            </w:r>
          </w:p>
        </w:tc>
        <w:tc>
          <w:tcPr>
            <w:tcW w:w="5130" w:type="dxa"/>
          </w:tcPr>
          <w:p w:rsidR="00642F76" w:rsidRPr="00352C84" w:rsidRDefault="00642F76" w:rsidP="00642F76">
            <w:pPr>
              <w:pStyle w:val="ListParagraph"/>
              <w:numPr>
                <w:ilvl w:val="0"/>
                <w:numId w:val="1"/>
              </w:numPr>
              <w:ind w:left="288" w:hanging="144"/>
              <w:cnfStyle w:val="000000100000"/>
              <w:rPr>
                <w:rFonts w:cstheme="minorHAnsi"/>
                <w:sz w:val="16"/>
                <w:szCs w:val="16"/>
              </w:rPr>
            </w:pPr>
            <w:r w:rsidRPr="00352C84">
              <w:rPr>
                <w:rFonts w:cstheme="minorHAnsi"/>
                <w:sz w:val="16"/>
                <w:szCs w:val="16"/>
              </w:rPr>
              <w:t>D</w:t>
            </w:r>
            <w:r w:rsidR="00705091" w:rsidRPr="00352C84">
              <w:rPr>
                <w:rFonts w:cstheme="minorHAnsi"/>
                <w:sz w:val="16"/>
                <w:szCs w:val="16"/>
              </w:rPr>
              <w:t>id</w:t>
            </w:r>
            <w:r w:rsidRPr="00352C84">
              <w:rPr>
                <w:rFonts w:cstheme="minorHAnsi"/>
                <w:sz w:val="16"/>
                <w:szCs w:val="16"/>
              </w:rPr>
              <w:t xml:space="preserve"> not object if ONC wishes to require attestation of compliance with the areas of workforce/staff outreach.</w:t>
            </w:r>
          </w:p>
          <w:p w:rsidR="00642F76" w:rsidRPr="00352C84" w:rsidRDefault="00705091" w:rsidP="00642F76">
            <w:pPr>
              <w:pStyle w:val="ListParagraph"/>
              <w:numPr>
                <w:ilvl w:val="0"/>
                <w:numId w:val="1"/>
              </w:numPr>
              <w:ind w:left="288" w:hanging="144"/>
              <w:cnfStyle w:val="000000100000"/>
              <w:rPr>
                <w:rFonts w:cstheme="minorHAnsi"/>
                <w:sz w:val="16"/>
                <w:szCs w:val="16"/>
              </w:rPr>
            </w:pPr>
            <w:r w:rsidRPr="00352C84">
              <w:rPr>
                <w:rFonts w:cstheme="minorHAnsi"/>
                <w:sz w:val="16"/>
                <w:szCs w:val="16"/>
              </w:rPr>
              <w:t>Suggested</w:t>
            </w:r>
            <w:r w:rsidR="00642F76" w:rsidRPr="00352C84">
              <w:rPr>
                <w:rFonts w:cstheme="minorHAnsi"/>
                <w:sz w:val="16"/>
                <w:szCs w:val="16"/>
              </w:rPr>
              <w:t xml:space="preserve"> that ONC should not provide guidance or introduce interpretation of the Security Rule independently.</w:t>
            </w:r>
          </w:p>
          <w:p w:rsidR="00642F76" w:rsidRPr="00352C84" w:rsidRDefault="00705091" w:rsidP="00642F76">
            <w:pPr>
              <w:pStyle w:val="ListParagraph"/>
              <w:numPr>
                <w:ilvl w:val="0"/>
                <w:numId w:val="1"/>
              </w:numPr>
              <w:ind w:left="288" w:hanging="144"/>
              <w:cnfStyle w:val="000000100000"/>
              <w:rPr>
                <w:rFonts w:cstheme="minorHAnsi"/>
                <w:sz w:val="16"/>
                <w:szCs w:val="16"/>
              </w:rPr>
            </w:pPr>
            <w:r w:rsidRPr="00352C84">
              <w:rPr>
                <w:rFonts w:cstheme="minorHAnsi"/>
                <w:sz w:val="16"/>
                <w:szCs w:val="16"/>
              </w:rPr>
              <w:t>Suggested</w:t>
            </w:r>
            <w:r w:rsidR="00642F76" w:rsidRPr="00352C84">
              <w:rPr>
                <w:rFonts w:cstheme="minorHAnsi"/>
                <w:sz w:val="16"/>
                <w:szCs w:val="16"/>
              </w:rPr>
              <w:t xml:space="preserve"> that ONC should rely solely on the guidance and interpretation of the rule as published by the OCR when crafting certification criteria for MU3.</w:t>
            </w:r>
          </w:p>
          <w:p w:rsidR="00642F76" w:rsidRPr="00352C84" w:rsidRDefault="009300CB" w:rsidP="00642F76">
            <w:pPr>
              <w:pStyle w:val="ListParagraph"/>
              <w:numPr>
                <w:ilvl w:val="0"/>
                <w:numId w:val="1"/>
              </w:numPr>
              <w:ind w:left="288" w:hanging="144"/>
              <w:cnfStyle w:val="000000100000"/>
              <w:rPr>
                <w:rFonts w:cstheme="minorHAnsi"/>
                <w:sz w:val="16"/>
                <w:szCs w:val="16"/>
              </w:rPr>
            </w:pPr>
            <w:r>
              <w:rPr>
                <w:rFonts w:cstheme="minorHAnsi"/>
                <w:sz w:val="16"/>
                <w:szCs w:val="16"/>
              </w:rPr>
              <w:t xml:space="preserve">Commented that </w:t>
            </w:r>
            <w:r w:rsidR="00642F76" w:rsidRPr="00352C84">
              <w:rPr>
                <w:rFonts w:cstheme="minorHAnsi"/>
                <w:sz w:val="16"/>
                <w:szCs w:val="16"/>
              </w:rPr>
              <w:t>it is in the interest of neither the healthcare industry nor ONC to have two federal agencies enforcing conflicting requirements, therefore ONC should strive to reject divergence from or enhancement to the OCR published interpretive guidance of the Security Rule.</w:t>
            </w:r>
          </w:p>
          <w:p w:rsidR="00642F76" w:rsidRPr="00352C84" w:rsidRDefault="00705091" w:rsidP="00642F76">
            <w:pPr>
              <w:pStyle w:val="ListParagraph"/>
              <w:numPr>
                <w:ilvl w:val="0"/>
                <w:numId w:val="1"/>
              </w:numPr>
              <w:ind w:left="288" w:hanging="144"/>
              <w:cnfStyle w:val="000000100000"/>
              <w:rPr>
                <w:rFonts w:cstheme="minorHAnsi"/>
                <w:sz w:val="16"/>
                <w:szCs w:val="16"/>
              </w:rPr>
            </w:pPr>
            <w:r w:rsidRPr="00352C84">
              <w:rPr>
                <w:rFonts w:cstheme="minorHAnsi"/>
                <w:sz w:val="16"/>
                <w:szCs w:val="16"/>
              </w:rPr>
              <w:t>Stated that</w:t>
            </w:r>
            <w:r w:rsidR="00642F76" w:rsidRPr="00352C84">
              <w:rPr>
                <w:rFonts w:cstheme="minorHAnsi"/>
                <w:sz w:val="16"/>
                <w:szCs w:val="16"/>
              </w:rPr>
              <w:t xml:space="preserve"> ONC not require attestation for addressable requirements in such a way that it interferes with the flexible intent of the Security Rule.</w:t>
            </w:r>
          </w:p>
          <w:p w:rsidR="00642F76" w:rsidRPr="00352C84" w:rsidRDefault="00642F76" w:rsidP="00642F76">
            <w:pPr>
              <w:pStyle w:val="ListParagraph"/>
              <w:numPr>
                <w:ilvl w:val="0"/>
                <w:numId w:val="1"/>
              </w:numPr>
              <w:ind w:left="288" w:hanging="144"/>
              <w:cnfStyle w:val="000000100000"/>
              <w:rPr>
                <w:rFonts w:cstheme="minorHAnsi"/>
                <w:sz w:val="16"/>
                <w:szCs w:val="16"/>
              </w:rPr>
            </w:pPr>
            <w:r w:rsidRPr="00352C84">
              <w:rPr>
                <w:rFonts w:cstheme="minorHAnsi"/>
                <w:sz w:val="16"/>
                <w:szCs w:val="16"/>
              </w:rPr>
              <w:t>S</w:t>
            </w:r>
            <w:r w:rsidR="00705091" w:rsidRPr="00352C84">
              <w:rPr>
                <w:rFonts w:cstheme="minorHAnsi"/>
                <w:sz w:val="16"/>
                <w:szCs w:val="16"/>
              </w:rPr>
              <w:t>uggested</w:t>
            </w:r>
            <w:r w:rsidRPr="00352C84">
              <w:rPr>
                <w:rFonts w:cstheme="minorHAnsi"/>
                <w:sz w:val="16"/>
                <w:szCs w:val="16"/>
              </w:rPr>
              <w:t xml:space="preserve"> that ONC should not restrict the right of MU3 participants to select solutions that are reasonable and feasible for their specific environments.</w:t>
            </w:r>
          </w:p>
          <w:p w:rsidR="00642F76" w:rsidRPr="00352C84" w:rsidRDefault="00642F76" w:rsidP="00642F76">
            <w:pPr>
              <w:pStyle w:val="ListParagraph"/>
              <w:numPr>
                <w:ilvl w:val="0"/>
                <w:numId w:val="1"/>
              </w:numPr>
              <w:ind w:left="288" w:hanging="144"/>
              <w:cnfStyle w:val="000000100000"/>
              <w:rPr>
                <w:rFonts w:cstheme="minorHAnsi"/>
                <w:sz w:val="16"/>
                <w:szCs w:val="16"/>
              </w:rPr>
            </w:pPr>
            <w:r w:rsidRPr="00352C84">
              <w:rPr>
                <w:rFonts w:cstheme="minorHAnsi"/>
                <w:sz w:val="16"/>
                <w:szCs w:val="16"/>
              </w:rPr>
              <w:t>Emphasize</w:t>
            </w:r>
            <w:r w:rsidR="00705091" w:rsidRPr="00352C84">
              <w:rPr>
                <w:rFonts w:cstheme="minorHAnsi"/>
                <w:sz w:val="16"/>
                <w:szCs w:val="16"/>
              </w:rPr>
              <w:t>d</w:t>
            </w:r>
            <w:r w:rsidRPr="00352C84">
              <w:rPr>
                <w:rFonts w:cstheme="minorHAnsi"/>
                <w:sz w:val="16"/>
                <w:szCs w:val="16"/>
              </w:rPr>
              <w:t xml:space="preserve"> along with many in the industry that the Security Rule will apply to EMR systems regardless of ONC's reiteration of those requirements in the detail of the certification criteria.</w:t>
            </w:r>
          </w:p>
          <w:p w:rsidR="002C02D0" w:rsidRDefault="00705091" w:rsidP="00705091">
            <w:pPr>
              <w:pStyle w:val="ListParagraph"/>
              <w:numPr>
                <w:ilvl w:val="0"/>
                <w:numId w:val="1"/>
              </w:numPr>
              <w:ind w:left="288" w:hanging="144"/>
              <w:cnfStyle w:val="000000100000"/>
              <w:rPr>
                <w:rFonts w:cstheme="minorHAnsi"/>
                <w:sz w:val="16"/>
                <w:szCs w:val="16"/>
              </w:rPr>
            </w:pPr>
            <w:r w:rsidRPr="00352C84">
              <w:rPr>
                <w:rFonts w:cstheme="minorHAnsi"/>
                <w:sz w:val="16"/>
                <w:szCs w:val="16"/>
              </w:rPr>
              <w:t>Suggested</w:t>
            </w:r>
            <w:r w:rsidR="00642F76" w:rsidRPr="00352C84">
              <w:rPr>
                <w:rFonts w:cstheme="minorHAnsi"/>
                <w:sz w:val="16"/>
                <w:szCs w:val="16"/>
              </w:rPr>
              <w:t xml:space="preserve"> OCR to use caution as it considers inclusion of Security Rule requirements if conflicts with the OCR interpretation may result.</w:t>
            </w:r>
          </w:p>
          <w:p w:rsidR="00697B06" w:rsidRPr="00890336" w:rsidRDefault="00890336" w:rsidP="00890336">
            <w:pPr>
              <w:pStyle w:val="ListParagraph"/>
              <w:numPr>
                <w:ilvl w:val="0"/>
                <w:numId w:val="1"/>
              </w:numPr>
              <w:ind w:left="288" w:hanging="144"/>
              <w:cnfStyle w:val="000000100000"/>
              <w:rPr>
                <w:rFonts w:cstheme="minorHAnsi"/>
                <w:sz w:val="16"/>
                <w:szCs w:val="16"/>
              </w:rPr>
            </w:pPr>
            <w:hyperlink r:id="rId56" w:history="1">
              <w:r w:rsidRPr="00EE3143">
                <w:rPr>
                  <w:rStyle w:val="Hyperlink"/>
                  <w:rFonts w:cstheme="minorHAnsi"/>
                  <w:sz w:val="16"/>
                  <w:szCs w:val="16"/>
                </w:rPr>
                <w:t>http://www.regulations.gov/#!documentDetail;D=HHS-OS-2012-0007-0547</w:t>
              </w:r>
            </w:hyperlink>
            <w:r>
              <w:rPr>
                <w:rFonts w:cstheme="minorHAnsi"/>
                <w:sz w:val="16"/>
                <w:szCs w:val="16"/>
              </w:rPr>
              <w:t xml:space="preserve"> </w:t>
            </w:r>
          </w:p>
        </w:tc>
      </w:tr>
      <w:tr w:rsidR="002C02D0" w:rsidRPr="00352C84" w:rsidTr="00DB12DB">
        <w:trPr>
          <w:cantSplit/>
        </w:trPr>
        <w:tc>
          <w:tcPr>
            <w:cnfStyle w:val="001000000000"/>
            <w:tcW w:w="537" w:type="dxa"/>
          </w:tcPr>
          <w:p w:rsidR="002C02D0" w:rsidRPr="00352C84" w:rsidRDefault="002C02D0" w:rsidP="002B70A0">
            <w:r w:rsidRPr="00352C84">
              <w:lastRenderedPageBreak/>
              <w:t>50</w:t>
            </w:r>
          </w:p>
        </w:tc>
        <w:tc>
          <w:tcPr>
            <w:tcW w:w="2181" w:type="dxa"/>
          </w:tcPr>
          <w:p w:rsidR="002C02D0" w:rsidRPr="00352C84" w:rsidRDefault="00E142D0" w:rsidP="003B0182">
            <w:pPr>
              <w:cnfStyle w:val="000000000000"/>
              <w:rPr>
                <w:rFonts w:ascii="Calibri" w:hAnsi="Calibri"/>
                <w:color w:val="0000FF"/>
                <w:sz w:val="16"/>
                <w:szCs w:val="16"/>
                <w:u w:val="single"/>
              </w:rPr>
            </w:pPr>
            <w:hyperlink r:id="rId57" w:anchor="!documentDetail;D=HHS-OS-2012-0007-0535" w:tooltip="The document ID for this document is HHS-OS-2012-0007-0535" w:history="1">
              <w:r w:rsidR="002C02D0" w:rsidRPr="00352C84">
                <w:rPr>
                  <w:rFonts w:ascii="Calibri" w:hAnsi="Calibri"/>
                  <w:color w:val="0000FF"/>
                  <w:sz w:val="16"/>
                  <w:u w:val="single"/>
                </w:rPr>
                <w:t>HHS-OS-2012-0007-0535</w:t>
              </w:r>
            </w:hyperlink>
          </w:p>
        </w:tc>
        <w:tc>
          <w:tcPr>
            <w:tcW w:w="72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tab 4</w:t>
            </w:r>
          </w:p>
        </w:tc>
        <w:tc>
          <w:tcPr>
            <w:tcW w:w="189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Dan  Rode</w:t>
            </w:r>
          </w:p>
        </w:tc>
        <w:tc>
          <w:tcPr>
            <w:tcW w:w="2610" w:type="dxa"/>
          </w:tcPr>
          <w:p w:rsidR="002C02D0" w:rsidRPr="00352C84" w:rsidRDefault="002C02D0" w:rsidP="003B0182">
            <w:pPr>
              <w:cnfStyle w:val="000000000000"/>
              <w:rPr>
                <w:rFonts w:ascii="Calibri" w:hAnsi="Calibri"/>
                <w:color w:val="000000"/>
                <w:sz w:val="16"/>
                <w:szCs w:val="16"/>
              </w:rPr>
            </w:pPr>
            <w:r w:rsidRPr="00352C84">
              <w:rPr>
                <w:rFonts w:ascii="Calibri" w:hAnsi="Calibri"/>
                <w:color w:val="000000"/>
                <w:sz w:val="16"/>
                <w:szCs w:val="16"/>
              </w:rPr>
              <w:t>American Health Information Management Association</w:t>
            </w:r>
          </w:p>
        </w:tc>
        <w:tc>
          <w:tcPr>
            <w:tcW w:w="5130" w:type="dxa"/>
          </w:tcPr>
          <w:p w:rsidR="007B6512" w:rsidRPr="00352C84" w:rsidRDefault="00705091" w:rsidP="007B6512">
            <w:pPr>
              <w:pStyle w:val="ListParagraph"/>
              <w:numPr>
                <w:ilvl w:val="0"/>
                <w:numId w:val="1"/>
              </w:numPr>
              <w:ind w:left="288" w:hanging="144"/>
              <w:cnfStyle w:val="000000000000"/>
              <w:rPr>
                <w:rFonts w:cstheme="minorHAnsi"/>
                <w:sz w:val="16"/>
                <w:szCs w:val="16"/>
              </w:rPr>
            </w:pPr>
            <w:r w:rsidRPr="00352C84">
              <w:rPr>
                <w:rFonts w:cstheme="minorHAnsi"/>
                <w:sz w:val="16"/>
                <w:szCs w:val="16"/>
              </w:rPr>
              <w:t>Suggested</w:t>
            </w:r>
            <w:r w:rsidR="007B6512" w:rsidRPr="00352C84">
              <w:rPr>
                <w:rFonts w:cstheme="minorHAnsi"/>
                <w:sz w:val="16"/>
                <w:szCs w:val="16"/>
              </w:rPr>
              <w:t xml:space="preserve"> that ONC continue to rely on OCR process to review and define the specific criteria.</w:t>
            </w:r>
          </w:p>
          <w:p w:rsidR="007B6512" w:rsidRPr="00352C84" w:rsidRDefault="00705091" w:rsidP="007B6512">
            <w:pPr>
              <w:pStyle w:val="ListParagraph"/>
              <w:numPr>
                <w:ilvl w:val="0"/>
                <w:numId w:val="1"/>
              </w:numPr>
              <w:ind w:left="288" w:hanging="144"/>
              <w:cnfStyle w:val="000000000000"/>
              <w:rPr>
                <w:rFonts w:cstheme="minorHAnsi"/>
                <w:sz w:val="16"/>
                <w:szCs w:val="16"/>
              </w:rPr>
            </w:pPr>
            <w:r w:rsidRPr="00352C84">
              <w:rPr>
                <w:rFonts w:cstheme="minorHAnsi"/>
                <w:sz w:val="16"/>
                <w:szCs w:val="16"/>
              </w:rPr>
              <w:t>Stated</w:t>
            </w:r>
            <w:r w:rsidR="007B6512" w:rsidRPr="00352C84">
              <w:rPr>
                <w:rFonts w:cstheme="minorHAnsi"/>
                <w:sz w:val="16"/>
                <w:szCs w:val="16"/>
              </w:rPr>
              <w:t xml:space="preserve"> that having more specific criteria in meaningful only bring inconsistencies between MU and the Privacy and Security rules.</w:t>
            </w:r>
          </w:p>
          <w:p w:rsidR="007B6512" w:rsidRPr="00352C84" w:rsidRDefault="00705091" w:rsidP="007B6512">
            <w:pPr>
              <w:pStyle w:val="ListParagraph"/>
              <w:numPr>
                <w:ilvl w:val="0"/>
                <w:numId w:val="1"/>
              </w:numPr>
              <w:ind w:left="288" w:hanging="144"/>
              <w:cnfStyle w:val="000000000000"/>
              <w:rPr>
                <w:rFonts w:cstheme="minorHAnsi"/>
                <w:sz w:val="16"/>
                <w:szCs w:val="16"/>
              </w:rPr>
            </w:pPr>
            <w:r w:rsidRPr="00352C84">
              <w:rPr>
                <w:rFonts w:cstheme="minorHAnsi"/>
                <w:sz w:val="16"/>
                <w:szCs w:val="16"/>
              </w:rPr>
              <w:t>Stated that</w:t>
            </w:r>
            <w:r w:rsidR="007B6512" w:rsidRPr="00352C84">
              <w:rPr>
                <w:rFonts w:cstheme="minorHAnsi"/>
                <w:sz w:val="16"/>
                <w:szCs w:val="16"/>
              </w:rPr>
              <w:t xml:space="preserve"> if more specific criteria is required, this should be given back to the OCR to update the Privacy and Security Rule.</w:t>
            </w:r>
          </w:p>
          <w:p w:rsidR="007B6512" w:rsidRPr="00352C84" w:rsidRDefault="00705091" w:rsidP="00705091">
            <w:pPr>
              <w:pStyle w:val="ListParagraph"/>
              <w:numPr>
                <w:ilvl w:val="0"/>
                <w:numId w:val="1"/>
              </w:numPr>
              <w:ind w:left="288" w:hanging="144"/>
              <w:cnfStyle w:val="000000000000"/>
              <w:rPr>
                <w:rFonts w:cstheme="minorHAnsi"/>
                <w:sz w:val="16"/>
                <w:szCs w:val="16"/>
              </w:rPr>
            </w:pPr>
            <w:r w:rsidRPr="00352C84">
              <w:rPr>
                <w:rFonts w:cstheme="minorHAnsi"/>
                <w:sz w:val="16"/>
                <w:szCs w:val="16"/>
              </w:rPr>
              <w:t>Recommended</w:t>
            </w:r>
            <w:r w:rsidR="007B6512" w:rsidRPr="00352C84">
              <w:rPr>
                <w:rFonts w:cstheme="minorHAnsi"/>
                <w:sz w:val="16"/>
                <w:szCs w:val="16"/>
              </w:rPr>
              <w:t xml:space="preserve"> that EPs/EHs/CAHs attest to meeting the HIPAA Privacy and Security rules, and let OCR be more prescriptive and change the Privacy and Security rules as needed.</w:t>
            </w:r>
          </w:p>
        </w:tc>
      </w:tr>
    </w:tbl>
    <w:p w:rsidR="00257F9B" w:rsidRPr="00352C84" w:rsidRDefault="00257F9B"/>
    <w:p w:rsidR="00257F9B" w:rsidRPr="00352C84" w:rsidRDefault="00257F9B"/>
    <w:p w:rsidR="000C5962" w:rsidRPr="00C85321" w:rsidRDefault="000C5962" w:rsidP="000C5962">
      <w:pPr>
        <w:pStyle w:val="Title"/>
        <w:rPr>
          <w:b/>
          <w:sz w:val="28"/>
          <w:szCs w:val="28"/>
        </w:rPr>
      </w:pPr>
      <w:r w:rsidRPr="00C85321">
        <w:rPr>
          <w:b/>
          <w:sz w:val="28"/>
          <w:szCs w:val="28"/>
        </w:rPr>
        <w:t>Summary</w:t>
      </w:r>
    </w:p>
    <w:p w:rsidR="0086400D" w:rsidRPr="00C15DCC" w:rsidRDefault="00B72A2F" w:rsidP="0086400D">
      <w:pPr>
        <w:spacing w:after="0" w:line="240" w:lineRule="auto"/>
        <w:rPr>
          <w:sz w:val="20"/>
          <w:szCs w:val="20"/>
        </w:rPr>
      </w:pPr>
      <w:r w:rsidRPr="00C15DCC">
        <w:rPr>
          <w:b/>
          <w:bCs/>
          <w:sz w:val="20"/>
          <w:szCs w:val="20"/>
        </w:rPr>
        <w:t xml:space="preserve">Number of Comments: </w:t>
      </w:r>
      <w:r w:rsidR="00890336">
        <w:rPr>
          <w:sz w:val="20"/>
          <w:szCs w:val="20"/>
        </w:rPr>
        <w:t xml:space="preserve">46 (4 </w:t>
      </w:r>
      <w:r w:rsidR="00890336">
        <w:rPr>
          <w:rFonts w:cs="Times New Roman"/>
          <w:sz w:val="20"/>
          <w:szCs w:val="20"/>
        </w:rPr>
        <w:t>commenters did not include a response or link was invalid)_</w:t>
      </w:r>
    </w:p>
    <w:p w:rsidR="0086400D" w:rsidRPr="00C15DCC" w:rsidRDefault="0086400D" w:rsidP="0086400D">
      <w:pPr>
        <w:spacing w:after="0" w:line="240" w:lineRule="auto"/>
        <w:rPr>
          <w:sz w:val="20"/>
          <w:szCs w:val="20"/>
        </w:rPr>
      </w:pPr>
    </w:p>
    <w:p w:rsidR="00781DCC" w:rsidRDefault="00B72A2F" w:rsidP="0086400D">
      <w:pPr>
        <w:spacing w:after="0" w:line="240" w:lineRule="auto"/>
        <w:rPr>
          <w:b/>
          <w:bCs/>
          <w:sz w:val="20"/>
          <w:szCs w:val="20"/>
        </w:rPr>
      </w:pPr>
      <w:r w:rsidRPr="00C15DCC">
        <w:rPr>
          <w:b/>
          <w:bCs/>
          <w:sz w:val="20"/>
          <w:szCs w:val="20"/>
        </w:rPr>
        <w:t xml:space="preserve">Summary:  </w:t>
      </w:r>
    </w:p>
    <w:p w:rsidR="00781DCC" w:rsidRDefault="00781DCC" w:rsidP="0086400D">
      <w:pPr>
        <w:spacing w:after="0" w:line="240" w:lineRule="auto"/>
        <w:rPr>
          <w:b/>
          <w:bCs/>
          <w:sz w:val="20"/>
          <w:szCs w:val="20"/>
        </w:rPr>
      </w:pPr>
    </w:p>
    <w:p w:rsidR="00B72A2F" w:rsidRPr="002A74C0" w:rsidRDefault="00781DCC" w:rsidP="0086400D">
      <w:pPr>
        <w:spacing w:after="0" w:line="240" w:lineRule="auto"/>
        <w:rPr>
          <w:b/>
          <w:bCs/>
          <w:sz w:val="20"/>
          <w:szCs w:val="20"/>
        </w:rPr>
      </w:pPr>
      <w:r>
        <w:rPr>
          <w:b/>
          <w:bCs/>
          <w:sz w:val="20"/>
          <w:szCs w:val="20"/>
        </w:rPr>
        <w:t xml:space="preserve">Key Issues: </w:t>
      </w:r>
      <w:r w:rsidR="002A74C0">
        <w:rPr>
          <w:b/>
          <w:bCs/>
          <w:sz w:val="20"/>
          <w:szCs w:val="20"/>
        </w:rPr>
        <w:t xml:space="preserve"> </w:t>
      </w:r>
      <w:r w:rsidR="00D13F13">
        <w:rPr>
          <w:bCs/>
          <w:sz w:val="20"/>
          <w:szCs w:val="20"/>
        </w:rPr>
        <w:t>Commenters identified the following</w:t>
      </w:r>
      <w:r w:rsidR="00B72A2F" w:rsidRPr="00C15DCC">
        <w:rPr>
          <w:bCs/>
          <w:sz w:val="20"/>
          <w:szCs w:val="20"/>
        </w:rPr>
        <w:t xml:space="preserve"> safeguards to be emphasized in MU 3 an</w:t>
      </w:r>
      <w:r>
        <w:rPr>
          <w:bCs/>
          <w:sz w:val="20"/>
          <w:szCs w:val="20"/>
        </w:rPr>
        <w:t xml:space="preserve">d key areas highlighted around training for the workforce. </w:t>
      </w:r>
    </w:p>
    <w:p w:rsidR="0086400D" w:rsidRPr="00C15DCC" w:rsidRDefault="0086400D" w:rsidP="0086400D">
      <w:pPr>
        <w:pStyle w:val="ListParagraph"/>
        <w:spacing w:after="0" w:line="240" w:lineRule="auto"/>
        <w:contextualSpacing w:val="0"/>
        <w:rPr>
          <w:sz w:val="20"/>
          <w:szCs w:val="20"/>
        </w:rPr>
      </w:pP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Access controls (1)</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Audits (1)</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 xml:space="preserve">Data integrity (2) </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Encryption:</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Encryption (2)</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Encryption of data on removable media (1)</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Encryption at rest (1)</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Encryption in transit (1)</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Full-disc encryption of mobile devices accessing EHRs (2)</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Transmission of patient information, both inside and outside enterprise (1)</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Identity management (1)</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Implementation of backup and recovery plans (1)</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Policies and procedures related to prevention of local storage of PHI (1)</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Malware on all workstations accessing EHRs and EHR modules (1)</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 xml:space="preserve">Social media, bring your own device (BYOD), and mobile devices (1) </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 xml:space="preserve">Specific security controls in place (if local data storage) (1) </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lastRenderedPageBreak/>
        <w:t xml:space="preserve">Training on specific areas: </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Assignment and training on Security Officer role (1)</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Mobile device security (2)</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More timely and targeted training on security (1)</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Patient’s Right of Access (1)</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Security controls (1)</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Usability of security solutions (1)</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 xml:space="preserve">Workforce security training (general) (4) </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More guidance and education for providers on HIPAA Security Rule (e.g., to understand encryption, risk assessment, risk mitigation) (4)</w:t>
      </w:r>
    </w:p>
    <w:p w:rsidR="0086400D" w:rsidRPr="00C15DCC" w:rsidRDefault="0086400D" w:rsidP="0086400D">
      <w:pPr>
        <w:spacing w:after="0" w:line="240" w:lineRule="auto"/>
        <w:rPr>
          <w:b/>
          <w:bCs/>
          <w:sz w:val="20"/>
          <w:szCs w:val="20"/>
        </w:rPr>
      </w:pPr>
    </w:p>
    <w:p w:rsidR="00B51B00" w:rsidRPr="002A74C0" w:rsidRDefault="00B72A2F" w:rsidP="0086400D">
      <w:pPr>
        <w:spacing w:after="0" w:line="240" w:lineRule="auto"/>
        <w:rPr>
          <w:b/>
          <w:bCs/>
          <w:iCs/>
          <w:sz w:val="20"/>
          <w:szCs w:val="20"/>
        </w:rPr>
      </w:pPr>
      <w:r w:rsidRPr="00C15DCC">
        <w:rPr>
          <w:b/>
          <w:bCs/>
          <w:iCs/>
          <w:sz w:val="20"/>
          <w:szCs w:val="20"/>
        </w:rPr>
        <w:t>Requiring Attestation:</w:t>
      </w:r>
      <w:r w:rsidR="002A74C0">
        <w:rPr>
          <w:b/>
          <w:bCs/>
          <w:iCs/>
          <w:sz w:val="20"/>
          <w:szCs w:val="20"/>
        </w:rPr>
        <w:t xml:space="preserve"> </w:t>
      </w:r>
      <w:r w:rsidR="00B51B00" w:rsidRPr="00C15DCC">
        <w:rPr>
          <w:sz w:val="20"/>
          <w:szCs w:val="20"/>
        </w:rPr>
        <w:t>Commenters</w:t>
      </w:r>
      <w:r w:rsidR="00781DCC">
        <w:rPr>
          <w:sz w:val="20"/>
          <w:szCs w:val="20"/>
        </w:rPr>
        <w:t xml:space="preserve"> include</w:t>
      </w:r>
      <w:r w:rsidR="00D13F13">
        <w:rPr>
          <w:sz w:val="20"/>
          <w:szCs w:val="20"/>
        </w:rPr>
        <w:t>d</w:t>
      </w:r>
      <w:r w:rsidR="00B51B00" w:rsidRPr="00C15DCC">
        <w:rPr>
          <w:sz w:val="20"/>
          <w:szCs w:val="20"/>
        </w:rPr>
        <w:t xml:space="preserve"> those for, against and neutral regarding the addition of an attestation fo</w:t>
      </w:r>
      <w:r w:rsidR="00781DCC">
        <w:rPr>
          <w:sz w:val="20"/>
          <w:szCs w:val="20"/>
        </w:rPr>
        <w:t xml:space="preserve">r workforce security training. </w:t>
      </w:r>
      <w:r w:rsidR="00B51B00" w:rsidRPr="00C15DCC">
        <w:rPr>
          <w:sz w:val="20"/>
          <w:szCs w:val="20"/>
        </w:rPr>
        <w:t>Those against adding such an at</w:t>
      </w:r>
      <w:r w:rsidR="00781DCC">
        <w:rPr>
          <w:sz w:val="20"/>
          <w:szCs w:val="20"/>
        </w:rPr>
        <w:t>testation, most frequently cite that such an attestation is</w:t>
      </w:r>
      <w:r w:rsidR="00B51B00" w:rsidRPr="00C15DCC">
        <w:rPr>
          <w:sz w:val="20"/>
          <w:szCs w:val="20"/>
        </w:rPr>
        <w:t xml:space="preserve"> either burdensome or duplicative of the HIPAA S</w:t>
      </w:r>
      <w:r w:rsidR="00781DCC">
        <w:rPr>
          <w:sz w:val="20"/>
          <w:szCs w:val="20"/>
        </w:rPr>
        <w:t>ecurity Rule. Those commenters who support</w:t>
      </w:r>
      <w:r w:rsidR="00B51B00" w:rsidRPr="00C15DCC">
        <w:rPr>
          <w:sz w:val="20"/>
          <w:szCs w:val="20"/>
        </w:rPr>
        <w:t xml:space="preserve"> adding an attestation requirement for EHs/EPs/CAHs for workforc</w:t>
      </w:r>
      <w:r w:rsidR="00781DCC">
        <w:rPr>
          <w:sz w:val="20"/>
          <w:szCs w:val="20"/>
        </w:rPr>
        <w:t>e training most frequently cite</w:t>
      </w:r>
      <w:r w:rsidR="00B51B00" w:rsidRPr="00C15DCC">
        <w:rPr>
          <w:sz w:val="20"/>
          <w:szCs w:val="20"/>
        </w:rPr>
        <w:t xml:space="preserve"> the importance of the workforce in keeping patient health information secure. </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Requirement for Attestation</w:t>
      </w:r>
      <w:r w:rsidR="00781DCC">
        <w:rPr>
          <w:sz w:val="20"/>
          <w:szCs w:val="20"/>
        </w:rPr>
        <w:t xml:space="preserve"> is</w:t>
      </w:r>
      <w:r w:rsidRPr="00C15DCC">
        <w:rPr>
          <w:sz w:val="20"/>
          <w:szCs w:val="20"/>
        </w:rPr>
        <w:t xml:space="preserve"> focused on: </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Commonly neglected HIPAA Security Rule provisions (1)</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Workforce training provided (11)</w:t>
      </w:r>
    </w:p>
    <w:p w:rsidR="00B72A2F" w:rsidRPr="00C15DCC" w:rsidRDefault="00B72A2F" w:rsidP="0086400D">
      <w:pPr>
        <w:pStyle w:val="ListParagraph"/>
        <w:numPr>
          <w:ilvl w:val="2"/>
          <w:numId w:val="28"/>
        </w:numPr>
        <w:spacing w:after="0" w:line="240" w:lineRule="auto"/>
        <w:contextualSpacing w:val="0"/>
        <w:rPr>
          <w:sz w:val="20"/>
          <w:szCs w:val="20"/>
        </w:rPr>
      </w:pPr>
      <w:r w:rsidRPr="00C15DCC">
        <w:rPr>
          <w:sz w:val="20"/>
          <w:szCs w:val="20"/>
        </w:rPr>
        <w:t>Training attestation is burdensome and/or duplicative to HIPAA requirements (15)</w:t>
      </w:r>
    </w:p>
    <w:p w:rsidR="00B72A2F" w:rsidRPr="00C15DCC" w:rsidRDefault="00B72A2F" w:rsidP="0086400D">
      <w:pPr>
        <w:pStyle w:val="ListParagraph"/>
        <w:numPr>
          <w:ilvl w:val="1"/>
          <w:numId w:val="28"/>
        </w:numPr>
        <w:spacing w:after="0" w:line="240" w:lineRule="auto"/>
        <w:contextualSpacing w:val="0"/>
        <w:rPr>
          <w:sz w:val="20"/>
          <w:szCs w:val="20"/>
        </w:rPr>
      </w:pPr>
      <w:r w:rsidRPr="00C15DCC">
        <w:rPr>
          <w:sz w:val="20"/>
          <w:szCs w:val="20"/>
        </w:rPr>
        <w:t>Implementation of all portions of HIPAA Security Rule (2)</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Defer to providers on MU Attestation for training (1)</w:t>
      </w:r>
    </w:p>
    <w:p w:rsidR="00B72A2F" w:rsidRPr="00C15DCC" w:rsidRDefault="00B72A2F" w:rsidP="0086400D">
      <w:pPr>
        <w:pStyle w:val="ListParagraph"/>
        <w:numPr>
          <w:ilvl w:val="0"/>
          <w:numId w:val="28"/>
        </w:numPr>
        <w:spacing w:after="0" w:line="240" w:lineRule="auto"/>
        <w:contextualSpacing w:val="0"/>
        <w:rPr>
          <w:sz w:val="20"/>
          <w:szCs w:val="20"/>
        </w:rPr>
      </w:pPr>
      <w:r w:rsidRPr="00C15DCC">
        <w:rPr>
          <w:sz w:val="20"/>
          <w:szCs w:val="20"/>
        </w:rPr>
        <w:t>Support current HIPAA Rule Security provisions (no reference and/or objection to attestation) (6)</w:t>
      </w:r>
    </w:p>
    <w:p w:rsidR="00B51B00" w:rsidRPr="00C15DCC" w:rsidRDefault="00B51B00" w:rsidP="0086400D">
      <w:pPr>
        <w:spacing w:after="0" w:line="240" w:lineRule="auto"/>
        <w:rPr>
          <w:color w:val="000000"/>
          <w:sz w:val="20"/>
          <w:szCs w:val="20"/>
        </w:rPr>
      </w:pPr>
    </w:p>
    <w:p w:rsidR="00B72A2F" w:rsidRPr="00C15DCC" w:rsidRDefault="00B51B00" w:rsidP="0086400D">
      <w:pPr>
        <w:spacing w:after="0" w:line="240" w:lineRule="auto"/>
        <w:rPr>
          <w:b/>
          <w:color w:val="000000"/>
          <w:sz w:val="20"/>
          <w:szCs w:val="20"/>
        </w:rPr>
      </w:pPr>
      <w:r w:rsidRPr="00C15DCC">
        <w:rPr>
          <w:b/>
          <w:color w:val="000000"/>
          <w:sz w:val="20"/>
          <w:szCs w:val="20"/>
        </w:rPr>
        <w:t>Other</w:t>
      </w:r>
      <w:r w:rsidR="00C15DCC">
        <w:rPr>
          <w:b/>
          <w:color w:val="000000"/>
          <w:sz w:val="20"/>
          <w:szCs w:val="20"/>
        </w:rPr>
        <w:t>:</w:t>
      </w:r>
    </w:p>
    <w:p w:rsidR="00B72A2F" w:rsidRPr="00C15DCC" w:rsidRDefault="00B72A2F" w:rsidP="0086400D">
      <w:pPr>
        <w:pStyle w:val="ListParagraph"/>
        <w:numPr>
          <w:ilvl w:val="0"/>
          <w:numId w:val="29"/>
        </w:numPr>
        <w:spacing w:after="0" w:line="240" w:lineRule="auto"/>
        <w:contextualSpacing w:val="0"/>
        <w:rPr>
          <w:sz w:val="20"/>
          <w:szCs w:val="20"/>
        </w:rPr>
      </w:pPr>
      <w:r w:rsidRPr="00C15DCC">
        <w:rPr>
          <w:sz w:val="20"/>
          <w:szCs w:val="20"/>
        </w:rPr>
        <w:t>Clearly delineate security requirements/certification cr</w:t>
      </w:r>
      <w:r w:rsidR="00B51B00" w:rsidRPr="00C15DCC">
        <w:rPr>
          <w:sz w:val="20"/>
          <w:szCs w:val="20"/>
        </w:rPr>
        <w:t>iteria for software platform versus</w:t>
      </w:r>
      <w:r w:rsidR="00C15DCC">
        <w:rPr>
          <w:sz w:val="20"/>
          <w:szCs w:val="20"/>
        </w:rPr>
        <w:t xml:space="preserve"> actual users of </w:t>
      </w:r>
      <w:r w:rsidR="00A24244">
        <w:rPr>
          <w:sz w:val="20"/>
          <w:szCs w:val="20"/>
        </w:rPr>
        <w:t>EHR.</w:t>
      </w:r>
      <w:r w:rsidR="00C15DCC">
        <w:rPr>
          <w:sz w:val="20"/>
          <w:szCs w:val="20"/>
        </w:rPr>
        <w:t xml:space="preserve"> </w:t>
      </w:r>
    </w:p>
    <w:p w:rsidR="00B72A2F" w:rsidRPr="00C15DCC" w:rsidRDefault="00B72A2F" w:rsidP="0086400D">
      <w:pPr>
        <w:spacing w:after="0"/>
        <w:rPr>
          <w:b/>
          <w:bCs/>
          <w:sz w:val="20"/>
          <w:szCs w:val="20"/>
        </w:rPr>
      </w:pPr>
    </w:p>
    <w:p w:rsidR="00B72A2F" w:rsidRPr="00C15DCC" w:rsidRDefault="00B72A2F" w:rsidP="00B72A2F">
      <w:pPr>
        <w:rPr>
          <w:b/>
          <w:bCs/>
          <w:sz w:val="20"/>
          <w:szCs w:val="20"/>
        </w:rPr>
      </w:pPr>
      <w:r w:rsidRPr="00C15DCC">
        <w:rPr>
          <w:b/>
          <w:bCs/>
          <w:sz w:val="20"/>
          <w:szCs w:val="20"/>
        </w:rPr>
        <w:t>Appendix:</w:t>
      </w:r>
    </w:p>
    <w:p w:rsidR="00B72A2F" w:rsidRPr="00C15DCC" w:rsidRDefault="00B72A2F" w:rsidP="0086400D">
      <w:pPr>
        <w:pStyle w:val="ListParagraph"/>
        <w:numPr>
          <w:ilvl w:val="0"/>
          <w:numId w:val="29"/>
        </w:numPr>
        <w:spacing w:after="0" w:line="240" w:lineRule="auto"/>
        <w:contextualSpacing w:val="0"/>
        <w:rPr>
          <w:sz w:val="20"/>
          <w:szCs w:val="20"/>
        </w:rPr>
      </w:pPr>
      <w:r w:rsidRPr="00C15DCC">
        <w:rPr>
          <w:sz w:val="20"/>
          <w:szCs w:val="20"/>
        </w:rPr>
        <w:t>Access controls (#20)</w:t>
      </w:r>
    </w:p>
    <w:p w:rsidR="00B72A2F" w:rsidRPr="00C15DCC" w:rsidRDefault="00B72A2F" w:rsidP="0086400D">
      <w:pPr>
        <w:pStyle w:val="ListParagraph"/>
        <w:numPr>
          <w:ilvl w:val="0"/>
          <w:numId w:val="29"/>
        </w:numPr>
        <w:spacing w:after="0" w:line="240" w:lineRule="auto"/>
        <w:contextualSpacing w:val="0"/>
        <w:rPr>
          <w:sz w:val="20"/>
          <w:szCs w:val="20"/>
        </w:rPr>
      </w:pPr>
      <w:r w:rsidRPr="00C15DCC">
        <w:rPr>
          <w:sz w:val="20"/>
          <w:szCs w:val="20"/>
        </w:rPr>
        <w:t>Audits (#12)</w:t>
      </w:r>
    </w:p>
    <w:p w:rsidR="00B72A2F" w:rsidRPr="00C15DCC" w:rsidRDefault="00B72A2F" w:rsidP="0086400D">
      <w:pPr>
        <w:pStyle w:val="ListParagraph"/>
        <w:numPr>
          <w:ilvl w:val="0"/>
          <w:numId w:val="29"/>
        </w:numPr>
        <w:spacing w:after="0" w:line="240" w:lineRule="auto"/>
        <w:contextualSpacing w:val="0"/>
        <w:rPr>
          <w:sz w:val="20"/>
          <w:szCs w:val="20"/>
        </w:rPr>
      </w:pPr>
      <w:r w:rsidRPr="00C15DCC">
        <w:rPr>
          <w:sz w:val="20"/>
          <w:szCs w:val="20"/>
        </w:rPr>
        <w:t xml:space="preserve">Data integrity (#3, #7) </w:t>
      </w:r>
    </w:p>
    <w:p w:rsidR="00B72A2F" w:rsidRPr="00C15DCC" w:rsidRDefault="00B72A2F" w:rsidP="00B72A2F">
      <w:pPr>
        <w:pStyle w:val="ListParagraph"/>
        <w:numPr>
          <w:ilvl w:val="0"/>
          <w:numId w:val="29"/>
        </w:numPr>
        <w:spacing w:after="0" w:line="240" w:lineRule="auto"/>
        <w:contextualSpacing w:val="0"/>
        <w:rPr>
          <w:sz w:val="20"/>
          <w:szCs w:val="20"/>
        </w:rPr>
      </w:pPr>
      <w:r w:rsidRPr="00C15DCC">
        <w:rPr>
          <w:sz w:val="20"/>
          <w:szCs w:val="20"/>
        </w:rPr>
        <w:t>Encryption:</w:t>
      </w:r>
    </w:p>
    <w:p w:rsidR="00B72A2F" w:rsidRPr="00C15DCC" w:rsidRDefault="00B72A2F" w:rsidP="00B72A2F">
      <w:pPr>
        <w:pStyle w:val="ListParagraph"/>
        <w:numPr>
          <w:ilvl w:val="1"/>
          <w:numId w:val="29"/>
        </w:numPr>
        <w:spacing w:after="0" w:line="240" w:lineRule="auto"/>
        <w:contextualSpacing w:val="0"/>
        <w:rPr>
          <w:sz w:val="20"/>
          <w:szCs w:val="20"/>
        </w:rPr>
      </w:pPr>
      <w:r w:rsidRPr="00C15DCC">
        <w:rPr>
          <w:sz w:val="20"/>
          <w:szCs w:val="20"/>
        </w:rPr>
        <w:t>Encryption (#13, #16)</w:t>
      </w:r>
    </w:p>
    <w:p w:rsidR="00B72A2F" w:rsidRPr="00C15DCC" w:rsidRDefault="00B72A2F" w:rsidP="00B72A2F">
      <w:pPr>
        <w:pStyle w:val="ListParagraph"/>
        <w:numPr>
          <w:ilvl w:val="1"/>
          <w:numId w:val="29"/>
        </w:numPr>
        <w:spacing w:after="0" w:line="240" w:lineRule="auto"/>
        <w:contextualSpacing w:val="0"/>
        <w:rPr>
          <w:sz w:val="20"/>
          <w:szCs w:val="20"/>
        </w:rPr>
      </w:pPr>
      <w:r w:rsidRPr="00C15DCC">
        <w:rPr>
          <w:sz w:val="20"/>
          <w:szCs w:val="20"/>
        </w:rPr>
        <w:t>Encryption of data on removable media (#5)</w:t>
      </w:r>
    </w:p>
    <w:p w:rsidR="00B72A2F" w:rsidRPr="00C15DCC" w:rsidRDefault="00B72A2F" w:rsidP="00B72A2F">
      <w:pPr>
        <w:pStyle w:val="ListParagraph"/>
        <w:numPr>
          <w:ilvl w:val="1"/>
          <w:numId w:val="29"/>
        </w:numPr>
        <w:spacing w:after="0" w:line="240" w:lineRule="auto"/>
        <w:contextualSpacing w:val="0"/>
        <w:rPr>
          <w:sz w:val="20"/>
          <w:szCs w:val="20"/>
        </w:rPr>
      </w:pPr>
      <w:r w:rsidRPr="00C15DCC">
        <w:rPr>
          <w:sz w:val="20"/>
          <w:szCs w:val="20"/>
        </w:rPr>
        <w:t>Encryption at rest (#47)</w:t>
      </w:r>
    </w:p>
    <w:p w:rsidR="00B72A2F" w:rsidRPr="00C15DCC" w:rsidRDefault="00B72A2F" w:rsidP="00B72A2F">
      <w:pPr>
        <w:pStyle w:val="ListParagraph"/>
        <w:numPr>
          <w:ilvl w:val="1"/>
          <w:numId w:val="29"/>
        </w:numPr>
        <w:spacing w:after="0" w:line="240" w:lineRule="auto"/>
        <w:contextualSpacing w:val="0"/>
        <w:rPr>
          <w:sz w:val="20"/>
          <w:szCs w:val="20"/>
        </w:rPr>
      </w:pPr>
      <w:r w:rsidRPr="00C15DCC">
        <w:rPr>
          <w:sz w:val="20"/>
          <w:szCs w:val="20"/>
        </w:rPr>
        <w:t>Encryption in transit (#46)</w:t>
      </w:r>
    </w:p>
    <w:p w:rsidR="00B72A2F" w:rsidRPr="00C15DCC" w:rsidRDefault="00B72A2F" w:rsidP="00B72A2F">
      <w:pPr>
        <w:pStyle w:val="ListParagraph"/>
        <w:numPr>
          <w:ilvl w:val="1"/>
          <w:numId w:val="29"/>
        </w:numPr>
        <w:spacing w:after="0" w:line="240" w:lineRule="auto"/>
        <w:contextualSpacing w:val="0"/>
        <w:rPr>
          <w:sz w:val="20"/>
          <w:szCs w:val="20"/>
        </w:rPr>
      </w:pPr>
      <w:r w:rsidRPr="00C15DCC">
        <w:rPr>
          <w:sz w:val="20"/>
          <w:szCs w:val="20"/>
        </w:rPr>
        <w:t>Full-disc encryption of mobile devices accessing EHRs (#2, #5)</w:t>
      </w:r>
    </w:p>
    <w:p w:rsidR="00B72A2F" w:rsidRPr="00C15DCC" w:rsidRDefault="00B72A2F" w:rsidP="0086400D">
      <w:pPr>
        <w:pStyle w:val="ListParagraph"/>
        <w:numPr>
          <w:ilvl w:val="1"/>
          <w:numId w:val="29"/>
        </w:numPr>
        <w:spacing w:after="0" w:line="240" w:lineRule="auto"/>
        <w:contextualSpacing w:val="0"/>
        <w:rPr>
          <w:sz w:val="20"/>
          <w:szCs w:val="20"/>
        </w:rPr>
      </w:pPr>
      <w:r w:rsidRPr="00C15DCC">
        <w:rPr>
          <w:sz w:val="20"/>
          <w:szCs w:val="20"/>
        </w:rPr>
        <w:t>Transmission of patient information, both inside and outside enterprise (#41</w:t>
      </w:r>
    </w:p>
    <w:p w:rsidR="00B72A2F" w:rsidRPr="00C15DCC" w:rsidRDefault="00B72A2F" w:rsidP="0086400D">
      <w:pPr>
        <w:pStyle w:val="ListParagraph"/>
        <w:numPr>
          <w:ilvl w:val="0"/>
          <w:numId w:val="29"/>
        </w:numPr>
        <w:spacing w:after="0" w:line="240" w:lineRule="auto"/>
        <w:contextualSpacing w:val="0"/>
        <w:rPr>
          <w:sz w:val="20"/>
          <w:szCs w:val="20"/>
        </w:rPr>
      </w:pPr>
      <w:r w:rsidRPr="00C15DCC">
        <w:rPr>
          <w:sz w:val="20"/>
          <w:szCs w:val="20"/>
        </w:rPr>
        <w:lastRenderedPageBreak/>
        <w:t>Identity management (#20)</w:t>
      </w:r>
    </w:p>
    <w:p w:rsidR="00B72A2F" w:rsidRPr="00C15DCC" w:rsidRDefault="00B72A2F" w:rsidP="0086400D">
      <w:pPr>
        <w:pStyle w:val="ListParagraph"/>
        <w:numPr>
          <w:ilvl w:val="0"/>
          <w:numId w:val="29"/>
        </w:numPr>
        <w:spacing w:after="0" w:line="240" w:lineRule="auto"/>
        <w:contextualSpacing w:val="0"/>
        <w:rPr>
          <w:sz w:val="20"/>
          <w:szCs w:val="20"/>
        </w:rPr>
      </w:pPr>
      <w:r w:rsidRPr="00C15DCC">
        <w:rPr>
          <w:sz w:val="20"/>
          <w:szCs w:val="20"/>
        </w:rPr>
        <w:t>Implementation of backup and recovery plans (#2)</w:t>
      </w:r>
    </w:p>
    <w:p w:rsidR="00B72A2F" w:rsidRPr="00C15DCC" w:rsidRDefault="00B72A2F" w:rsidP="0086400D">
      <w:pPr>
        <w:pStyle w:val="ListParagraph"/>
        <w:numPr>
          <w:ilvl w:val="0"/>
          <w:numId w:val="29"/>
        </w:numPr>
        <w:spacing w:after="0" w:line="240" w:lineRule="auto"/>
        <w:contextualSpacing w:val="0"/>
        <w:rPr>
          <w:sz w:val="20"/>
          <w:szCs w:val="20"/>
        </w:rPr>
      </w:pPr>
      <w:r w:rsidRPr="00C15DCC">
        <w:rPr>
          <w:sz w:val="20"/>
          <w:szCs w:val="20"/>
        </w:rPr>
        <w:t>Policies and procedures related to prevention of local storage of PHI (#4)</w:t>
      </w:r>
    </w:p>
    <w:p w:rsidR="00B72A2F" w:rsidRPr="00C15DCC" w:rsidRDefault="00B72A2F" w:rsidP="0086400D">
      <w:pPr>
        <w:pStyle w:val="ListParagraph"/>
        <w:numPr>
          <w:ilvl w:val="0"/>
          <w:numId w:val="29"/>
        </w:numPr>
        <w:spacing w:after="0" w:line="240" w:lineRule="auto"/>
        <w:contextualSpacing w:val="0"/>
        <w:rPr>
          <w:sz w:val="20"/>
          <w:szCs w:val="20"/>
        </w:rPr>
      </w:pPr>
      <w:r w:rsidRPr="00C15DCC">
        <w:rPr>
          <w:sz w:val="20"/>
          <w:szCs w:val="20"/>
        </w:rPr>
        <w:t>Malware on all workstations accessing EHRs and EHR modules (#2)</w:t>
      </w:r>
    </w:p>
    <w:p w:rsidR="00B72A2F" w:rsidRPr="00C15DCC" w:rsidRDefault="00B72A2F" w:rsidP="0086400D">
      <w:pPr>
        <w:pStyle w:val="ListParagraph"/>
        <w:numPr>
          <w:ilvl w:val="0"/>
          <w:numId w:val="29"/>
        </w:numPr>
        <w:spacing w:after="0" w:line="240" w:lineRule="auto"/>
        <w:contextualSpacing w:val="0"/>
        <w:rPr>
          <w:sz w:val="20"/>
          <w:szCs w:val="20"/>
        </w:rPr>
      </w:pPr>
      <w:r w:rsidRPr="00C15DCC">
        <w:rPr>
          <w:sz w:val="20"/>
          <w:szCs w:val="20"/>
        </w:rPr>
        <w:t xml:space="preserve">Social media, bring your own device (BYOD), and mobile devices (#3) </w:t>
      </w:r>
    </w:p>
    <w:p w:rsidR="0086400D" w:rsidRPr="00C15DCC" w:rsidRDefault="00B72A2F" w:rsidP="0086400D">
      <w:pPr>
        <w:pStyle w:val="ListParagraph"/>
        <w:numPr>
          <w:ilvl w:val="0"/>
          <w:numId w:val="29"/>
        </w:numPr>
        <w:spacing w:after="0" w:line="240" w:lineRule="auto"/>
        <w:contextualSpacing w:val="0"/>
        <w:rPr>
          <w:sz w:val="20"/>
          <w:szCs w:val="20"/>
        </w:rPr>
      </w:pPr>
      <w:r w:rsidRPr="00C15DCC">
        <w:rPr>
          <w:sz w:val="20"/>
          <w:szCs w:val="20"/>
        </w:rPr>
        <w:t xml:space="preserve">Specific security controls in place (if local data storage) (#4) </w:t>
      </w:r>
    </w:p>
    <w:p w:rsidR="00B72A2F" w:rsidRPr="00C15DCC" w:rsidRDefault="00B72A2F" w:rsidP="0086400D">
      <w:pPr>
        <w:pStyle w:val="ListParagraph"/>
        <w:numPr>
          <w:ilvl w:val="0"/>
          <w:numId w:val="29"/>
        </w:numPr>
        <w:spacing w:after="0" w:line="240" w:lineRule="auto"/>
        <w:contextualSpacing w:val="0"/>
        <w:rPr>
          <w:sz w:val="20"/>
          <w:szCs w:val="20"/>
        </w:rPr>
      </w:pPr>
      <w:r w:rsidRPr="00C15DCC">
        <w:rPr>
          <w:sz w:val="20"/>
          <w:szCs w:val="20"/>
        </w:rPr>
        <w:t xml:space="preserve">Training on specific areas: </w:t>
      </w:r>
    </w:p>
    <w:p w:rsidR="00B72A2F" w:rsidRPr="00C15DCC" w:rsidRDefault="00B72A2F" w:rsidP="00B72A2F">
      <w:pPr>
        <w:pStyle w:val="ListParagraph"/>
        <w:numPr>
          <w:ilvl w:val="1"/>
          <w:numId w:val="29"/>
        </w:numPr>
        <w:spacing w:after="0" w:line="240" w:lineRule="auto"/>
        <w:contextualSpacing w:val="0"/>
        <w:rPr>
          <w:sz w:val="20"/>
          <w:szCs w:val="20"/>
        </w:rPr>
      </w:pPr>
      <w:r w:rsidRPr="00C15DCC">
        <w:rPr>
          <w:sz w:val="20"/>
          <w:szCs w:val="20"/>
        </w:rPr>
        <w:t>Assignment and training on Security Officer role (#7)</w:t>
      </w:r>
    </w:p>
    <w:p w:rsidR="00B72A2F" w:rsidRPr="00C15DCC" w:rsidRDefault="00B72A2F" w:rsidP="00B72A2F">
      <w:pPr>
        <w:pStyle w:val="ListParagraph"/>
        <w:numPr>
          <w:ilvl w:val="1"/>
          <w:numId w:val="29"/>
        </w:numPr>
        <w:spacing w:after="0" w:line="240" w:lineRule="auto"/>
        <w:contextualSpacing w:val="0"/>
        <w:rPr>
          <w:sz w:val="20"/>
          <w:szCs w:val="20"/>
        </w:rPr>
      </w:pPr>
      <w:r w:rsidRPr="00C15DCC">
        <w:rPr>
          <w:sz w:val="20"/>
          <w:szCs w:val="20"/>
        </w:rPr>
        <w:t>Mobile device security (#22, #35</w:t>
      </w:r>
      <w:r w:rsidR="00B51B00" w:rsidRPr="00C15DCC">
        <w:rPr>
          <w:sz w:val="20"/>
          <w:szCs w:val="20"/>
        </w:rPr>
        <w:t>)</w:t>
      </w:r>
    </w:p>
    <w:p w:rsidR="00B72A2F" w:rsidRPr="00C15DCC" w:rsidRDefault="00B72A2F" w:rsidP="00B72A2F">
      <w:pPr>
        <w:pStyle w:val="ListParagraph"/>
        <w:numPr>
          <w:ilvl w:val="1"/>
          <w:numId w:val="29"/>
        </w:numPr>
        <w:spacing w:after="0" w:line="240" w:lineRule="auto"/>
        <w:contextualSpacing w:val="0"/>
        <w:rPr>
          <w:sz w:val="20"/>
          <w:szCs w:val="20"/>
        </w:rPr>
      </w:pPr>
      <w:r w:rsidRPr="00C15DCC">
        <w:rPr>
          <w:sz w:val="20"/>
          <w:szCs w:val="20"/>
        </w:rPr>
        <w:t>More timely and targeted training on security (#3)</w:t>
      </w:r>
    </w:p>
    <w:p w:rsidR="00B72A2F" w:rsidRPr="00C15DCC" w:rsidRDefault="00B72A2F" w:rsidP="00B72A2F">
      <w:pPr>
        <w:pStyle w:val="ListParagraph"/>
        <w:numPr>
          <w:ilvl w:val="1"/>
          <w:numId w:val="29"/>
        </w:numPr>
        <w:spacing w:after="0" w:line="240" w:lineRule="auto"/>
        <w:contextualSpacing w:val="0"/>
        <w:rPr>
          <w:sz w:val="20"/>
          <w:szCs w:val="20"/>
        </w:rPr>
      </w:pPr>
      <w:r w:rsidRPr="00C15DCC">
        <w:rPr>
          <w:sz w:val="20"/>
          <w:szCs w:val="20"/>
        </w:rPr>
        <w:t>Patient’s Right of Access (#40)</w:t>
      </w:r>
    </w:p>
    <w:p w:rsidR="00B72A2F" w:rsidRPr="00C15DCC" w:rsidRDefault="00B72A2F" w:rsidP="00B72A2F">
      <w:pPr>
        <w:pStyle w:val="ListParagraph"/>
        <w:numPr>
          <w:ilvl w:val="1"/>
          <w:numId w:val="29"/>
        </w:numPr>
        <w:spacing w:after="0" w:line="240" w:lineRule="auto"/>
        <w:contextualSpacing w:val="0"/>
        <w:rPr>
          <w:sz w:val="20"/>
          <w:szCs w:val="20"/>
        </w:rPr>
      </w:pPr>
      <w:r w:rsidRPr="00C15DCC">
        <w:rPr>
          <w:sz w:val="20"/>
          <w:szCs w:val="20"/>
        </w:rPr>
        <w:t>Security controls (#3)</w:t>
      </w:r>
    </w:p>
    <w:p w:rsidR="00B72A2F" w:rsidRPr="00C15DCC" w:rsidRDefault="00B72A2F" w:rsidP="00B72A2F">
      <w:pPr>
        <w:pStyle w:val="ListParagraph"/>
        <w:numPr>
          <w:ilvl w:val="1"/>
          <w:numId w:val="29"/>
        </w:numPr>
        <w:spacing w:after="0" w:line="240" w:lineRule="auto"/>
        <w:contextualSpacing w:val="0"/>
        <w:rPr>
          <w:sz w:val="20"/>
          <w:szCs w:val="20"/>
        </w:rPr>
      </w:pPr>
      <w:r w:rsidRPr="00C15DCC">
        <w:rPr>
          <w:sz w:val="20"/>
          <w:szCs w:val="20"/>
        </w:rPr>
        <w:t>Usability of security solutions (#3)</w:t>
      </w:r>
    </w:p>
    <w:p w:rsidR="00B72A2F" w:rsidRPr="00C15DCC" w:rsidRDefault="00B72A2F" w:rsidP="0086400D">
      <w:pPr>
        <w:pStyle w:val="ListParagraph"/>
        <w:numPr>
          <w:ilvl w:val="1"/>
          <w:numId w:val="29"/>
        </w:numPr>
        <w:spacing w:after="0" w:line="240" w:lineRule="auto"/>
        <w:contextualSpacing w:val="0"/>
        <w:rPr>
          <w:sz w:val="20"/>
          <w:szCs w:val="20"/>
        </w:rPr>
      </w:pPr>
      <w:r w:rsidRPr="00C15DCC">
        <w:rPr>
          <w:sz w:val="20"/>
          <w:szCs w:val="20"/>
        </w:rPr>
        <w:t xml:space="preserve">Workforce security training (general) (#2, #9, #25, #38) </w:t>
      </w:r>
    </w:p>
    <w:p w:rsidR="00B72A2F" w:rsidRPr="00C15DCC" w:rsidRDefault="00B72A2F" w:rsidP="00B72A2F">
      <w:pPr>
        <w:pStyle w:val="ListParagraph"/>
        <w:numPr>
          <w:ilvl w:val="0"/>
          <w:numId w:val="29"/>
        </w:numPr>
        <w:spacing w:after="0" w:line="240" w:lineRule="auto"/>
        <w:contextualSpacing w:val="0"/>
        <w:rPr>
          <w:sz w:val="20"/>
          <w:szCs w:val="20"/>
        </w:rPr>
      </w:pPr>
      <w:r w:rsidRPr="00C15DCC">
        <w:rPr>
          <w:sz w:val="20"/>
          <w:szCs w:val="20"/>
        </w:rPr>
        <w:t>More guidance and education for providers on HIPAA Security Rule (e.g., to understand encryption, risk assessment, risk mitigation) (#8, #41, #42, #45)</w:t>
      </w:r>
    </w:p>
    <w:sectPr w:rsidR="00B72A2F" w:rsidRPr="00C15DCC" w:rsidSect="006C6DF2">
      <w:footerReference w:type="default" r:id="rId58"/>
      <w:pgSz w:w="15840" w:h="12240" w:orient="landscape"/>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D17" w:rsidRDefault="003D7D17" w:rsidP="004C02C1">
      <w:pPr>
        <w:spacing w:after="0" w:line="240" w:lineRule="auto"/>
      </w:pPr>
      <w:r>
        <w:separator/>
      </w:r>
    </w:p>
  </w:endnote>
  <w:endnote w:type="continuationSeparator" w:id="0">
    <w:p w:rsidR="003D7D17" w:rsidRDefault="003D7D17" w:rsidP="004C0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253"/>
      <w:gridCol w:w="1390"/>
      <w:gridCol w:w="6253"/>
    </w:tblGrid>
    <w:tr w:rsidR="00D13F13" w:rsidTr="004C02C1">
      <w:trPr>
        <w:trHeight w:val="151"/>
      </w:trPr>
      <w:tc>
        <w:tcPr>
          <w:tcW w:w="2250" w:type="pct"/>
          <w:tcBorders>
            <w:bottom w:val="single" w:sz="4" w:space="0" w:color="4F81BD" w:themeColor="accent1"/>
          </w:tcBorders>
        </w:tcPr>
        <w:p w:rsidR="00D13F13" w:rsidRDefault="00D13F13" w:rsidP="004C02C1">
          <w:pPr>
            <w:pStyle w:val="Header"/>
            <w:rPr>
              <w:rFonts w:asciiTheme="majorHAnsi" w:eastAsiaTheme="majorEastAsia" w:hAnsiTheme="majorHAnsi" w:cstheme="majorBidi"/>
              <w:b/>
              <w:bCs/>
            </w:rPr>
          </w:pPr>
        </w:p>
      </w:tc>
      <w:tc>
        <w:tcPr>
          <w:tcW w:w="500" w:type="pct"/>
          <w:noWrap/>
          <w:vAlign w:val="center"/>
        </w:tcPr>
        <w:p w:rsidR="00D13F13" w:rsidRDefault="00D13F13" w:rsidP="004C02C1">
          <w:pPr>
            <w:pStyle w:val="NoSpacing"/>
            <w:rPr>
              <w:rFonts w:asciiTheme="majorHAnsi" w:hAnsiTheme="majorHAnsi"/>
            </w:rPr>
          </w:pPr>
          <w:r>
            <w:rPr>
              <w:rFonts w:asciiTheme="majorHAnsi" w:hAnsiTheme="majorHAnsi"/>
              <w:b/>
            </w:rPr>
            <w:t xml:space="preserve">Page </w:t>
          </w:r>
          <w:r w:rsidR="00E142D0" w:rsidRPr="00E142D0">
            <w:fldChar w:fldCharType="begin"/>
          </w:r>
          <w:r>
            <w:instrText xml:space="preserve"> PAGE  \* MERGEFORMAT </w:instrText>
          </w:r>
          <w:r w:rsidR="00E142D0" w:rsidRPr="00E142D0">
            <w:fldChar w:fldCharType="separate"/>
          </w:r>
          <w:r w:rsidR="00A24244" w:rsidRPr="00A24244">
            <w:rPr>
              <w:rFonts w:asciiTheme="majorHAnsi" w:hAnsiTheme="majorHAnsi"/>
              <w:b/>
              <w:noProof/>
            </w:rPr>
            <w:t>15</w:t>
          </w:r>
          <w:r w:rsidR="00E142D0">
            <w:rPr>
              <w:rFonts w:asciiTheme="majorHAnsi" w:hAnsiTheme="majorHAnsi"/>
              <w:b/>
              <w:noProof/>
            </w:rPr>
            <w:fldChar w:fldCharType="end"/>
          </w:r>
        </w:p>
      </w:tc>
      <w:tc>
        <w:tcPr>
          <w:tcW w:w="2250" w:type="pct"/>
          <w:tcBorders>
            <w:bottom w:val="single" w:sz="4" w:space="0" w:color="4F81BD" w:themeColor="accent1"/>
          </w:tcBorders>
        </w:tcPr>
        <w:p w:rsidR="00D13F13" w:rsidRDefault="00D13F13" w:rsidP="004C02C1">
          <w:pPr>
            <w:pStyle w:val="Header"/>
            <w:rPr>
              <w:rFonts w:asciiTheme="majorHAnsi" w:eastAsiaTheme="majorEastAsia" w:hAnsiTheme="majorHAnsi" w:cstheme="majorBidi"/>
              <w:b/>
              <w:bCs/>
            </w:rPr>
          </w:pPr>
        </w:p>
      </w:tc>
    </w:tr>
  </w:tbl>
  <w:p w:rsidR="00D13F13" w:rsidRDefault="00D13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D17" w:rsidRDefault="003D7D17" w:rsidP="004C02C1">
      <w:pPr>
        <w:spacing w:after="0" w:line="240" w:lineRule="auto"/>
      </w:pPr>
      <w:r>
        <w:separator/>
      </w:r>
    </w:p>
  </w:footnote>
  <w:footnote w:type="continuationSeparator" w:id="0">
    <w:p w:rsidR="003D7D17" w:rsidRDefault="003D7D17" w:rsidP="004C0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F77"/>
    <w:multiLevelType w:val="hybridMultilevel"/>
    <w:tmpl w:val="902C76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3C5B"/>
    <w:multiLevelType w:val="hybridMultilevel"/>
    <w:tmpl w:val="5ACA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66EB5"/>
    <w:multiLevelType w:val="hybridMultilevel"/>
    <w:tmpl w:val="C792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C29AD"/>
    <w:multiLevelType w:val="hybridMultilevel"/>
    <w:tmpl w:val="D3C238D0"/>
    <w:lvl w:ilvl="0" w:tplc="C2421026">
      <w:numFmt w:val="bullet"/>
      <w:lvlText w:val=""/>
      <w:lvlJc w:val="left"/>
      <w:pPr>
        <w:ind w:left="630" w:hanging="360"/>
      </w:pPr>
      <w:rPr>
        <w:rFonts w:ascii="Wingdings" w:eastAsiaTheme="minorEastAsia"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8F966EB"/>
    <w:multiLevelType w:val="hybridMultilevel"/>
    <w:tmpl w:val="21A4F3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11089"/>
    <w:multiLevelType w:val="hybridMultilevel"/>
    <w:tmpl w:val="2E5008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A153B"/>
    <w:multiLevelType w:val="hybridMultilevel"/>
    <w:tmpl w:val="5664A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202CF"/>
    <w:multiLevelType w:val="hybridMultilevel"/>
    <w:tmpl w:val="F94C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A4E26"/>
    <w:multiLevelType w:val="hybridMultilevel"/>
    <w:tmpl w:val="9AC867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23954"/>
    <w:multiLevelType w:val="hybridMultilevel"/>
    <w:tmpl w:val="5FEEC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E10DE"/>
    <w:multiLevelType w:val="hybridMultilevel"/>
    <w:tmpl w:val="760AE8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D1B78"/>
    <w:multiLevelType w:val="hybridMultilevel"/>
    <w:tmpl w:val="DE228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D969EB"/>
    <w:multiLevelType w:val="hybridMultilevel"/>
    <w:tmpl w:val="6C6E4F6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B38AA"/>
    <w:multiLevelType w:val="hybridMultilevel"/>
    <w:tmpl w:val="3C2E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F33DF"/>
    <w:multiLevelType w:val="hybridMultilevel"/>
    <w:tmpl w:val="3E8E30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008D8"/>
    <w:multiLevelType w:val="hybridMultilevel"/>
    <w:tmpl w:val="0CF6809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C419C"/>
    <w:multiLevelType w:val="hybridMultilevel"/>
    <w:tmpl w:val="945892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57306"/>
    <w:multiLevelType w:val="hybridMultilevel"/>
    <w:tmpl w:val="F9B64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2F4A2E"/>
    <w:multiLevelType w:val="hybridMultilevel"/>
    <w:tmpl w:val="326CA7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57449"/>
    <w:multiLevelType w:val="hybridMultilevel"/>
    <w:tmpl w:val="BA28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A38E8"/>
    <w:multiLevelType w:val="hybridMultilevel"/>
    <w:tmpl w:val="3BAEE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55C94724"/>
    <w:multiLevelType w:val="hybridMultilevel"/>
    <w:tmpl w:val="C3E4AD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96660"/>
    <w:multiLevelType w:val="hybridMultilevel"/>
    <w:tmpl w:val="6D0256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997EC7"/>
    <w:multiLevelType w:val="hybridMultilevel"/>
    <w:tmpl w:val="FB9E6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375CC"/>
    <w:multiLevelType w:val="hybridMultilevel"/>
    <w:tmpl w:val="CC28A8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A81632"/>
    <w:multiLevelType w:val="hybridMultilevel"/>
    <w:tmpl w:val="6BF864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A070B"/>
    <w:multiLevelType w:val="hybridMultilevel"/>
    <w:tmpl w:val="0A0C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3"/>
  </w:num>
  <w:num w:numId="4">
    <w:abstractNumId w:val="17"/>
  </w:num>
  <w:num w:numId="5">
    <w:abstractNumId w:val="1"/>
  </w:num>
  <w:num w:numId="6">
    <w:abstractNumId w:val="7"/>
  </w:num>
  <w:num w:numId="7">
    <w:abstractNumId w:val="12"/>
  </w:num>
  <w:num w:numId="8">
    <w:abstractNumId w:val="11"/>
  </w:num>
  <w:num w:numId="9">
    <w:abstractNumId w:val="16"/>
  </w:num>
  <w:num w:numId="10">
    <w:abstractNumId w:val="25"/>
  </w:num>
  <w:num w:numId="11">
    <w:abstractNumId w:val="6"/>
  </w:num>
  <w:num w:numId="12">
    <w:abstractNumId w:val="24"/>
  </w:num>
  <w:num w:numId="13">
    <w:abstractNumId w:val="5"/>
  </w:num>
  <w:num w:numId="14">
    <w:abstractNumId w:val="21"/>
  </w:num>
  <w:num w:numId="15">
    <w:abstractNumId w:val="8"/>
  </w:num>
  <w:num w:numId="16">
    <w:abstractNumId w:val="4"/>
  </w:num>
  <w:num w:numId="17">
    <w:abstractNumId w:val="10"/>
  </w:num>
  <w:num w:numId="18">
    <w:abstractNumId w:val="22"/>
  </w:num>
  <w:num w:numId="19">
    <w:abstractNumId w:val="14"/>
  </w:num>
  <w:num w:numId="20">
    <w:abstractNumId w:val="18"/>
  </w:num>
  <w:num w:numId="21">
    <w:abstractNumId w:val="0"/>
  </w:num>
  <w:num w:numId="22">
    <w:abstractNumId w:val="15"/>
  </w:num>
  <w:num w:numId="23">
    <w:abstractNumId w:val="2"/>
  </w:num>
  <w:num w:numId="24">
    <w:abstractNumId w:val="20"/>
  </w:num>
  <w:num w:numId="25">
    <w:abstractNumId w:val="19"/>
  </w:num>
  <w:num w:numId="26">
    <w:abstractNumId w:val="23"/>
  </w:num>
  <w:num w:numId="27">
    <w:abstractNumId w:val="3"/>
  </w:num>
  <w:num w:numId="2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7F9B"/>
    <w:rsid w:val="00031F55"/>
    <w:rsid w:val="00033B5E"/>
    <w:rsid w:val="000A46E9"/>
    <w:rsid w:val="000A4AAC"/>
    <w:rsid w:val="000C5962"/>
    <w:rsid w:val="000D7AAA"/>
    <w:rsid w:val="00111612"/>
    <w:rsid w:val="001206EA"/>
    <w:rsid w:val="001271DC"/>
    <w:rsid w:val="0013111C"/>
    <w:rsid w:val="001A7757"/>
    <w:rsid w:val="001B2B7A"/>
    <w:rsid w:val="001B6A90"/>
    <w:rsid w:val="001B7D4B"/>
    <w:rsid w:val="001E38DD"/>
    <w:rsid w:val="001F2004"/>
    <w:rsid w:val="001F4934"/>
    <w:rsid w:val="00206823"/>
    <w:rsid w:val="00257F9B"/>
    <w:rsid w:val="002722CB"/>
    <w:rsid w:val="00273448"/>
    <w:rsid w:val="002A10FA"/>
    <w:rsid w:val="002A74C0"/>
    <w:rsid w:val="002B0FD4"/>
    <w:rsid w:val="002B495B"/>
    <w:rsid w:val="002B51D4"/>
    <w:rsid w:val="002B70A0"/>
    <w:rsid w:val="002C02D0"/>
    <w:rsid w:val="002C54EA"/>
    <w:rsid w:val="002D4FEE"/>
    <w:rsid w:val="002E66C7"/>
    <w:rsid w:val="002F0F70"/>
    <w:rsid w:val="002F59C3"/>
    <w:rsid w:val="00304BFF"/>
    <w:rsid w:val="00305911"/>
    <w:rsid w:val="00325E79"/>
    <w:rsid w:val="00332246"/>
    <w:rsid w:val="00346585"/>
    <w:rsid w:val="00352C84"/>
    <w:rsid w:val="003614EA"/>
    <w:rsid w:val="003756FA"/>
    <w:rsid w:val="0038283E"/>
    <w:rsid w:val="00385E6A"/>
    <w:rsid w:val="00394C15"/>
    <w:rsid w:val="003B0182"/>
    <w:rsid w:val="003D7D17"/>
    <w:rsid w:val="003F694B"/>
    <w:rsid w:val="0040796F"/>
    <w:rsid w:val="00426BC7"/>
    <w:rsid w:val="00432FD9"/>
    <w:rsid w:val="00433309"/>
    <w:rsid w:val="00442FF0"/>
    <w:rsid w:val="00462B93"/>
    <w:rsid w:val="00466E6A"/>
    <w:rsid w:val="0048431B"/>
    <w:rsid w:val="004A5326"/>
    <w:rsid w:val="004A5AF5"/>
    <w:rsid w:val="004B4BF5"/>
    <w:rsid w:val="004B6A04"/>
    <w:rsid w:val="004B731C"/>
    <w:rsid w:val="004B76F7"/>
    <w:rsid w:val="004C02C1"/>
    <w:rsid w:val="004F23F0"/>
    <w:rsid w:val="00510FFF"/>
    <w:rsid w:val="00553996"/>
    <w:rsid w:val="005F7A31"/>
    <w:rsid w:val="00614519"/>
    <w:rsid w:val="00642F76"/>
    <w:rsid w:val="006460A5"/>
    <w:rsid w:val="00662052"/>
    <w:rsid w:val="00683177"/>
    <w:rsid w:val="0068563F"/>
    <w:rsid w:val="00695DA6"/>
    <w:rsid w:val="00697B06"/>
    <w:rsid w:val="006C6DF2"/>
    <w:rsid w:val="006E238D"/>
    <w:rsid w:val="006E28C8"/>
    <w:rsid w:val="006E3244"/>
    <w:rsid w:val="006E6736"/>
    <w:rsid w:val="006E6D60"/>
    <w:rsid w:val="00703CA2"/>
    <w:rsid w:val="00705091"/>
    <w:rsid w:val="00713616"/>
    <w:rsid w:val="007415C4"/>
    <w:rsid w:val="00754CE4"/>
    <w:rsid w:val="00770D79"/>
    <w:rsid w:val="00774351"/>
    <w:rsid w:val="00776229"/>
    <w:rsid w:val="00781DCC"/>
    <w:rsid w:val="00784860"/>
    <w:rsid w:val="007B6512"/>
    <w:rsid w:val="007C7C30"/>
    <w:rsid w:val="007D2B85"/>
    <w:rsid w:val="007D365E"/>
    <w:rsid w:val="00801872"/>
    <w:rsid w:val="0080485A"/>
    <w:rsid w:val="00827095"/>
    <w:rsid w:val="0086400D"/>
    <w:rsid w:val="008755A5"/>
    <w:rsid w:val="00890336"/>
    <w:rsid w:val="00891591"/>
    <w:rsid w:val="008B1BED"/>
    <w:rsid w:val="008F0FA1"/>
    <w:rsid w:val="00901265"/>
    <w:rsid w:val="00905285"/>
    <w:rsid w:val="00914C8C"/>
    <w:rsid w:val="009300CB"/>
    <w:rsid w:val="00965B07"/>
    <w:rsid w:val="00974CB8"/>
    <w:rsid w:val="00992177"/>
    <w:rsid w:val="009A3A95"/>
    <w:rsid w:val="009B2A04"/>
    <w:rsid w:val="009C5DFC"/>
    <w:rsid w:val="009C7D87"/>
    <w:rsid w:val="009D0A3B"/>
    <w:rsid w:val="009D24DA"/>
    <w:rsid w:val="009F11B9"/>
    <w:rsid w:val="00A10F00"/>
    <w:rsid w:val="00A17456"/>
    <w:rsid w:val="00A21ED1"/>
    <w:rsid w:val="00A24244"/>
    <w:rsid w:val="00A35F5E"/>
    <w:rsid w:val="00A41001"/>
    <w:rsid w:val="00A61D31"/>
    <w:rsid w:val="00A67193"/>
    <w:rsid w:val="00A739CE"/>
    <w:rsid w:val="00A83DC5"/>
    <w:rsid w:val="00AA5831"/>
    <w:rsid w:val="00AA7243"/>
    <w:rsid w:val="00AB3F35"/>
    <w:rsid w:val="00AF3179"/>
    <w:rsid w:val="00AF7604"/>
    <w:rsid w:val="00B42A83"/>
    <w:rsid w:val="00B51B00"/>
    <w:rsid w:val="00B72A2F"/>
    <w:rsid w:val="00B748B1"/>
    <w:rsid w:val="00B87DFD"/>
    <w:rsid w:val="00B87F83"/>
    <w:rsid w:val="00B97857"/>
    <w:rsid w:val="00BB59E6"/>
    <w:rsid w:val="00BD0F9A"/>
    <w:rsid w:val="00BE121C"/>
    <w:rsid w:val="00BE278B"/>
    <w:rsid w:val="00BE4399"/>
    <w:rsid w:val="00BE7570"/>
    <w:rsid w:val="00BF20A3"/>
    <w:rsid w:val="00C10626"/>
    <w:rsid w:val="00C15DCC"/>
    <w:rsid w:val="00C16AB1"/>
    <w:rsid w:val="00C366D7"/>
    <w:rsid w:val="00C506AE"/>
    <w:rsid w:val="00C63484"/>
    <w:rsid w:val="00C87D2D"/>
    <w:rsid w:val="00CA2108"/>
    <w:rsid w:val="00CB0266"/>
    <w:rsid w:val="00CB7962"/>
    <w:rsid w:val="00CF6C26"/>
    <w:rsid w:val="00D02076"/>
    <w:rsid w:val="00D06BCA"/>
    <w:rsid w:val="00D13F13"/>
    <w:rsid w:val="00D20E3A"/>
    <w:rsid w:val="00D316ED"/>
    <w:rsid w:val="00D3246D"/>
    <w:rsid w:val="00D34967"/>
    <w:rsid w:val="00D56A28"/>
    <w:rsid w:val="00D773FD"/>
    <w:rsid w:val="00DA248A"/>
    <w:rsid w:val="00DB12DB"/>
    <w:rsid w:val="00DC37FA"/>
    <w:rsid w:val="00DF08FF"/>
    <w:rsid w:val="00DF58FA"/>
    <w:rsid w:val="00E02A1E"/>
    <w:rsid w:val="00E142D0"/>
    <w:rsid w:val="00E17C0C"/>
    <w:rsid w:val="00E25866"/>
    <w:rsid w:val="00E550FE"/>
    <w:rsid w:val="00E57F58"/>
    <w:rsid w:val="00E65E82"/>
    <w:rsid w:val="00E819F1"/>
    <w:rsid w:val="00E83EDD"/>
    <w:rsid w:val="00E964AD"/>
    <w:rsid w:val="00EA0D4B"/>
    <w:rsid w:val="00EA2174"/>
    <w:rsid w:val="00EC26E2"/>
    <w:rsid w:val="00EC6BD2"/>
    <w:rsid w:val="00EE10EC"/>
    <w:rsid w:val="00EE6A6A"/>
    <w:rsid w:val="00EF734E"/>
    <w:rsid w:val="00F13497"/>
    <w:rsid w:val="00F16615"/>
    <w:rsid w:val="00F53816"/>
    <w:rsid w:val="00F5562D"/>
    <w:rsid w:val="00F61071"/>
    <w:rsid w:val="00F61EB0"/>
    <w:rsid w:val="00F63AE1"/>
    <w:rsid w:val="00F907EC"/>
    <w:rsid w:val="00F91C6B"/>
    <w:rsid w:val="00FC12B1"/>
    <w:rsid w:val="00FC2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AE"/>
  </w:style>
  <w:style w:type="paragraph" w:styleId="Heading1">
    <w:name w:val="heading 1"/>
    <w:basedOn w:val="Normal"/>
    <w:next w:val="Normal"/>
    <w:link w:val="Heading1Char"/>
    <w:uiPriority w:val="9"/>
    <w:qFormat/>
    <w:rsid w:val="004F2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B70A0"/>
    <w:pPr>
      <w:keepNext/>
      <w:keepLines/>
      <w:spacing w:before="200" w:after="0"/>
      <w:outlineLvl w:val="1"/>
    </w:pPr>
    <w:rPr>
      <w:rFonts w:ascii="Cambria" w:eastAsia="Calibr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257F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8431B"/>
    <w:pPr>
      <w:ind w:left="720"/>
      <w:contextualSpacing/>
    </w:pPr>
  </w:style>
  <w:style w:type="paragraph" w:styleId="NormalWeb">
    <w:name w:val="Normal (Web)"/>
    <w:basedOn w:val="Normal"/>
    <w:uiPriority w:val="99"/>
    <w:semiHidden/>
    <w:unhideWhenUsed/>
    <w:rsid w:val="001206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0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6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9"/>
    <w:rsid w:val="002B70A0"/>
    <w:rPr>
      <w:rFonts w:ascii="Cambria" w:eastAsia="Calibri" w:hAnsi="Cambria" w:cs="Times New Roman"/>
      <w:b/>
      <w:bCs/>
      <w:color w:val="4F81BD"/>
      <w:sz w:val="26"/>
      <w:szCs w:val="26"/>
    </w:rPr>
  </w:style>
  <w:style w:type="character" w:customStyle="1" w:styleId="Heading1Char">
    <w:name w:val="Heading 1 Char"/>
    <w:basedOn w:val="DefaultParagraphFont"/>
    <w:link w:val="Heading1"/>
    <w:uiPriority w:val="9"/>
    <w:rsid w:val="004F23F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6107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2C1"/>
  </w:style>
  <w:style w:type="paragraph" w:styleId="Footer">
    <w:name w:val="footer"/>
    <w:basedOn w:val="Normal"/>
    <w:link w:val="FooterChar"/>
    <w:uiPriority w:val="99"/>
    <w:semiHidden/>
    <w:unhideWhenUsed/>
    <w:rsid w:val="004C0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02C1"/>
  </w:style>
  <w:style w:type="paragraph" w:styleId="NoSpacing">
    <w:name w:val="No Spacing"/>
    <w:link w:val="NoSpacingChar"/>
    <w:uiPriority w:val="1"/>
    <w:qFormat/>
    <w:rsid w:val="004C02C1"/>
    <w:pPr>
      <w:spacing w:after="0" w:line="240" w:lineRule="auto"/>
    </w:pPr>
  </w:style>
  <w:style w:type="character" w:customStyle="1" w:styleId="NoSpacingChar">
    <w:name w:val="No Spacing Char"/>
    <w:basedOn w:val="DefaultParagraphFont"/>
    <w:link w:val="NoSpacing"/>
    <w:uiPriority w:val="1"/>
    <w:rsid w:val="004C02C1"/>
    <w:rPr>
      <w:rFonts w:eastAsiaTheme="minorEastAsia"/>
    </w:rPr>
  </w:style>
  <w:style w:type="character" w:styleId="CommentReference">
    <w:name w:val="annotation reference"/>
    <w:basedOn w:val="DefaultParagraphFont"/>
    <w:uiPriority w:val="99"/>
    <w:semiHidden/>
    <w:unhideWhenUsed/>
    <w:rsid w:val="009B2A04"/>
    <w:rPr>
      <w:sz w:val="16"/>
      <w:szCs w:val="16"/>
    </w:rPr>
  </w:style>
  <w:style w:type="paragraph" w:styleId="CommentText">
    <w:name w:val="annotation text"/>
    <w:basedOn w:val="Normal"/>
    <w:link w:val="CommentTextChar"/>
    <w:uiPriority w:val="99"/>
    <w:semiHidden/>
    <w:unhideWhenUsed/>
    <w:rsid w:val="009B2A04"/>
    <w:pPr>
      <w:spacing w:line="240" w:lineRule="auto"/>
    </w:pPr>
    <w:rPr>
      <w:sz w:val="20"/>
      <w:szCs w:val="20"/>
    </w:rPr>
  </w:style>
  <w:style w:type="character" w:customStyle="1" w:styleId="CommentTextChar">
    <w:name w:val="Comment Text Char"/>
    <w:basedOn w:val="DefaultParagraphFont"/>
    <w:link w:val="CommentText"/>
    <w:uiPriority w:val="99"/>
    <w:semiHidden/>
    <w:rsid w:val="009B2A04"/>
    <w:rPr>
      <w:sz w:val="20"/>
      <w:szCs w:val="20"/>
    </w:rPr>
  </w:style>
  <w:style w:type="paragraph" w:styleId="CommentSubject">
    <w:name w:val="annotation subject"/>
    <w:basedOn w:val="CommentText"/>
    <w:next w:val="CommentText"/>
    <w:link w:val="CommentSubjectChar"/>
    <w:uiPriority w:val="99"/>
    <w:semiHidden/>
    <w:unhideWhenUsed/>
    <w:rsid w:val="009B2A04"/>
    <w:rPr>
      <w:b/>
      <w:bCs/>
    </w:rPr>
  </w:style>
  <w:style w:type="character" w:customStyle="1" w:styleId="CommentSubjectChar">
    <w:name w:val="Comment Subject Char"/>
    <w:basedOn w:val="CommentTextChar"/>
    <w:link w:val="CommentSubject"/>
    <w:uiPriority w:val="99"/>
    <w:semiHidden/>
    <w:rsid w:val="009B2A04"/>
    <w:rPr>
      <w:b/>
      <w:bCs/>
      <w:sz w:val="20"/>
      <w:szCs w:val="20"/>
    </w:rPr>
  </w:style>
  <w:style w:type="paragraph" w:styleId="BalloonText">
    <w:name w:val="Balloon Text"/>
    <w:basedOn w:val="Normal"/>
    <w:link w:val="BalloonTextChar"/>
    <w:uiPriority w:val="99"/>
    <w:semiHidden/>
    <w:unhideWhenUsed/>
    <w:rsid w:val="009B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04"/>
    <w:rPr>
      <w:rFonts w:ascii="Tahoma" w:hAnsi="Tahoma" w:cs="Tahoma"/>
      <w:sz w:val="16"/>
      <w:szCs w:val="16"/>
    </w:rPr>
  </w:style>
  <w:style w:type="character" w:styleId="Hyperlink">
    <w:name w:val="Hyperlink"/>
    <w:basedOn w:val="DefaultParagraphFont"/>
    <w:uiPriority w:val="99"/>
    <w:unhideWhenUsed/>
    <w:rsid w:val="00697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2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B70A0"/>
    <w:pPr>
      <w:keepNext/>
      <w:keepLines/>
      <w:spacing w:before="200" w:after="0"/>
      <w:outlineLvl w:val="1"/>
    </w:pPr>
    <w:rPr>
      <w:rFonts w:ascii="Cambria" w:eastAsia="Calibr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257F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8431B"/>
    <w:pPr>
      <w:ind w:left="720"/>
      <w:contextualSpacing/>
    </w:pPr>
  </w:style>
  <w:style w:type="paragraph" w:styleId="NormalWeb">
    <w:name w:val="Normal (Web)"/>
    <w:basedOn w:val="Normal"/>
    <w:uiPriority w:val="99"/>
    <w:semiHidden/>
    <w:unhideWhenUsed/>
    <w:rsid w:val="001206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0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6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9"/>
    <w:rsid w:val="002B70A0"/>
    <w:rPr>
      <w:rFonts w:ascii="Cambria" w:eastAsia="Calibri" w:hAnsi="Cambria" w:cs="Times New Roman"/>
      <w:b/>
      <w:bCs/>
      <w:color w:val="4F81BD"/>
      <w:sz w:val="26"/>
      <w:szCs w:val="26"/>
    </w:rPr>
  </w:style>
  <w:style w:type="character" w:customStyle="1" w:styleId="Heading1Char">
    <w:name w:val="Heading 1 Char"/>
    <w:basedOn w:val="DefaultParagraphFont"/>
    <w:link w:val="Heading1"/>
    <w:uiPriority w:val="9"/>
    <w:rsid w:val="004F23F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6107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2C1"/>
  </w:style>
  <w:style w:type="paragraph" w:styleId="Footer">
    <w:name w:val="footer"/>
    <w:basedOn w:val="Normal"/>
    <w:link w:val="FooterChar"/>
    <w:uiPriority w:val="99"/>
    <w:semiHidden/>
    <w:unhideWhenUsed/>
    <w:rsid w:val="004C0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02C1"/>
  </w:style>
  <w:style w:type="paragraph" w:styleId="NoSpacing">
    <w:name w:val="No Spacing"/>
    <w:link w:val="NoSpacingChar"/>
    <w:uiPriority w:val="1"/>
    <w:qFormat/>
    <w:rsid w:val="004C02C1"/>
    <w:pPr>
      <w:spacing w:after="0" w:line="240" w:lineRule="auto"/>
    </w:pPr>
  </w:style>
  <w:style w:type="character" w:customStyle="1" w:styleId="NoSpacingChar">
    <w:name w:val="No Spacing Char"/>
    <w:basedOn w:val="DefaultParagraphFont"/>
    <w:link w:val="NoSpacing"/>
    <w:uiPriority w:val="1"/>
    <w:rsid w:val="004C02C1"/>
    <w:rPr>
      <w:rFonts w:eastAsiaTheme="minorEastAsia"/>
    </w:rPr>
  </w:style>
  <w:style w:type="character" w:styleId="CommentReference">
    <w:name w:val="annotation reference"/>
    <w:basedOn w:val="DefaultParagraphFont"/>
    <w:uiPriority w:val="99"/>
    <w:semiHidden/>
    <w:unhideWhenUsed/>
    <w:rsid w:val="009B2A04"/>
    <w:rPr>
      <w:sz w:val="16"/>
      <w:szCs w:val="16"/>
    </w:rPr>
  </w:style>
  <w:style w:type="paragraph" w:styleId="CommentText">
    <w:name w:val="annotation text"/>
    <w:basedOn w:val="Normal"/>
    <w:link w:val="CommentTextChar"/>
    <w:uiPriority w:val="99"/>
    <w:semiHidden/>
    <w:unhideWhenUsed/>
    <w:rsid w:val="009B2A04"/>
    <w:pPr>
      <w:spacing w:line="240" w:lineRule="auto"/>
    </w:pPr>
    <w:rPr>
      <w:sz w:val="20"/>
      <w:szCs w:val="20"/>
    </w:rPr>
  </w:style>
  <w:style w:type="character" w:customStyle="1" w:styleId="CommentTextChar">
    <w:name w:val="Comment Text Char"/>
    <w:basedOn w:val="DefaultParagraphFont"/>
    <w:link w:val="CommentText"/>
    <w:uiPriority w:val="99"/>
    <w:semiHidden/>
    <w:rsid w:val="009B2A04"/>
    <w:rPr>
      <w:sz w:val="20"/>
      <w:szCs w:val="20"/>
    </w:rPr>
  </w:style>
  <w:style w:type="paragraph" w:styleId="CommentSubject">
    <w:name w:val="annotation subject"/>
    <w:basedOn w:val="CommentText"/>
    <w:next w:val="CommentText"/>
    <w:link w:val="CommentSubjectChar"/>
    <w:uiPriority w:val="99"/>
    <w:semiHidden/>
    <w:unhideWhenUsed/>
    <w:rsid w:val="009B2A04"/>
    <w:rPr>
      <w:b/>
      <w:bCs/>
    </w:rPr>
  </w:style>
  <w:style w:type="character" w:customStyle="1" w:styleId="CommentSubjectChar">
    <w:name w:val="Comment Subject Char"/>
    <w:basedOn w:val="CommentTextChar"/>
    <w:link w:val="CommentSubject"/>
    <w:uiPriority w:val="99"/>
    <w:semiHidden/>
    <w:rsid w:val="009B2A04"/>
    <w:rPr>
      <w:b/>
      <w:bCs/>
      <w:sz w:val="20"/>
      <w:szCs w:val="20"/>
    </w:rPr>
  </w:style>
  <w:style w:type="paragraph" w:styleId="BalloonText">
    <w:name w:val="Balloon Text"/>
    <w:basedOn w:val="Normal"/>
    <w:link w:val="BalloonTextChar"/>
    <w:uiPriority w:val="99"/>
    <w:semiHidden/>
    <w:unhideWhenUsed/>
    <w:rsid w:val="009B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905107">
      <w:bodyDiv w:val="1"/>
      <w:marLeft w:val="0"/>
      <w:marRight w:val="0"/>
      <w:marTop w:val="0"/>
      <w:marBottom w:val="0"/>
      <w:divBdr>
        <w:top w:val="none" w:sz="0" w:space="0" w:color="auto"/>
        <w:left w:val="none" w:sz="0" w:space="0" w:color="auto"/>
        <w:bottom w:val="none" w:sz="0" w:space="0" w:color="auto"/>
        <w:right w:val="none" w:sz="0" w:space="0" w:color="auto"/>
      </w:divBdr>
    </w:div>
    <w:div w:id="1690329157">
      <w:bodyDiv w:val="1"/>
      <w:marLeft w:val="0"/>
      <w:marRight w:val="0"/>
      <w:marTop w:val="0"/>
      <w:marBottom w:val="0"/>
      <w:divBdr>
        <w:top w:val="none" w:sz="0" w:space="0" w:color="auto"/>
        <w:left w:val="none" w:sz="0" w:space="0" w:color="auto"/>
        <w:bottom w:val="none" w:sz="0" w:space="0" w:color="auto"/>
        <w:right w:val="none" w:sz="0" w:space="0" w:color="auto"/>
      </w:divBdr>
    </w:div>
    <w:div w:id="1711343712">
      <w:bodyDiv w:val="1"/>
      <w:marLeft w:val="0"/>
      <w:marRight w:val="0"/>
      <w:marTop w:val="0"/>
      <w:marBottom w:val="0"/>
      <w:divBdr>
        <w:top w:val="none" w:sz="0" w:space="0" w:color="auto"/>
        <w:left w:val="none" w:sz="0" w:space="0" w:color="auto"/>
        <w:bottom w:val="none" w:sz="0" w:space="0" w:color="auto"/>
        <w:right w:val="none" w:sz="0" w:space="0" w:color="auto"/>
      </w:divBdr>
      <w:divsChild>
        <w:div w:id="647174305">
          <w:marLeft w:val="0"/>
          <w:marRight w:val="0"/>
          <w:marTop w:val="0"/>
          <w:marBottom w:val="0"/>
          <w:divBdr>
            <w:top w:val="none" w:sz="0" w:space="0" w:color="auto"/>
            <w:left w:val="none" w:sz="0" w:space="0" w:color="auto"/>
            <w:bottom w:val="none" w:sz="0" w:space="0" w:color="auto"/>
            <w:right w:val="none" w:sz="0" w:space="0" w:color="auto"/>
          </w:divBdr>
          <w:divsChild>
            <w:div w:id="2144344440">
              <w:marLeft w:val="0"/>
              <w:marRight w:val="0"/>
              <w:marTop w:val="0"/>
              <w:marBottom w:val="0"/>
              <w:divBdr>
                <w:top w:val="none" w:sz="0" w:space="0" w:color="auto"/>
                <w:left w:val="none" w:sz="0" w:space="0" w:color="auto"/>
                <w:bottom w:val="none" w:sz="0" w:space="0" w:color="auto"/>
                <w:right w:val="none" w:sz="0" w:space="0" w:color="auto"/>
              </w:divBdr>
              <w:divsChild>
                <w:div w:id="1704473824">
                  <w:marLeft w:val="0"/>
                  <w:marRight w:val="0"/>
                  <w:marTop w:val="0"/>
                  <w:marBottom w:val="0"/>
                  <w:divBdr>
                    <w:top w:val="none" w:sz="0" w:space="0" w:color="auto"/>
                    <w:left w:val="none" w:sz="0" w:space="0" w:color="auto"/>
                    <w:bottom w:val="none" w:sz="0" w:space="0" w:color="auto"/>
                    <w:right w:val="none" w:sz="0" w:space="0" w:color="auto"/>
                  </w:divBdr>
                  <w:divsChild>
                    <w:div w:id="1504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ulations.gov/" TargetMode="External"/><Relationship Id="rId18" Type="http://schemas.openxmlformats.org/officeDocument/2006/relationships/hyperlink" Target="http://www.regulations.gov/" TargetMode="External"/><Relationship Id="rId26" Type="http://schemas.openxmlformats.org/officeDocument/2006/relationships/hyperlink" Target="http://www.regulations.gov/" TargetMode="External"/><Relationship Id="rId39" Type="http://schemas.openxmlformats.org/officeDocument/2006/relationships/hyperlink" Target="http://www.regulations.gov/" TargetMode="External"/><Relationship Id="rId21" Type="http://schemas.openxmlformats.org/officeDocument/2006/relationships/hyperlink" Target="http://www.regulations.gov/" TargetMode="External"/><Relationship Id="rId34" Type="http://schemas.openxmlformats.org/officeDocument/2006/relationships/hyperlink" Target="http://www.regulations.gov/" TargetMode="External"/><Relationship Id="rId42" Type="http://schemas.openxmlformats.org/officeDocument/2006/relationships/hyperlink" Target="http://www.regulations.gov/" TargetMode="External"/><Relationship Id="rId47" Type="http://schemas.openxmlformats.org/officeDocument/2006/relationships/hyperlink" Target="http://www.regulations.gov/" TargetMode="External"/><Relationship Id="rId50" Type="http://schemas.openxmlformats.org/officeDocument/2006/relationships/hyperlink" Target="http://www.regulations.gov/" TargetMode="External"/><Relationship Id="rId55" Type="http://schemas.openxmlformats.org/officeDocument/2006/relationships/hyperlink" Target="http://www.regulations.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hyperlink" Target="http://www.regulations.gov/" TargetMode="External"/><Relationship Id="rId29" Type="http://schemas.openxmlformats.org/officeDocument/2006/relationships/hyperlink" Target="http://www.regulations.gov/" TargetMode="External"/><Relationship Id="rId41" Type="http://schemas.openxmlformats.org/officeDocument/2006/relationships/hyperlink" Target="http://www.regulations.gov/" TargetMode="External"/><Relationship Id="rId54" Type="http://schemas.openxmlformats.org/officeDocument/2006/relationships/hyperlink" Target="http://www.regulations.gov/"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24" Type="http://schemas.openxmlformats.org/officeDocument/2006/relationships/hyperlink" Target="http://www.regulations.gov/" TargetMode="External"/><Relationship Id="rId32" Type="http://schemas.openxmlformats.org/officeDocument/2006/relationships/hyperlink" Target="http://www.regulations.gov/" TargetMode="External"/><Relationship Id="rId37" Type="http://schemas.openxmlformats.org/officeDocument/2006/relationships/hyperlink" Target="http://www.regulations.gov/" TargetMode="External"/><Relationship Id="rId40" Type="http://schemas.openxmlformats.org/officeDocument/2006/relationships/hyperlink" Target="http://www.regulations.gov/" TargetMode="External"/><Relationship Id="rId45" Type="http://schemas.openxmlformats.org/officeDocument/2006/relationships/hyperlink" Target="http://www.regulations.gov/" TargetMode="External"/><Relationship Id="rId53" Type="http://schemas.openxmlformats.org/officeDocument/2006/relationships/hyperlink" Target="http://www.regulations.gov/"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hyperlink" Target="http://www.regulations.gov/" TargetMode="External"/><Relationship Id="rId28" Type="http://schemas.openxmlformats.org/officeDocument/2006/relationships/hyperlink" Target="http://www.regulations.gov/" TargetMode="External"/><Relationship Id="rId36" Type="http://schemas.openxmlformats.org/officeDocument/2006/relationships/hyperlink" Target="http://www.regulations.gov/" TargetMode="External"/><Relationship Id="rId49" Type="http://schemas.openxmlformats.org/officeDocument/2006/relationships/hyperlink" Target="http://www.regulations.gov/" TargetMode="External"/><Relationship Id="rId57" Type="http://schemas.openxmlformats.org/officeDocument/2006/relationships/hyperlink" Target="http://www.regulations.gov/" TargetMode="External"/><Relationship Id="rId10" Type="http://schemas.openxmlformats.org/officeDocument/2006/relationships/hyperlink" Target="http://www.regulations.gov/" TargetMode="External"/><Relationship Id="rId19" Type="http://schemas.openxmlformats.org/officeDocument/2006/relationships/hyperlink" Target="http://www.regulations.gov/" TargetMode="External"/><Relationship Id="rId31" Type="http://schemas.openxmlformats.org/officeDocument/2006/relationships/hyperlink" Target="http://www.regulations.gov/" TargetMode="External"/><Relationship Id="rId44" Type="http://schemas.openxmlformats.org/officeDocument/2006/relationships/hyperlink" Target="http://www.regulations.gov/" TargetMode="External"/><Relationship Id="rId52" Type="http://schemas.openxmlformats.org/officeDocument/2006/relationships/hyperlink" Target="http://www.regulations.gov/"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 Id="rId22" Type="http://schemas.openxmlformats.org/officeDocument/2006/relationships/hyperlink" Target="http://www.regulations.gov/" TargetMode="External"/><Relationship Id="rId27" Type="http://schemas.openxmlformats.org/officeDocument/2006/relationships/hyperlink" Target="http://www.regulations.gov/" TargetMode="External"/><Relationship Id="rId30" Type="http://schemas.openxmlformats.org/officeDocument/2006/relationships/hyperlink" Target="http://www.regulations.gov/" TargetMode="External"/><Relationship Id="rId35" Type="http://schemas.openxmlformats.org/officeDocument/2006/relationships/hyperlink" Target="http://www.regulations.gov/" TargetMode="External"/><Relationship Id="rId43" Type="http://schemas.openxmlformats.org/officeDocument/2006/relationships/hyperlink" Target="http://www.regulations.gov/" TargetMode="External"/><Relationship Id="rId48" Type="http://schemas.openxmlformats.org/officeDocument/2006/relationships/hyperlink" Target="http://www.regulations.gov/" TargetMode="External"/><Relationship Id="rId56" Type="http://schemas.openxmlformats.org/officeDocument/2006/relationships/hyperlink" Target="http://www.regulations.gov/#!documentDetail;D=HHS-OS-2012-0007-0547" TargetMode="External"/><Relationship Id="rId8" Type="http://schemas.openxmlformats.org/officeDocument/2006/relationships/hyperlink" Target="http://www.regulations.gov/" TargetMode="External"/><Relationship Id="rId51" Type="http://schemas.openxmlformats.org/officeDocument/2006/relationships/hyperlink" Target="http://www.regulations.gov/" TargetMode="External"/><Relationship Id="rId3"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hyperlink" Target="http://www.regulations.gov/" TargetMode="External"/><Relationship Id="rId33" Type="http://schemas.openxmlformats.org/officeDocument/2006/relationships/hyperlink" Target="http://www.regulations.gov/" TargetMode="External"/><Relationship Id="rId38" Type="http://schemas.openxmlformats.org/officeDocument/2006/relationships/hyperlink" Target="http://www.regulations.gov/" TargetMode="External"/><Relationship Id="rId46" Type="http://schemas.openxmlformats.org/officeDocument/2006/relationships/hyperlink" Target="http://www.regulations.gov/"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8B7F-3345-4010-8E94-F194B412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5886</Words>
  <Characters>33554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Cindrich, Frank</dc:creator>
  <cp:lastModifiedBy>MM</cp:lastModifiedBy>
  <cp:revision>10</cp:revision>
  <cp:lastPrinted>2013-01-29T19:05:00Z</cp:lastPrinted>
  <dcterms:created xsi:type="dcterms:W3CDTF">2013-01-29T22:25:00Z</dcterms:created>
  <dcterms:modified xsi:type="dcterms:W3CDTF">2013-01-30T16:07:00Z</dcterms:modified>
</cp:coreProperties>
</file>