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1D" w:rsidRPr="00DF6E34" w:rsidRDefault="0043261D" w:rsidP="000233C9">
      <w:pPr>
        <w:spacing w:after="0" w:line="240" w:lineRule="auto"/>
        <w:jc w:val="center"/>
        <w:outlineLvl w:val="5"/>
        <w:rPr>
          <w:rFonts w:ascii="Times New Roman" w:eastAsia="Arial Unicode MS" w:hAnsi="Times New Roman" w:cs="Times New Roman"/>
          <w:b/>
          <w:color w:val="000000"/>
          <w:sz w:val="26"/>
          <w:szCs w:val="26"/>
        </w:rPr>
      </w:pPr>
      <w:r w:rsidRPr="00DF6E34">
        <w:rPr>
          <w:rFonts w:ascii="Times New Roman" w:eastAsia="Arial Unicode MS" w:hAnsi="Times New Roman" w:cs="Times New Roman"/>
          <w:b/>
          <w:color w:val="000000"/>
          <w:sz w:val="26"/>
          <w:szCs w:val="26"/>
        </w:rPr>
        <w:t>Summary/Highlights of</w:t>
      </w:r>
    </w:p>
    <w:p w:rsidR="0043261D" w:rsidRPr="00DF6E34" w:rsidRDefault="000233C9" w:rsidP="000233C9">
      <w:pPr>
        <w:spacing w:after="0" w:line="240" w:lineRule="auto"/>
        <w:jc w:val="center"/>
        <w:outlineLvl w:val="5"/>
        <w:rPr>
          <w:rFonts w:ascii="Times New Roman" w:eastAsia="Arial Unicode MS" w:hAnsi="Times New Roman" w:cs="Times New Roman"/>
          <w:b/>
          <w:color w:val="000000"/>
          <w:sz w:val="26"/>
          <w:szCs w:val="26"/>
        </w:rPr>
      </w:pPr>
      <w:r w:rsidRPr="00DF6E34">
        <w:rPr>
          <w:rFonts w:ascii="Times New Roman" w:eastAsia="Arial Unicode MS" w:hAnsi="Times New Roman" w:cs="Times New Roman"/>
          <w:b/>
          <w:color w:val="000000"/>
          <w:sz w:val="26"/>
          <w:szCs w:val="26"/>
        </w:rPr>
        <w:t>FDASIA Request for Comment (RFC)</w:t>
      </w:r>
      <w:r w:rsidR="0043261D" w:rsidRPr="00DF6E34">
        <w:rPr>
          <w:rFonts w:ascii="Times New Roman" w:eastAsia="Arial Unicode MS" w:hAnsi="Times New Roman" w:cs="Times New Roman"/>
          <w:b/>
          <w:color w:val="000000"/>
          <w:sz w:val="26"/>
          <w:szCs w:val="26"/>
        </w:rPr>
        <w:t xml:space="preserve"> </w:t>
      </w:r>
    </w:p>
    <w:p w:rsidR="0043261D" w:rsidRPr="00DF6E34" w:rsidRDefault="000233C9" w:rsidP="000233C9">
      <w:pPr>
        <w:spacing w:after="0" w:line="240" w:lineRule="auto"/>
        <w:jc w:val="center"/>
        <w:outlineLvl w:val="5"/>
        <w:rPr>
          <w:rFonts w:ascii="Times New Roman" w:eastAsia="Arial Unicode MS" w:hAnsi="Times New Roman" w:cs="Times New Roman"/>
          <w:b/>
          <w:color w:val="000000"/>
          <w:sz w:val="26"/>
          <w:szCs w:val="26"/>
        </w:rPr>
      </w:pPr>
      <w:r w:rsidRPr="00DF6E34">
        <w:rPr>
          <w:rFonts w:ascii="Times New Roman" w:eastAsia="Arial Unicode MS" w:hAnsi="Times New Roman" w:cs="Times New Roman"/>
          <w:b/>
          <w:color w:val="000000"/>
          <w:sz w:val="26"/>
          <w:szCs w:val="26"/>
        </w:rPr>
        <w:t>on the Development of a Risk-Based Regulatory Framework and Strategy</w:t>
      </w:r>
    </w:p>
    <w:p w:rsidR="000233C9" w:rsidRPr="00DF6E34" w:rsidRDefault="0043261D" w:rsidP="000233C9">
      <w:pPr>
        <w:spacing w:after="0" w:line="240" w:lineRule="auto"/>
        <w:jc w:val="center"/>
        <w:outlineLvl w:val="5"/>
        <w:rPr>
          <w:rFonts w:ascii="Times New Roman" w:eastAsia="Arial Unicode MS" w:hAnsi="Times New Roman" w:cs="Times New Roman"/>
          <w:b/>
          <w:color w:val="000000"/>
          <w:sz w:val="26"/>
          <w:szCs w:val="26"/>
        </w:rPr>
      </w:pPr>
      <w:r w:rsidRPr="00DF6E34">
        <w:rPr>
          <w:rFonts w:ascii="Times New Roman" w:eastAsia="Arial Unicode MS" w:hAnsi="Times New Roman" w:cs="Times New Roman"/>
          <w:b/>
          <w:color w:val="000000"/>
          <w:sz w:val="26"/>
          <w:szCs w:val="26"/>
        </w:rPr>
        <w:t xml:space="preserve"> </w:t>
      </w:r>
      <w:r w:rsidR="000233C9" w:rsidRPr="00DF6E34">
        <w:rPr>
          <w:rFonts w:ascii="Times New Roman" w:eastAsia="Arial Unicode MS" w:hAnsi="Times New Roman" w:cs="Times New Roman"/>
          <w:b/>
          <w:color w:val="000000"/>
          <w:sz w:val="26"/>
          <w:szCs w:val="26"/>
        </w:rPr>
        <w:t>for Health Information Technology</w:t>
      </w:r>
    </w:p>
    <w:p w:rsidR="000233C9" w:rsidRPr="00EF24DB" w:rsidRDefault="000233C9" w:rsidP="000233C9">
      <w:pPr>
        <w:spacing w:after="0" w:line="240" w:lineRule="auto"/>
        <w:jc w:val="center"/>
        <w:outlineLvl w:val="5"/>
        <w:rPr>
          <w:rFonts w:ascii="Times New Roman" w:eastAsia="Arial Unicode MS" w:hAnsi="Times New Roman" w:cs="Times New Roman"/>
          <w:b/>
          <w:color w:val="000000"/>
          <w:sz w:val="24"/>
          <w:szCs w:val="24"/>
        </w:rPr>
      </w:pPr>
      <w:r w:rsidRPr="00EF24DB">
        <w:rPr>
          <w:rFonts w:ascii="Times New Roman" w:eastAsia="Arial Unicode MS" w:hAnsi="Times New Roman" w:cs="Times New Roman"/>
          <w:b/>
          <w:color w:val="000000"/>
          <w:sz w:val="24"/>
          <w:szCs w:val="24"/>
        </w:rPr>
        <w:t>78 FR 32390 (May 30, 2013)</w:t>
      </w:r>
    </w:p>
    <w:p w:rsidR="000233C9" w:rsidRDefault="000233C9" w:rsidP="000233C9">
      <w:pPr>
        <w:spacing w:after="0" w:line="240" w:lineRule="auto"/>
        <w:outlineLvl w:val="5"/>
        <w:rPr>
          <w:rFonts w:ascii="Times New Roman" w:eastAsia="Arial Unicode MS" w:hAnsi="Times New Roman" w:cs="Times New Roman"/>
          <w:color w:val="000000"/>
          <w:sz w:val="24"/>
          <w:szCs w:val="24"/>
        </w:rPr>
      </w:pPr>
    </w:p>
    <w:p w:rsidR="000233C9" w:rsidRDefault="000233C9" w:rsidP="000233C9">
      <w:pPr>
        <w:pStyle w:val="ListParagraph"/>
        <w:numPr>
          <w:ilvl w:val="0"/>
          <w:numId w:val="21"/>
        </w:numPr>
        <w:spacing w:after="0" w:line="240" w:lineRule="auto"/>
        <w:outlineLvl w:val="5"/>
        <w:rPr>
          <w:rFonts w:ascii="Times New Roman" w:eastAsia="Arial Unicode MS" w:hAnsi="Times New Roman" w:cs="Times New Roman"/>
          <w:color w:val="000000"/>
          <w:sz w:val="24"/>
          <w:szCs w:val="24"/>
        </w:rPr>
      </w:pPr>
      <w:r w:rsidRPr="000233C9">
        <w:rPr>
          <w:rFonts w:ascii="Times New Roman" w:eastAsia="Arial Unicode MS" w:hAnsi="Times New Roman" w:cs="Times New Roman"/>
          <w:color w:val="000000"/>
          <w:sz w:val="24"/>
          <w:szCs w:val="24"/>
        </w:rPr>
        <w:t>Comments are due by August 31, 2013.</w:t>
      </w:r>
    </w:p>
    <w:p w:rsidR="000233C9" w:rsidRPr="001142EC" w:rsidRDefault="000233C9" w:rsidP="001142EC">
      <w:pPr>
        <w:pStyle w:val="ListParagraph"/>
        <w:numPr>
          <w:ilvl w:val="0"/>
          <w:numId w:val="21"/>
        </w:numPr>
        <w:spacing w:after="0" w:line="240" w:lineRule="auto"/>
        <w:outlineLvl w:val="5"/>
        <w:rPr>
          <w:rFonts w:ascii="Times New Roman" w:eastAsia="Arial Unicode MS" w:hAnsi="Times New Roman" w:cs="Times New Roman"/>
          <w:color w:val="000000"/>
          <w:sz w:val="24"/>
          <w:szCs w:val="24"/>
        </w:rPr>
      </w:pPr>
      <w:r w:rsidRPr="001142EC">
        <w:rPr>
          <w:rFonts w:ascii="Times New Roman" w:eastAsia="Arial Unicode MS" w:hAnsi="Times New Roman" w:cs="Times New Roman"/>
          <w:color w:val="000000"/>
          <w:sz w:val="24"/>
          <w:szCs w:val="24"/>
        </w:rPr>
        <w:t xml:space="preserve">Comments were requested by </w:t>
      </w:r>
      <w:r w:rsidRPr="00062D72">
        <w:rPr>
          <w:rFonts w:ascii="Times New Roman" w:eastAsia="Arial Unicode MS" w:hAnsi="Times New Roman" w:cs="Times New Roman"/>
          <w:b/>
          <w:i/>
          <w:color w:val="000000"/>
          <w:sz w:val="24"/>
          <w:szCs w:val="24"/>
        </w:rPr>
        <w:t>June 30, 2013</w:t>
      </w:r>
      <w:r w:rsidRPr="001142EC">
        <w:rPr>
          <w:rFonts w:ascii="Times New Roman" w:eastAsia="Arial Unicode MS" w:hAnsi="Times New Roman" w:cs="Times New Roman"/>
          <w:color w:val="000000"/>
          <w:sz w:val="24"/>
          <w:szCs w:val="24"/>
        </w:rPr>
        <w:t>, for consideration by the HIT Policy Committee FDASIA Workgroup.</w:t>
      </w:r>
      <w:r w:rsidRPr="001142EC">
        <w:rPr>
          <w:rFonts w:ascii="Times New Roman" w:eastAsia="Arial Unicode MS" w:hAnsi="Times New Roman" w:cs="Times New Roman"/>
          <w:color w:val="000000"/>
          <w:sz w:val="24"/>
          <w:szCs w:val="24"/>
        </w:rPr>
        <w:br/>
      </w:r>
    </w:p>
    <w:p w:rsidR="00490E57" w:rsidRPr="001142EC" w:rsidRDefault="00490E57" w:rsidP="001142EC">
      <w:pPr>
        <w:spacing w:after="0" w:line="240" w:lineRule="auto"/>
        <w:outlineLvl w:val="5"/>
        <w:rPr>
          <w:rFonts w:ascii="Times New Roman" w:eastAsia="Arial Unicode MS" w:hAnsi="Times New Roman" w:cs="Times New Roman"/>
          <w:b/>
          <w:caps/>
          <w:color w:val="000000"/>
          <w:sz w:val="24"/>
          <w:szCs w:val="24"/>
        </w:rPr>
      </w:pPr>
      <w:r w:rsidRPr="001142EC">
        <w:rPr>
          <w:rFonts w:ascii="Times New Roman" w:eastAsia="Arial Unicode MS" w:hAnsi="Times New Roman" w:cs="Times New Roman"/>
          <w:b/>
          <w:caps/>
          <w:color w:val="000000"/>
          <w:sz w:val="24"/>
          <w:szCs w:val="24"/>
        </w:rPr>
        <w:t>Taxonomy</w:t>
      </w:r>
    </w:p>
    <w:p w:rsidR="00490E57" w:rsidRPr="00367437" w:rsidRDefault="00490E57" w:rsidP="001142EC">
      <w:pPr>
        <w:spacing w:after="0" w:line="240" w:lineRule="auto"/>
        <w:rPr>
          <w:rFonts w:ascii="Times New Roman" w:eastAsia="Arial Unicode MS" w:hAnsi="Times New Roman" w:cs="Times New Roman"/>
          <w:b/>
          <w:i/>
          <w:color w:val="000000"/>
          <w:sz w:val="24"/>
          <w:szCs w:val="24"/>
        </w:rPr>
      </w:pPr>
      <w:r w:rsidRPr="00367437">
        <w:rPr>
          <w:rFonts w:ascii="Times New Roman" w:eastAsia="Arial Unicode MS" w:hAnsi="Times New Roman" w:cs="Times New Roman"/>
          <w:b/>
          <w:i/>
          <w:color w:val="000000"/>
          <w:sz w:val="24"/>
          <w:szCs w:val="24"/>
        </w:rPr>
        <w:t>a. What types of health IT should be addressed by the report developed by FDA, ONC, and FCC?</w:t>
      </w:r>
    </w:p>
    <w:p w:rsidR="009B4770" w:rsidRPr="00062D72" w:rsidRDefault="009B4770" w:rsidP="00883826">
      <w:pPr>
        <w:spacing w:after="0" w:line="240" w:lineRule="auto"/>
        <w:rPr>
          <w:rFonts w:ascii="Times New Roman" w:hAnsi="Times New Roman" w:cs="Times New Roman"/>
          <w:sz w:val="8"/>
          <w:szCs w:val="8"/>
        </w:rPr>
      </w:pPr>
    </w:p>
    <w:p w:rsidR="009B4770" w:rsidRPr="009B4770" w:rsidRDefault="009B4770" w:rsidP="00883826">
      <w:pPr>
        <w:spacing w:after="0" w:line="240" w:lineRule="auto"/>
        <w:rPr>
          <w:rFonts w:ascii="Times New Roman" w:hAnsi="Times New Roman" w:cs="Times New Roman"/>
          <w:b/>
          <w:color w:val="FF0000"/>
          <w:sz w:val="24"/>
          <w:szCs w:val="24"/>
        </w:rPr>
      </w:pPr>
      <w:r w:rsidRPr="009B4770">
        <w:rPr>
          <w:rFonts w:ascii="Times New Roman" w:hAnsi="Times New Roman" w:cs="Times New Roman"/>
          <w:b/>
          <w:color w:val="FF0000"/>
          <w:sz w:val="24"/>
          <w:szCs w:val="24"/>
        </w:rPr>
        <w:t>Review the full range of health IT products and carefully judge the extent to which they pose risk to patients.</w:t>
      </w:r>
      <w:r w:rsidR="00396F90">
        <w:rPr>
          <w:rFonts w:ascii="Times New Roman" w:hAnsi="Times New Roman" w:cs="Times New Roman"/>
          <w:b/>
          <w:color w:val="FF0000"/>
          <w:sz w:val="24"/>
          <w:szCs w:val="24"/>
        </w:rPr>
        <w:t xml:space="preserve">  Doesn’t mean all types have to be regulated.</w:t>
      </w:r>
    </w:p>
    <w:p w:rsidR="009B4770" w:rsidRDefault="009B4770" w:rsidP="00883826">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Supported by</w:t>
      </w:r>
      <w:r w:rsidR="00062D72">
        <w:rPr>
          <w:rFonts w:ascii="Times New Roman" w:hAnsi="Times New Roman" w:cs="Times New Roman"/>
          <w:sz w:val="24"/>
          <w:szCs w:val="24"/>
        </w:rPr>
        <w:t>:</w:t>
      </w:r>
      <w:r>
        <w:rPr>
          <w:rFonts w:ascii="Times New Roman" w:hAnsi="Times New Roman" w:cs="Times New Roman"/>
          <w:sz w:val="24"/>
          <w:szCs w:val="24"/>
        </w:rPr>
        <w:t xml:space="preserve"> </w:t>
      </w:r>
      <w:r w:rsidR="00062D72">
        <w:rPr>
          <w:rFonts w:ascii="Times New Roman" w:hAnsi="Times New Roman" w:cs="Times New Roman"/>
          <w:sz w:val="24"/>
          <w:szCs w:val="24"/>
        </w:rPr>
        <w:t xml:space="preserve">AHA, EHRA, </w:t>
      </w:r>
      <w:r w:rsidR="00AD3149">
        <w:rPr>
          <w:rFonts w:ascii="Times New Roman" w:hAnsi="Times New Roman" w:cs="Times New Roman"/>
          <w:sz w:val="24"/>
          <w:szCs w:val="24"/>
        </w:rPr>
        <w:t xml:space="preserve">MITA, </w:t>
      </w:r>
      <w:r w:rsidR="00396F90">
        <w:rPr>
          <w:rFonts w:ascii="Times New Roman" w:hAnsi="Times New Roman" w:cs="Times New Roman"/>
          <w:sz w:val="24"/>
          <w:szCs w:val="24"/>
        </w:rPr>
        <w:t xml:space="preserve">athenahealth, </w:t>
      </w:r>
      <w:r w:rsidR="00062D72">
        <w:rPr>
          <w:rFonts w:ascii="Times New Roman" w:hAnsi="Times New Roman" w:cs="Times New Roman"/>
          <w:sz w:val="24"/>
          <w:szCs w:val="24"/>
        </w:rPr>
        <w:t>and generally by other commenters.</w:t>
      </w:r>
    </w:p>
    <w:p w:rsidR="009B4770" w:rsidRPr="00062D72" w:rsidRDefault="009B4770" w:rsidP="00883826">
      <w:pPr>
        <w:spacing w:after="0" w:line="240" w:lineRule="auto"/>
        <w:rPr>
          <w:rFonts w:ascii="Times New Roman" w:hAnsi="Times New Roman" w:cs="Times New Roman"/>
          <w:b/>
          <w:color w:val="FF0000"/>
          <w:sz w:val="8"/>
          <w:szCs w:val="8"/>
        </w:rPr>
      </w:pPr>
    </w:p>
    <w:p w:rsidR="00062D72" w:rsidRPr="00062D72" w:rsidRDefault="00883826" w:rsidP="00062D72">
      <w:pPr>
        <w:spacing w:after="0" w:line="240" w:lineRule="auto"/>
        <w:rPr>
          <w:rFonts w:ascii="Times New Roman" w:hAnsi="Times New Roman" w:cs="Times New Roman"/>
          <w:b/>
          <w:color w:val="FF0000"/>
          <w:sz w:val="24"/>
          <w:szCs w:val="24"/>
        </w:rPr>
      </w:pPr>
      <w:r w:rsidRPr="00062D72">
        <w:rPr>
          <w:rFonts w:ascii="Times New Roman" w:hAnsi="Times New Roman" w:cs="Times New Roman"/>
          <w:b/>
          <w:color w:val="FF0000"/>
          <w:sz w:val="24"/>
          <w:szCs w:val="24"/>
        </w:rPr>
        <w:t>BPC Report</w:t>
      </w:r>
      <w:r w:rsidR="00062D72">
        <w:rPr>
          <w:rFonts w:ascii="Times New Roman" w:hAnsi="Times New Roman" w:cs="Times New Roman"/>
          <w:b/>
          <w:color w:val="FF0000"/>
          <w:sz w:val="24"/>
          <w:szCs w:val="24"/>
        </w:rPr>
        <w:t xml:space="preserve"> </w:t>
      </w:r>
      <w:r w:rsidR="00062D72" w:rsidRPr="00062D72">
        <w:rPr>
          <w:rFonts w:ascii="Times New Roman" w:hAnsi="Times New Roman" w:cs="Times New Roman"/>
          <w:b/>
          <w:color w:val="FF0000"/>
          <w:sz w:val="24"/>
          <w:szCs w:val="24"/>
        </w:rPr>
        <w:t>(medical device software, administrative software, and clinical software)</w:t>
      </w:r>
    </w:p>
    <w:p w:rsidR="00883826" w:rsidRDefault="00883826" w:rsidP="00883826">
      <w:pPr>
        <w:spacing w:after="0" w:line="240" w:lineRule="auto"/>
        <w:rPr>
          <w:rFonts w:ascii="Times New Roman" w:hAnsi="Times New Roman" w:cs="Times New Roman"/>
          <w:sz w:val="24"/>
          <w:szCs w:val="24"/>
        </w:rPr>
      </w:pPr>
      <w:r>
        <w:rPr>
          <w:rFonts w:ascii="Times New Roman" w:hAnsi="Times New Roman" w:cs="Times New Roman"/>
          <w:sz w:val="24"/>
          <w:szCs w:val="24"/>
        </w:rPr>
        <w:t>Supported by</w:t>
      </w:r>
      <w:r w:rsidR="00062D72">
        <w:rPr>
          <w:rFonts w:ascii="Times New Roman" w:hAnsi="Times New Roman" w:cs="Times New Roman"/>
          <w:sz w:val="24"/>
          <w:szCs w:val="24"/>
        </w:rPr>
        <w:t>:</w:t>
      </w:r>
      <w:r>
        <w:rPr>
          <w:rFonts w:ascii="Times New Roman" w:hAnsi="Times New Roman" w:cs="Times New Roman"/>
          <w:sz w:val="24"/>
          <w:szCs w:val="24"/>
        </w:rPr>
        <w:t xml:space="preserve"> AMIA, </w:t>
      </w:r>
      <w:r w:rsidR="00062D72">
        <w:rPr>
          <w:rFonts w:ascii="Times New Roman" w:hAnsi="Times New Roman" w:cs="Times New Roman"/>
          <w:sz w:val="24"/>
          <w:szCs w:val="24"/>
        </w:rPr>
        <w:t>EHRA,</w:t>
      </w:r>
      <w:r w:rsidR="001818AE" w:rsidRPr="001818AE">
        <w:rPr>
          <w:rFonts w:ascii="Times New Roman" w:eastAsia="Times New Roman" w:hAnsi="Times New Roman" w:cs="Times New Roman"/>
          <w:color w:val="000000"/>
          <w:sz w:val="24"/>
          <w:szCs w:val="24"/>
        </w:rPr>
        <w:t xml:space="preserve"> </w:t>
      </w:r>
      <w:r w:rsidR="001818AE" w:rsidRPr="001142EC">
        <w:rPr>
          <w:rFonts w:ascii="Times New Roman" w:eastAsia="Times New Roman" w:hAnsi="Times New Roman" w:cs="Times New Roman"/>
          <w:color w:val="000000"/>
          <w:sz w:val="24"/>
          <w:szCs w:val="24"/>
        </w:rPr>
        <w:t>McKesson Corp.</w:t>
      </w:r>
      <w:r w:rsidR="001818AE">
        <w:rPr>
          <w:rFonts w:ascii="Times New Roman" w:eastAsia="Times New Roman" w:hAnsi="Times New Roman" w:cs="Times New Roman"/>
          <w:color w:val="000000"/>
          <w:sz w:val="24"/>
          <w:szCs w:val="24"/>
        </w:rPr>
        <w:t xml:space="preserve">, </w:t>
      </w:r>
      <w:r w:rsidR="00062D72" w:rsidRPr="001142EC">
        <w:rPr>
          <w:rFonts w:ascii="Times New Roman" w:eastAsia="Times New Roman" w:hAnsi="Times New Roman" w:cs="Times New Roman"/>
          <w:color w:val="000000"/>
          <w:sz w:val="24"/>
          <w:szCs w:val="24"/>
        </w:rPr>
        <w:t>Greenway Medical Technologies</w:t>
      </w:r>
      <w:r w:rsidR="00AD3149">
        <w:rPr>
          <w:rFonts w:ascii="Times New Roman" w:eastAsia="Times New Roman" w:hAnsi="Times New Roman" w:cs="Times New Roman"/>
          <w:color w:val="000000"/>
          <w:sz w:val="24"/>
          <w:szCs w:val="24"/>
        </w:rPr>
        <w:t xml:space="preserve">, </w:t>
      </w:r>
      <w:r w:rsidR="00396F90">
        <w:rPr>
          <w:rFonts w:ascii="Times New Roman" w:eastAsia="Times New Roman" w:hAnsi="Times New Roman" w:cs="Times New Roman"/>
          <w:color w:val="000000"/>
          <w:sz w:val="24"/>
          <w:szCs w:val="24"/>
        </w:rPr>
        <w:t>athenahealth,</w:t>
      </w:r>
      <w:r w:rsidR="0083357C">
        <w:rPr>
          <w:rFonts w:ascii="Times New Roman" w:eastAsia="Times New Roman" w:hAnsi="Times New Roman" w:cs="Times New Roman"/>
          <w:color w:val="000000"/>
          <w:sz w:val="24"/>
          <w:szCs w:val="24"/>
        </w:rPr>
        <w:t xml:space="preserve"> and</w:t>
      </w:r>
      <w:r w:rsidR="00396F90">
        <w:rPr>
          <w:rFonts w:ascii="Times New Roman" w:eastAsia="Times New Roman" w:hAnsi="Times New Roman" w:cs="Times New Roman"/>
          <w:color w:val="000000"/>
          <w:sz w:val="24"/>
          <w:szCs w:val="24"/>
        </w:rPr>
        <w:t xml:space="preserve"> </w:t>
      </w:r>
      <w:r w:rsidR="00AD3149">
        <w:rPr>
          <w:rFonts w:ascii="Times New Roman" w:eastAsia="Times New Roman" w:hAnsi="Times New Roman" w:cs="Times New Roman"/>
          <w:color w:val="000000"/>
          <w:sz w:val="24"/>
          <w:szCs w:val="24"/>
        </w:rPr>
        <w:t>MITA (not a listed BPC Report contributor)</w:t>
      </w:r>
      <w:r w:rsidR="00367437">
        <w:rPr>
          <w:rFonts w:ascii="Times New Roman" w:eastAsia="Times New Roman" w:hAnsi="Times New Roman" w:cs="Times New Roman"/>
          <w:color w:val="000000"/>
          <w:sz w:val="24"/>
          <w:szCs w:val="24"/>
        </w:rPr>
        <w:t>.</w:t>
      </w:r>
    </w:p>
    <w:p w:rsidR="00883826" w:rsidRPr="00883826" w:rsidRDefault="00883826" w:rsidP="00883826">
      <w:pPr>
        <w:spacing w:after="0" w:line="240" w:lineRule="auto"/>
        <w:rPr>
          <w:rFonts w:ascii="Times New Roman" w:eastAsia="Arial Unicode MS" w:hAnsi="Times New Roman" w:cs="Times New Roman"/>
          <w:b/>
          <w:color w:val="0000FF"/>
          <w:sz w:val="8"/>
          <w:szCs w:val="8"/>
        </w:rPr>
      </w:pPr>
    </w:p>
    <w:p w:rsidR="00747D8B" w:rsidRPr="001142EC" w:rsidRDefault="00747D8B" w:rsidP="00883826">
      <w:pPr>
        <w:spacing w:after="0" w:line="240" w:lineRule="auto"/>
        <w:rPr>
          <w:rFonts w:ascii="Times New Roman" w:eastAsia="Arial Unicode MS" w:hAnsi="Times New Roman" w:cs="Times New Roman"/>
          <w:b/>
          <w:color w:val="0000FF"/>
          <w:sz w:val="24"/>
          <w:szCs w:val="24"/>
        </w:rPr>
      </w:pPr>
      <w:r w:rsidRPr="001142EC">
        <w:rPr>
          <w:rFonts w:ascii="Times New Roman" w:eastAsia="Arial Unicode MS" w:hAnsi="Times New Roman" w:cs="Times New Roman"/>
          <w:b/>
          <w:color w:val="0000FF"/>
          <w:sz w:val="24"/>
          <w:szCs w:val="24"/>
        </w:rPr>
        <w:t>Codenomicon</w:t>
      </w:r>
    </w:p>
    <w:p w:rsidR="00490E57" w:rsidRPr="001142EC" w:rsidRDefault="000D5972" w:rsidP="001142EC">
      <w:pPr>
        <w:spacing w:after="0" w:line="240" w:lineRule="auto"/>
        <w:rPr>
          <w:rFonts w:ascii="Times New Roman" w:eastAsia="Arial Unicode MS" w:hAnsi="Times New Roman" w:cs="Times New Roman"/>
          <w:sz w:val="24"/>
          <w:szCs w:val="24"/>
        </w:rPr>
      </w:pPr>
      <w:r w:rsidRPr="001142EC">
        <w:rPr>
          <w:rFonts w:ascii="Times New Roman" w:eastAsia="Arial Unicode MS" w:hAnsi="Times New Roman" w:cs="Times New Roman"/>
          <w:sz w:val="24"/>
          <w:szCs w:val="24"/>
        </w:rPr>
        <w:t>Recommends addressing: a</w:t>
      </w:r>
      <w:r w:rsidR="00747D8B" w:rsidRPr="001142EC">
        <w:rPr>
          <w:rFonts w:ascii="Times New Roman" w:eastAsia="Arial Unicode MS" w:hAnsi="Times New Roman" w:cs="Times New Roman"/>
          <w:sz w:val="24"/>
          <w:szCs w:val="24"/>
        </w:rPr>
        <w:t>ll healthcare systems and devices which communicate over any communication channel (wired or wireless)</w:t>
      </w:r>
      <w:r w:rsidRPr="001142EC">
        <w:rPr>
          <w:rFonts w:ascii="Times New Roman" w:eastAsia="Arial Unicode MS" w:hAnsi="Times New Roman" w:cs="Times New Roman"/>
          <w:sz w:val="24"/>
          <w:szCs w:val="24"/>
        </w:rPr>
        <w:t>; t</w:t>
      </w:r>
      <w:r w:rsidR="00747D8B" w:rsidRPr="001142EC">
        <w:rPr>
          <w:rFonts w:ascii="Times New Roman" w:eastAsia="Arial Unicode MS" w:hAnsi="Times New Roman" w:cs="Times New Roman"/>
          <w:sz w:val="24"/>
          <w:szCs w:val="24"/>
        </w:rPr>
        <w:t>he methodologies used to evaluate vulnerabilities in the systems and devices from a functional and non-functional perspective</w:t>
      </w:r>
      <w:r w:rsidRPr="001142EC">
        <w:rPr>
          <w:rFonts w:ascii="Times New Roman" w:eastAsia="Arial Unicode MS" w:hAnsi="Times New Roman" w:cs="Times New Roman"/>
          <w:sz w:val="24"/>
          <w:szCs w:val="24"/>
        </w:rPr>
        <w:t>; t</w:t>
      </w:r>
      <w:r w:rsidR="00747D8B" w:rsidRPr="001142EC">
        <w:rPr>
          <w:rFonts w:ascii="Times New Roman" w:eastAsia="Arial Unicode MS" w:hAnsi="Times New Roman" w:cs="Times New Roman"/>
          <w:sz w:val="24"/>
          <w:szCs w:val="24"/>
        </w:rPr>
        <w:t>he qualifications of the personnel the manufacturers, integrators, and end users of systems and devices use to determine the vulnerabilities found in the systems and devices</w:t>
      </w:r>
      <w:r w:rsidRPr="001142EC">
        <w:rPr>
          <w:rFonts w:ascii="Times New Roman" w:eastAsia="Arial Unicode MS" w:hAnsi="Times New Roman" w:cs="Times New Roman"/>
          <w:sz w:val="24"/>
          <w:szCs w:val="24"/>
        </w:rPr>
        <w:t>; and t</w:t>
      </w:r>
      <w:r w:rsidR="00747D8B" w:rsidRPr="001142EC">
        <w:rPr>
          <w:rFonts w:ascii="Times New Roman" w:eastAsia="Arial Unicode MS" w:hAnsi="Times New Roman" w:cs="Times New Roman"/>
          <w:sz w:val="24"/>
          <w:szCs w:val="24"/>
        </w:rPr>
        <w:t>he qualifications of the personnel the manufacturers, integrators, and end users of systems and devices use to determine the design criteria for securing the systems and devices.</w:t>
      </w:r>
    </w:p>
    <w:p w:rsidR="00A908A4" w:rsidRPr="001142EC" w:rsidRDefault="00A908A4" w:rsidP="001142EC">
      <w:pPr>
        <w:spacing w:after="0" w:line="240" w:lineRule="auto"/>
        <w:rPr>
          <w:rFonts w:ascii="Times New Roman" w:eastAsia="Arial Unicode MS" w:hAnsi="Times New Roman" w:cs="Times New Roman"/>
          <w:sz w:val="8"/>
          <w:szCs w:val="8"/>
        </w:rPr>
      </w:pPr>
    </w:p>
    <w:p w:rsidR="00490E57" w:rsidRPr="001142EC" w:rsidRDefault="00A908A4" w:rsidP="001142EC">
      <w:pPr>
        <w:spacing w:after="0" w:line="240" w:lineRule="auto"/>
        <w:rPr>
          <w:rFonts w:ascii="Times New Roman" w:eastAsia="Arial Unicode MS" w:hAnsi="Times New Roman" w:cs="Times New Roman"/>
          <w:b/>
          <w:color w:val="0000FF"/>
          <w:sz w:val="24"/>
          <w:szCs w:val="24"/>
        </w:rPr>
      </w:pPr>
      <w:r w:rsidRPr="001142EC">
        <w:rPr>
          <w:rFonts w:ascii="Times New Roman" w:eastAsia="Arial Unicode MS" w:hAnsi="Times New Roman" w:cs="Times New Roman"/>
          <w:b/>
          <w:color w:val="0000FF"/>
          <w:sz w:val="24"/>
          <w:szCs w:val="24"/>
        </w:rPr>
        <w:t>Verizon</w:t>
      </w:r>
    </w:p>
    <w:p w:rsidR="00A908A4" w:rsidRPr="001142EC" w:rsidRDefault="00A908A4" w:rsidP="001142EC">
      <w:pPr>
        <w:pStyle w:val="ListParagraph"/>
        <w:numPr>
          <w:ilvl w:val="0"/>
          <w:numId w:val="22"/>
        </w:numPr>
        <w:autoSpaceDE w:val="0"/>
        <w:autoSpaceDN w:val="0"/>
        <w:adjustRightInd w:val="0"/>
        <w:spacing w:after="0" w:line="240" w:lineRule="auto"/>
        <w:rPr>
          <w:rFonts w:ascii="Times New Roman" w:eastAsia="Arial Unicode MS" w:hAnsi="Times New Roman" w:cs="Times New Roman"/>
          <w:sz w:val="24"/>
          <w:szCs w:val="24"/>
        </w:rPr>
      </w:pPr>
      <w:r w:rsidRPr="001142EC">
        <w:rPr>
          <w:rFonts w:ascii="Times New Roman" w:hAnsi="Times New Roman" w:cs="Times New Roman"/>
          <w:sz w:val="24"/>
          <w:szCs w:val="24"/>
        </w:rPr>
        <w:t>FDA should focus and narrow its interpretation of the types of products that fall within the</w:t>
      </w:r>
      <w:r w:rsidR="00EF24DB" w:rsidRPr="001142EC">
        <w:rPr>
          <w:rFonts w:ascii="Times New Roman" w:hAnsi="Times New Roman" w:cs="Times New Roman"/>
          <w:sz w:val="24"/>
          <w:szCs w:val="24"/>
        </w:rPr>
        <w:t xml:space="preserve"> </w:t>
      </w:r>
      <w:r w:rsidRPr="001142EC">
        <w:rPr>
          <w:rFonts w:ascii="Times New Roman" w:hAnsi="Times New Roman" w:cs="Times New Roman"/>
          <w:sz w:val="24"/>
          <w:szCs w:val="24"/>
        </w:rPr>
        <w:t>definition of medical devices by limiting regulation to products that diagnose or treat disease.</w:t>
      </w:r>
      <w:r w:rsidR="00EF24DB" w:rsidRPr="001142EC">
        <w:rPr>
          <w:rFonts w:ascii="Times New Roman" w:hAnsi="Times New Roman" w:cs="Times New Roman"/>
          <w:sz w:val="24"/>
          <w:szCs w:val="24"/>
        </w:rPr>
        <w:t xml:space="preserve"> </w:t>
      </w:r>
    </w:p>
    <w:p w:rsidR="00C96B1B" w:rsidRPr="001142EC" w:rsidRDefault="00EF24DB" w:rsidP="001142EC">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1142EC">
        <w:rPr>
          <w:rFonts w:ascii="Times New Roman" w:hAnsi="Times New Roman" w:cs="Times New Roman"/>
          <w:sz w:val="24"/>
          <w:szCs w:val="24"/>
        </w:rPr>
        <w:t xml:space="preserve">FDA </w:t>
      </w:r>
      <w:r w:rsidR="00A908A4" w:rsidRPr="001142EC">
        <w:rPr>
          <w:rFonts w:ascii="Times New Roman" w:hAnsi="Times New Roman" w:cs="Times New Roman"/>
          <w:sz w:val="24"/>
          <w:szCs w:val="24"/>
        </w:rPr>
        <w:t xml:space="preserve">should </w:t>
      </w:r>
      <w:r w:rsidR="00A908A4" w:rsidRPr="001142EC">
        <w:rPr>
          <w:rFonts w:ascii="Times New Roman" w:hAnsi="Times New Roman" w:cs="Times New Roman"/>
          <w:b/>
          <w:i/>
          <w:sz w:val="24"/>
          <w:szCs w:val="24"/>
        </w:rPr>
        <w:t>not</w:t>
      </w:r>
      <w:r w:rsidR="00A908A4" w:rsidRPr="001142EC">
        <w:rPr>
          <w:rFonts w:ascii="Times New Roman" w:hAnsi="Times New Roman" w:cs="Times New Roman"/>
          <w:sz w:val="24"/>
          <w:szCs w:val="24"/>
        </w:rPr>
        <w:t xml:space="preserve"> focus on products that "provide patient-specific medical device data</w:t>
      </w:r>
      <w:r w:rsidRPr="001142EC">
        <w:rPr>
          <w:rFonts w:ascii="Times New Roman" w:hAnsi="Times New Roman" w:cs="Times New Roman"/>
          <w:sz w:val="24"/>
          <w:szCs w:val="24"/>
        </w:rPr>
        <w:t xml:space="preserve"> </w:t>
      </w:r>
      <w:r w:rsidR="00A908A4" w:rsidRPr="001142EC">
        <w:rPr>
          <w:rFonts w:ascii="Times New Roman" w:hAnsi="Times New Roman" w:cs="Times New Roman"/>
          <w:sz w:val="24"/>
          <w:szCs w:val="24"/>
        </w:rPr>
        <w:t>especially</w:t>
      </w:r>
      <w:r w:rsidRPr="001142EC">
        <w:rPr>
          <w:rFonts w:ascii="Times New Roman" w:hAnsi="Times New Roman" w:cs="Times New Roman"/>
          <w:sz w:val="24"/>
          <w:szCs w:val="24"/>
        </w:rPr>
        <w:t xml:space="preserve"> </w:t>
      </w:r>
      <w:r w:rsidR="00A908A4" w:rsidRPr="001142EC">
        <w:rPr>
          <w:rFonts w:ascii="Times New Roman" w:hAnsi="Times New Roman" w:cs="Times New Roman"/>
          <w:sz w:val="24"/>
          <w:szCs w:val="24"/>
        </w:rPr>
        <w:t>when the patient-specific information is reviewed by a physician or other learned intermediary as</w:t>
      </w:r>
      <w:r w:rsidRPr="001142EC">
        <w:rPr>
          <w:rFonts w:ascii="Times New Roman" w:hAnsi="Times New Roman" w:cs="Times New Roman"/>
          <w:sz w:val="24"/>
          <w:szCs w:val="24"/>
        </w:rPr>
        <w:t xml:space="preserve"> </w:t>
      </w:r>
      <w:r w:rsidR="00A908A4" w:rsidRPr="001142EC">
        <w:rPr>
          <w:rFonts w:ascii="Times New Roman" w:hAnsi="Times New Roman" w:cs="Times New Roman"/>
          <w:sz w:val="24"/>
          <w:szCs w:val="24"/>
        </w:rPr>
        <w:t>only one of potentially many sources of information. Application of the medical device</w:t>
      </w:r>
      <w:r w:rsidRPr="001142EC">
        <w:rPr>
          <w:rFonts w:ascii="Times New Roman" w:hAnsi="Times New Roman" w:cs="Times New Roman"/>
          <w:sz w:val="24"/>
          <w:szCs w:val="24"/>
        </w:rPr>
        <w:t xml:space="preserve"> </w:t>
      </w:r>
      <w:r w:rsidR="00A908A4" w:rsidRPr="001142EC">
        <w:rPr>
          <w:rFonts w:ascii="Times New Roman" w:hAnsi="Times New Roman" w:cs="Times New Roman"/>
          <w:sz w:val="24"/>
          <w:szCs w:val="24"/>
        </w:rPr>
        <w:t>definition to these products should be as narrow as possible for health care devices that present</w:t>
      </w:r>
      <w:r w:rsidRPr="001142EC">
        <w:rPr>
          <w:rFonts w:ascii="Times New Roman" w:hAnsi="Times New Roman" w:cs="Times New Roman"/>
          <w:sz w:val="24"/>
          <w:szCs w:val="24"/>
        </w:rPr>
        <w:t xml:space="preserve"> </w:t>
      </w:r>
      <w:r w:rsidR="00A908A4" w:rsidRPr="001142EC">
        <w:rPr>
          <w:rFonts w:ascii="Times New Roman" w:hAnsi="Times New Roman" w:cs="Times New Roman"/>
          <w:sz w:val="24"/>
          <w:szCs w:val="24"/>
        </w:rPr>
        <w:t>low or minimal risk of harm to users.</w:t>
      </w:r>
    </w:p>
    <w:p w:rsidR="004B419C" w:rsidRPr="001142EC" w:rsidRDefault="004B419C" w:rsidP="001142EC">
      <w:pPr>
        <w:spacing w:after="0" w:line="240" w:lineRule="auto"/>
        <w:rPr>
          <w:rFonts w:ascii="Times New Roman" w:hAnsi="Times New Roman" w:cs="Times New Roman"/>
          <w:sz w:val="8"/>
          <w:szCs w:val="8"/>
        </w:rPr>
      </w:pPr>
    </w:p>
    <w:p w:rsidR="00C96B1B" w:rsidRPr="001142EC" w:rsidRDefault="00C96B1B" w:rsidP="001142EC">
      <w:pPr>
        <w:spacing w:after="0" w:line="240" w:lineRule="auto"/>
        <w:rPr>
          <w:rFonts w:ascii="Times New Roman" w:hAnsi="Times New Roman" w:cs="Times New Roman"/>
          <w:b/>
          <w:color w:val="0000FF"/>
          <w:sz w:val="24"/>
          <w:szCs w:val="24"/>
        </w:rPr>
      </w:pPr>
      <w:r w:rsidRPr="001142EC">
        <w:rPr>
          <w:rFonts w:ascii="Times New Roman" w:hAnsi="Times New Roman" w:cs="Times New Roman"/>
          <w:b/>
          <w:color w:val="0000FF"/>
          <w:sz w:val="24"/>
          <w:szCs w:val="24"/>
        </w:rPr>
        <w:t>Pharmacy e-HIT Collaborative</w:t>
      </w:r>
    </w:p>
    <w:p w:rsidR="00C96B1B" w:rsidRPr="001142EC" w:rsidRDefault="00E57131" w:rsidP="001142EC">
      <w:pPr>
        <w:spacing w:after="0" w:line="240" w:lineRule="auto"/>
        <w:rPr>
          <w:rFonts w:ascii="Times New Roman" w:hAnsi="Times New Roman" w:cs="Times New Roman"/>
          <w:sz w:val="24"/>
          <w:szCs w:val="24"/>
        </w:rPr>
      </w:pPr>
      <w:r w:rsidRPr="001142EC">
        <w:rPr>
          <w:rFonts w:ascii="Times New Roman" w:hAnsi="Times New Roman" w:cs="Times New Roman"/>
          <w:sz w:val="24"/>
          <w:szCs w:val="24"/>
        </w:rPr>
        <w:t>Mobile medical devices and mobile medical apps</w:t>
      </w:r>
    </w:p>
    <w:p w:rsidR="001142EC" w:rsidRPr="001F65D6" w:rsidRDefault="001142EC" w:rsidP="001142EC">
      <w:pPr>
        <w:spacing w:after="0" w:line="240" w:lineRule="auto"/>
        <w:rPr>
          <w:rFonts w:ascii="Times New Roman" w:hAnsi="Times New Roman" w:cs="Times New Roman"/>
          <w:sz w:val="8"/>
          <w:szCs w:val="8"/>
        </w:rPr>
      </w:pPr>
    </w:p>
    <w:p w:rsidR="001142EC" w:rsidRPr="001142EC" w:rsidRDefault="006B6B59" w:rsidP="001142EC">
      <w:pPr>
        <w:spacing w:after="0" w:line="240" w:lineRule="auto"/>
        <w:rPr>
          <w:rFonts w:ascii="Times New Roman" w:hAnsi="Times New Roman" w:cs="Times New Roman"/>
          <w:b/>
          <w:color w:val="0000FF"/>
          <w:sz w:val="24"/>
          <w:szCs w:val="24"/>
        </w:rPr>
      </w:pPr>
      <w:r w:rsidRPr="001142EC">
        <w:rPr>
          <w:rFonts w:ascii="Times New Roman" w:hAnsi="Times New Roman" w:cs="Times New Roman"/>
          <w:b/>
          <w:color w:val="0000FF"/>
          <w:sz w:val="24"/>
          <w:szCs w:val="24"/>
        </w:rPr>
        <w:t>AMIA</w:t>
      </w:r>
    </w:p>
    <w:p w:rsidR="001142EC" w:rsidRPr="00C27167" w:rsidRDefault="001142EC" w:rsidP="001142EC">
      <w:pPr>
        <w:pStyle w:val="ListParagraph"/>
        <w:numPr>
          <w:ilvl w:val="0"/>
          <w:numId w:val="23"/>
        </w:numPr>
        <w:spacing w:after="0" w:line="240" w:lineRule="auto"/>
        <w:rPr>
          <w:rFonts w:ascii="Times New Roman" w:hAnsi="Times New Roman" w:cs="Times New Roman"/>
          <w:sz w:val="24"/>
          <w:szCs w:val="24"/>
        </w:rPr>
      </w:pPr>
      <w:r w:rsidRPr="00C27167">
        <w:rPr>
          <w:rFonts w:ascii="Times New Roman" w:hAnsi="Times New Roman" w:cs="Times New Roman"/>
          <w:sz w:val="24"/>
          <w:szCs w:val="24"/>
        </w:rPr>
        <w:t xml:space="preserve">Recommends adopting </w:t>
      </w:r>
      <w:r w:rsidR="006B6B59" w:rsidRPr="00C27167">
        <w:rPr>
          <w:rFonts w:ascii="Times New Roman" w:hAnsi="Times New Roman" w:cs="Times New Roman"/>
          <w:sz w:val="24"/>
          <w:szCs w:val="24"/>
        </w:rPr>
        <w:t xml:space="preserve">consistent terminology for terms such as “electronic health records (EHRs)”, “personal health records (PHRs)”, “mobile apps”, “telehealth”, “telemedicine”, “m-health”, “patient-managed tools” (e.g., PatientsLikeMe) and other forms of health IT. </w:t>
      </w:r>
    </w:p>
    <w:p w:rsidR="006B6B59" w:rsidRDefault="000F6F46" w:rsidP="001142EC">
      <w:pPr>
        <w:pStyle w:val="ListParagraph"/>
        <w:numPr>
          <w:ilvl w:val="0"/>
          <w:numId w:val="23"/>
        </w:numPr>
        <w:spacing w:after="0" w:line="240" w:lineRule="auto"/>
        <w:rPr>
          <w:rFonts w:ascii="Times New Roman" w:hAnsi="Times New Roman" w:cs="Times New Roman"/>
          <w:sz w:val="24"/>
          <w:szCs w:val="24"/>
        </w:rPr>
      </w:pPr>
      <w:r w:rsidRPr="00C27167">
        <w:rPr>
          <w:rFonts w:ascii="Times New Roman" w:hAnsi="Times New Roman" w:cs="Times New Roman"/>
          <w:sz w:val="24"/>
          <w:szCs w:val="24"/>
        </w:rPr>
        <w:t>D</w:t>
      </w:r>
      <w:r w:rsidR="006B6B59" w:rsidRPr="00C27167">
        <w:rPr>
          <w:rFonts w:ascii="Times New Roman" w:hAnsi="Times New Roman" w:cs="Times New Roman"/>
          <w:sz w:val="24"/>
          <w:szCs w:val="24"/>
        </w:rPr>
        <w:t>efin</w:t>
      </w:r>
      <w:r w:rsidRPr="00C27167">
        <w:rPr>
          <w:rFonts w:ascii="Times New Roman" w:hAnsi="Times New Roman" w:cs="Times New Roman"/>
          <w:sz w:val="24"/>
          <w:szCs w:val="24"/>
        </w:rPr>
        <w:t>e</w:t>
      </w:r>
      <w:r w:rsidR="006B6B59" w:rsidRPr="00C27167">
        <w:rPr>
          <w:rFonts w:ascii="Times New Roman" w:hAnsi="Times New Roman" w:cs="Times New Roman"/>
          <w:sz w:val="24"/>
          <w:szCs w:val="24"/>
        </w:rPr>
        <w:t xml:space="preserve"> clinical decision support (CDS) software </w:t>
      </w:r>
      <w:r w:rsidR="00C27167" w:rsidRPr="00C27167">
        <w:rPr>
          <w:rFonts w:ascii="Times New Roman" w:hAnsi="Times New Roman" w:cs="Times New Roman"/>
          <w:sz w:val="24"/>
          <w:szCs w:val="24"/>
        </w:rPr>
        <w:t xml:space="preserve">to support </w:t>
      </w:r>
      <w:r w:rsidR="006B6B59" w:rsidRPr="00C27167">
        <w:rPr>
          <w:rFonts w:ascii="Times New Roman" w:hAnsi="Times New Roman" w:cs="Times New Roman"/>
          <w:sz w:val="24"/>
          <w:szCs w:val="24"/>
        </w:rPr>
        <w:t>efforts to “identify and distinguish what types of software should potentially be regulated as a medical device, and which software should not.</w:t>
      </w:r>
      <w:r w:rsidR="00C27167" w:rsidRPr="00C27167">
        <w:rPr>
          <w:rFonts w:ascii="Times New Roman" w:hAnsi="Times New Roman" w:cs="Times New Roman"/>
          <w:sz w:val="24"/>
          <w:szCs w:val="24"/>
        </w:rPr>
        <w:t xml:space="preserve"> See AMIA </w:t>
      </w:r>
      <w:r w:rsidR="006B6B59" w:rsidRPr="00C27167">
        <w:rPr>
          <w:rFonts w:ascii="Times New Roman" w:hAnsi="Times New Roman" w:cs="Times New Roman"/>
          <w:sz w:val="24"/>
          <w:szCs w:val="24"/>
        </w:rPr>
        <w:t>2006 “Roadmap”</w:t>
      </w:r>
      <w:r w:rsidR="00C27167" w:rsidRPr="00C27167">
        <w:rPr>
          <w:rFonts w:ascii="Times New Roman" w:hAnsi="Times New Roman" w:cs="Times New Roman"/>
          <w:sz w:val="24"/>
          <w:szCs w:val="24"/>
        </w:rPr>
        <w:t xml:space="preserve"> </w:t>
      </w:r>
      <w:r w:rsidR="006B6B59" w:rsidRPr="00C27167">
        <w:rPr>
          <w:rFonts w:ascii="Times New Roman" w:hAnsi="Times New Roman" w:cs="Times New Roman"/>
          <w:sz w:val="24"/>
          <w:szCs w:val="24"/>
        </w:rPr>
        <w:t xml:space="preserve">produced with funding from ONC </w:t>
      </w:r>
      <w:r w:rsidR="006B6B59" w:rsidRPr="00C27167">
        <w:rPr>
          <w:rFonts w:ascii="Times New Roman" w:hAnsi="Times New Roman" w:cs="Times New Roman"/>
          <w:sz w:val="24"/>
          <w:szCs w:val="24"/>
        </w:rPr>
        <w:lastRenderedPageBreak/>
        <w:t>and AHRQ</w:t>
      </w:r>
      <w:r w:rsidR="00C27167" w:rsidRPr="00C27167">
        <w:rPr>
          <w:rFonts w:ascii="Times New Roman" w:hAnsi="Times New Roman" w:cs="Times New Roman"/>
          <w:sz w:val="24"/>
          <w:szCs w:val="24"/>
        </w:rPr>
        <w:t>.  AMIA</w:t>
      </w:r>
      <w:r w:rsidR="006B6B59" w:rsidRPr="00C27167">
        <w:rPr>
          <w:rFonts w:ascii="Times New Roman" w:hAnsi="Times New Roman" w:cs="Times New Roman"/>
          <w:sz w:val="24"/>
          <w:szCs w:val="24"/>
        </w:rPr>
        <w:t xml:space="preserve"> consider CDS software to be any application which brings relevant clinical data and knowledge together to improve clinical decision making by either care providers or patients. </w:t>
      </w:r>
    </w:p>
    <w:p w:rsidR="00062D72" w:rsidRPr="00C27167" w:rsidRDefault="00062D72" w:rsidP="00062D72">
      <w:pPr>
        <w:pStyle w:val="ListParagraph"/>
        <w:numPr>
          <w:ilvl w:val="0"/>
          <w:numId w:val="23"/>
        </w:numPr>
        <w:spacing w:after="0" w:line="240" w:lineRule="auto"/>
        <w:rPr>
          <w:rFonts w:ascii="Times New Roman" w:hAnsi="Times New Roman" w:cs="Times New Roman"/>
          <w:sz w:val="24"/>
          <w:szCs w:val="24"/>
        </w:rPr>
      </w:pPr>
      <w:r w:rsidRPr="00C27167">
        <w:rPr>
          <w:rFonts w:ascii="Times New Roman" w:hAnsi="Times New Roman" w:cs="Times New Roman"/>
          <w:sz w:val="24"/>
          <w:szCs w:val="24"/>
        </w:rPr>
        <w:t>HHS should consider distinctions between mobile apps that stand alone from those that allow access to larger systems, such as EHRs or health information exchanges (HIEs).</w:t>
      </w:r>
    </w:p>
    <w:p w:rsidR="000F4C69" w:rsidRDefault="00883826" w:rsidP="000F4C6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Recommends</w:t>
      </w:r>
      <w:r w:rsidRPr="001142EC">
        <w:rPr>
          <w:rFonts w:ascii="Times New Roman" w:hAnsi="Times New Roman" w:cs="Times New Roman"/>
          <w:sz w:val="24"/>
          <w:szCs w:val="24"/>
        </w:rPr>
        <w:t xml:space="preserve"> that consumer-oriented health IT devices and applications (such as those which do not provide data directly to the individual’s EHR) should not be directly regulated.</w:t>
      </w:r>
    </w:p>
    <w:p w:rsidR="00883826" w:rsidRPr="00DC33ED" w:rsidRDefault="00883826" w:rsidP="00DC33ED">
      <w:pPr>
        <w:pStyle w:val="ListParagraph"/>
        <w:numPr>
          <w:ilvl w:val="0"/>
          <w:numId w:val="23"/>
        </w:numPr>
        <w:spacing w:after="0" w:line="240" w:lineRule="auto"/>
        <w:rPr>
          <w:rFonts w:ascii="Times New Roman" w:hAnsi="Times New Roman" w:cs="Times New Roman"/>
          <w:sz w:val="24"/>
          <w:szCs w:val="24"/>
        </w:rPr>
      </w:pPr>
      <w:r w:rsidRPr="00DC33ED">
        <w:rPr>
          <w:rFonts w:ascii="Times New Roman" w:hAnsi="Times New Roman" w:cs="Times New Roman"/>
          <w:sz w:val="24"/>
          <w:szCs w:val="24"/>
        </w:rPr>
        <w:t>Recommends establishing use cases</w:t>
      </w:r>
      <w:r w:rsidR="000F4C69" w:rsidRPr="00DC33ED">
        <w:rPr>
          <w:rFonts w:ascii="Times New Roman" w:hAnsi="Times New Roman" w:cs="Times New Roman"/>
          <w:sz w:val="24"/>
          <w:szCs w:val="24"/>
        </w:rPr>
        <w:t xml:space="preserve"> (articulation of use cases will facilitate the development and validation of standardized performance measures for assessing the incidence of adverse events and medical errors.)</w:t>
      </w:r>
    </w:p>
    <w:p w:rsidR="00883826" w:rsidRPr="00062D72" w:rsidRDefault="00883826" w:rsidP="00883826">
      <w:pPr>
        <w:spacing w:after="0" w:line="240" w:lineRule="auto"/>
        <w:rPr>
          <w:rFonts w:ascii="Times New Roman" w:hAnsi="Times New Roman" w:cs="Times New Roman"/>
          <w:sz w:val="8"/>
          <w:szCs w:val="8"/>
        </w:rPr>
      </w:pPr>
    </w:p>
    <w:p w:rsidR="003938FF" w:rsidRPr="00062D72" w:rsidRDefault="003938FF" w:rsidP="001142EC">
      <w:pPr>
        <w:spacing w:after="0" w:line="240" w:lineRule="auto"/>
        <w:rPr>
          <w:rFonts w:ascii="Times New Roman" w:eastAsia="Arial Unicode MS" w:hAnsi="Times New Roman" w:cs="Times New Roman"/>
          <w:b/>
          <w:color w:val="0000FF"/>
          <w:sz w:val="24"/>
          <w:szCs w:val="24"/>
        </w:rPr>
      </w:pPr>
      <w:r w:rsidRPr="00062D72">
        <w:rPr>
          <w:rFonts w:ascii="Times New Roman" w:eastAsia="Arial Unicode MS" w:hAnsi="Times New Roman" w:cs="Times New Roman"/>
          <w:b/>
          <w:color w:val="0000FF"/>
          <w:sz w:val="24"/>
          <w:szCs w:val="24"/>
        </w:rPr>
        <w:t>AdvaMed</w:t>
      </w:r>
    </w:p>
    <w:p w:rsidR="003938FF" w:rsidRPr="001142EC" w:rsidRDefault="003938FF" w:rsidP="001142EC">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1142EC">
        <w:rPr>
          <w:rFonts w:ascii="Times New Roman" w:hAnsi="Times New Roman" w:cs="Times New Roman"/>
          <w:color w:val="000000"/>
          <w:sz w:val="24"/>
          <w:szCs w:val="24"/>
        </w:rPr>
        <w:t>Regulation of Health IT (which encompasses software) should be platform agnostic</w:t>
      </w:r>
      <w:r w:rsidR="00396F90">
        <w:rPr>
          <w:rFonts w:ascii="Times New Roman" w:hAnsi="Times New Roman" w:cs="Times New Roman"/>
          <w:color w:val="000000"/>
          <w:sz w:val="24"/>
          <w:szCs w:val="24"/>
        </w:rPr>
        <w:t>.</w:t>
      </w:r>
    </w:p>
    <w:p w:rsidR="003938FF" w:rsidRPr="001142EC" w:rsidRDefault="003938FF" w:rsidP="001142EC">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1142EC">
        <w:rPr>
          <w:rFonts w:ascii="Times New Roman" w:hAnsi="Times New Roman" w:cs="Times New Roman"/>
          <w:color w:val="000000"/>
          <w:sz w:val="24"/>
          <w:szCs w:val="24"/>
        </w:rPr>
        <w:t xml:space="preserve">Health IT should be handled similarly to other FDA-regulated medical devices. If it meets that definition, it should be regulated using the same risk classification and safety and efficacy schema as any other medical device. </w:t>
      </w:r>
    </w:p>
    <w:p w:rsidR="00001E96" w:rsidRPr="00AD3149" w:rsidRDefault="00001E96" w:rsidP="001142EC">
      <w:pPr>
        <w:spacing w:after="0" w:line="240" w:lineRule="auto"/>
        <w:rPr>
          <w:rFonts w:ascii="Times New Roman" w:eastAsia="Times New Roman" w:hAnsi="Times New Roman" w:cs="Times New Roman"/>
          <w:color w:val="000000"/>
          <w:sz w:val="8"/>
          <w:szCs w:val="8"/>
        </w:rPr>
      </w:pPr>
    </w:p>
    <w:p w:rsidR="002713AE" w:rsidRPr="00AD3149" w:rsidRDefault="002713AE" w:rsidP="001142EC">
      <w:pPr>
        <w:spacing w:after="0" w:line="240" w:lineRule="auto"/>
        <w:rPr>
          <w:rFonts w:ascii="Times New Roman" w:hAnsi="Times New Roman" w:cs="Times New Roman"/>
          <w:b/>
          <w:color w:val="0000FF"/>
          <w:sz w:val="24"/>
          <w:szCs w:val="24"/>
        </w:rPr>
      </w:pPr>
      <w:r w:rsidRPr="00AD3149">
        <w:rPr>
          <w:rFonts w:ascii="Times New Roman" w:hAnsi="Times New Roman" w:cs="Times New Roman"/>
          <w:b/>
          <w:color w:val="0000FF"/>
          <w:sz w:val="24"/>
          <w:szCs w:val="24"/>
        </w:rPr>
        <w:t xml:space="preserve">MITA </w:t>
      </w:r>
    </w:p>
    <w:p w:rsidR="001179E1" w:rsidRPr="00803D41" w:rsidRDefault="00AD3149" w:rsidP="00803D41">
      <w:pPr>
        <w:autoSpaceDE w:val="0"/>
        <w:autoSpaceDN w:val="0"/>
        <w:adjustRightInd w:val="0"/>
        <w:spacing w:after="0" w:line="240" w:lineRule="auto"/>
        <w:rPr>
          <w:rFonts w:ascii="Times New Roman" w:hAnsi="Times New Roman" w:cs="Times New Roman"/>
          <w:sz w:val="24"/>
          <w:szCs w:val="24"/>
        </w:rPr>
      </w:pPr>
      <w:r w:rsidRPr="00803D41">
        <w:rPr>
          <w:rFonts w:ascii="Times New Roman" w:hAnsi="Times New Roman" w:cs="Times New Roman"/>
          <w:color w:val="000000"/>
          <w:sz w:val="24"/>
          <w:szCs w:val="24"/>
        </w:rPr>
        <w:t>P</w:t>
      </w:r>
      <w:r w:rsidR="001179E1" w:rsidRPr="00803D41">
        <w:rPr>
          <w:rFonts w:ascii="Times New Roman" w:hAnsi="Times New Roman" w:cs="Times New Roman"/>
          <w:color w:val="000000"/>
          <w:sz w:val="24"/>
          <w:szCs w:val="24"/>
        </w:rPr>
        <w:t xml:space="preserve">roposes the definition of HIT as follows: </w:t>
      </w:r>
      <w:r w:rsidR="00396F90" w:rsidRPr="00803D41">
        <w:rPr>
          <w:rFonts w:ascii="Times New Roman" w:hAnsi="Times New Roman" w:cs="Times New Roman"/>
          <w:color w:val="000000"/>
          <w:sz w:val="24"/>
          <w:szCs w:val="24"/>
        </w:rPr>
        <w:t>“</w:t>
      </w:r>
      <w:r w:rsidR="001179E1" w:rsidRPr="00803D41">
        <w:rPr>
          <w:rFonts w:ascii="Times New Roman" w:hAnsi="Times New Roman" w:cs="Times New Roman"/>
          <w:i/>
          <w:iCs/>
          <w:color w:val="000000"/>
          <w:sz w:val="24"/>
          <w:szCs w:val="24"/>
        </w:rPr>
        <w:t>Health Information Technology (HIT) is software and its hardware and process dependencies used in the healthcare sector that have an impact on the health and healthcare of its subject(s). Dependencies include the network and end user equipment, and process refers to the elements such as the use, configuration, and customization</w:t>
      </w:r>
      <w:r w:rsidR="00396F90" w:rsidRPr="00803D41">
        <w:rPr>
          <w:rFonts w:ascii="Times New Roman" w:hAnsi="Times New Roman" w:cs="Times New Roman"/>
          <w:i/>
          <w:iCs/>
          <w:color w:val="000000"/>
          <w:sz w:val="24"/>
          <w:szCs w:val="24"/>
        </w:rPr>
        <w:t>.”</w:t>
      </w:r>
    </w:p>
    <w:p w:rsidR="00286BE8" w:rsidRPr="00396F90" w:rsidRDefault="00286BE8" w:rsidP="001142EC">
      <w:pPr>
        <w:spacing w:after="0" w:line="240" w:lineRule="auto"/>
        <w:rPr>
          <w:rFonts w:ascii="Times New Roman" w:eastAsia="Times New Roman" w:hAnsi="Times New Roman" w:cs="Times New Roman"/>
          <w:color w:val="000000"/>
          <w:sz w:val="8"/>
          <w:szCs w:val="8"/>
        </w:rPr>
      </w:pPr>
    </w:p>
    <w:p w:rsidR="004A39C6" w:rsidRPr="00396F90" w:rsidRDefault="00FE7488" w:rsidP="001142EC">
      <w:pPr>
        <w:spacing w:after="0" w:line="240" w:lineRule="auto"/>
        <w:rPr>
          <w:rFonts w:ascii="Times New Roman" w:hAnsi="Times New Roman" w:cs="Times New Roman"/>
          <w:b/>
          <w:color w:val="0000FF"/>
          <w:sz w:val="24"/>
          <w:szCs w:val="24"/>
        </w:rPr>
      </w:pPr>
      <w:r w:rsidRPr="00396F90">
        <w:rPr>
          <w:rFonts w:ascii="Times New Roman" w:hAnsi="Times New Roman" w:cs="Times New Roman"/>
          <w:b/>
          <w:color w:val="0000FF"/>
          <w:sz w:val="24"/>
          <w:szCs w:val="24"/>
        </w:rPr>
        <w:t>athenahealth</w:t>
      </w:r>
    </w:p>
    <w:p w:rsidR="003845D0" w:rsidRPr="001142EC" w:rsidRDefault="003845D0" w:rsidP="001142EC">
      <w:pPr>
        <w:pStyle w:val="Default"/>
        <w:numPr>
          <w:ilvl w:val="0"/>
          <w:numId w:val="6"/>
        </w:numPr>
        <w:rPr>
          <w:rFonts w:ascii="Times New Roman" w:hAnsi="Times New Roman" w:cs="Times New Roman"/>
        </w:rPr>
      </w:pPr>
      <w:r w:rsidRPr="001142EC">
        <w:rPr>
          <w:rFonts w:ascii="Times New Roman" w:hAnsi="Times New Roman" w:cs="Times New Roman"/>
        </w:rPr>
        <w:t>The formerly-reasonable distinction between “mobile” information technology and “other” is more a fiction with every passing day. Any regulatory regime that seeks to regulate “mobile” separately from or differently than other forms of information technology will be obsolete soon after (if not before) promulgation</w:t>
      </w:r>
      <w:r w:rsidR="00396F90">
        <w:rPr>
          <w:rFonts w:ascii="Times New Roman" w:hAnsi="Times New Roman" w:cs="Times New Roman"/>
        </w:rPr>
        <w:t>.</w:t>
      </w:r>
      <w:r w:rsidRPr="001142EC">
        <w:rPr>
          <w:rFonts w:ascii="Times New Roman" w:hAnsi="Times New Roman" w:cs="Times New Roman"/>
        </w:rPr>
        <w:t xml:space="preserve"> </w:t>
      </w:r>
    </w:p>
    <w:p w:rsidR="00CA371B" w:rsidRPr="001142EC" w:rsidRDefault="00CA371B" w:rsidP="001142EC">
      <w:pPr>
        <w:pStyle w:val="Default"/>
        <w:numPr>
          <w:ilvl w:val="0"/>
          <w:numId w:val="6"/>
        </w:numPr>
        <w:rPr>
          <w:rFonts w:ascii="Times New Roman" w:hAnsi="Times New Roman" w:cs="Times New Roman"/>
        </w:rPr>
      </w:pPr>
      <w:r w:rsidRPr="001142EC">
        <w:rPr>
          <w:rFonts w:ascii="Times New Roman" w:hAnsi="Times New Roman" w:cs="Times New Roman"/>
        </w:rPr>
        <w:t xml:space="preserve">Avoid prescriptions based on current technology, or even on assumptions about where innovation will take health IT next.  Focus on what the technology </w:t>
      </w:r>
      <w:r w:rsidRPr="001142EC">
        <w:rPr>
          <w:rFonts w:ascii="Times New Roman" w:hAnsi="Times New Roman" w:cs="Times New Roman"/>
          <w:i/>
          <w:iCs/>
        </w:rPr>
        <w:t>does</w:t>
      </w:r>
      <w:r w:rsidRPr="001142EC">
        <w:rPr>
          <w:rFonts w:ascii="Times New Roman" w:hAnsi="Times New Roman" w:cs="Times New Roman"/>
        </w:rPr>
        <w:t xml:space="preserve">, rather than on current conceptions of what the technology </w:t>
      </w:r>
      <w:r w:rsidRPr="001142EC">
        <w:rPr>
          <w:rFonts w:ascii="Times New Roman" w:hAnsi="Times New Roman" w:cs="Times New Roman"/>
          <w:i/>
          <w:iCs/>
        </w:rPr>
        <w:t xml:space="preserve">is </w:t>
      </w:r>
      <w:r w:rsidRPr="001142EC">
        <w:rPr>
          <w:rFonts w:ascii="Times New Roman" w:hAnsi="Times New Roman" w:cs="Times New Roman"/>
        </w:rPr>
        <w:t>(</w:t>
      </w:r>
      <w:r w:rsidRPr="001142EC">
        <w:rPr>
          <w:rFonts w:ascii="Times New Roman" w:hAnsi="Times New Roman" w:cs="Times New Roman"/>
          <w:i/>
          <w:iCs/>
        </w:rPr>
        <w:t>e.g</w:t>
      </w:r>
      <w:r w:rsidRPr="001142EC">
        <w:rPr>
          <w:rFonts w:ascii="Times New Roman" w:hAnsi="Times New Roman" w:cs="Times New Roman"/>
        </w:rPr>
        <w:t xml:space="preserve">., mobile, static, cloud-based, etc.). </w:t>
      </w:r>
    </w:p>
    <w:p w:rsidR="003845D0" w:rsidRPr="00396F90" w:rsidRDefault="003845D0" w:rsidP="00396F90">
      <w:pPr>
        <w:pStyle w:val="ListParagraph"/>
        <w:spacing w:after="0" w:line="240" w:lineRule="auto"/>
        <w:ind w:left="360"/>
        <w:rPr>
          <w:rFonts w:ascii="Times New Roman" w:hAnsi="Times New Roman" w:cs="Times New Roman"/>
          <w:sz w:val="8"/>
          <w:szCs w:val="8"/>
        </w:rPr>
      </w:pPr>
    </w:p>
    <w:p w:rsidR="004A39C6" w:rsidRPr="00396F90" w:rsidRDefault="004A39C6" w:rsidP="001142EC">
      <w:pPr>
        <w:spacing w:after="0" w:line="240" w:lineRule="auto"/>
        <w:rPr>
          <w:rFonts w:ascii="Times New Roman" w:hAnsi="Times New Roman" w:cs="Times New Roman"/>
          <w:b/>
          <w:color w:val="0000FF"/>
          <w:sz w:val="24"/>
          <w:szCs w:val="24"/>
        </w:rPr>
      </w:pPr>
      <w:r w:rsidRPr="00396F90">
        <w:rPr>
          <w:rFonts w:ascii="Times New Roman" w:hAnsi="Times New Roman" w:cs="Times New Roman"/>
          <w:b/>
          <w:color w:val="0000FF"/>
          <w:sz w:val="24"/>
          <w:szCs w:val="24"/>
        </w:rPr>
        <w:t>PhRMA</w:t>
      </w:r>
    </w:p>
    <w:p w:rsidR="004A39C6" w:rsidRPr="001142EC" w:rsidRDefault="00396F90" w:rsidP="001142EC">
      <w:pPr>
        <w:spacing w:after="0" w:line="240" w:lineRule="auto"/>
        <w:rPr>
          <w:rFonts w:ascii="Times New Roman" w:hAnsi="Times New Roman" w:cs="Times New Roman"/>
          <w:sz w:val="24"/>
          <w:szCs w:val="24"/>
        </w:rPr>
      </w:pPr>
      <w:r>
        <w:rPr>
          <w:rFonts w:ascii="Times New Roman" w:hAnsi="Times New Roman" w:cs="Times New Roman"/>
          <w:sz w:val="24"/>
          <w:szCs w:val="24"/>
        </w:rPr>
        <w:t>Prove a c</w:t>
      </w:r>
      <w:r w:rsidR="004A39C6" w:rsidRPr="001142EC">
        <w:rPr>
          <w:rFonts w:ascii="Times New Roman" w:hAnsi="Times New Roman" w:cs="Times New Roman"/>
          <w:sz w:val="24"/>
          <w:szCs w:val="24"/>
        </w:rPr>
        <w:t>lear definition of type</w:t>
      </w:r>
      <w:r>
        <w:rPr>
          <w:rFonts w:ascii="Times New Roman" w:hAnsi="Times New Roman" w:cs="Times New Roman"/>
          <w:sz w:val="24"/>
          <w:szCs w:val="24"/>
        </w:rPr>
        <w:t>s</w:t>
      </w:r>
      <w:r w:rsidR="004A39C6" w:rsidRPr="001142EC">
        <w:rPr>
          <w:rFonts w:ascii="Times New Roman" w:hAnsi="Times New Roman" w:cs="Times New Roman"/>
          <w:sz w:val="24"/>
          <w:szCs w:val="24"/>
        </w:rPr>
        <w:t xml:space="preserve"> </w:t>
      </w:r>
      <w:r w:rsidR="009110FE" w:rsidRPr="001142EC">
        <w:rPr>
          <w:rFonts w:ascii="Times New Roman" w:hAnsi="Times New Roman" w:cs="Times New Roman"/>
          <w:sz w:val="24"/>
          <w:szCs w:val="24"/>
        </w:rPr>
        <w:t>of</w:t>
      </w:r>
      <w:r w:rsidR="004A39C6" w:rsidRPr="001142EC">
        <w:rPr>
          <w:rFonts w:ascii="Times New Roman" w:hAnsi="Times New Roman" w:cs="Times New Roman"/>
          <w:sz w:val="24"/>
          <w:szCs w:val="24"/>
        </w:rPr>
        <w:t xml:space="preserve"> </w:t>
      </w:r>
      <w:r w:rsidR="009110FE" w:rsidRPr="001142EC">
        <w:rPr>
          <w:rFonts w:ascii="Times New Roman" w:hAnsi="Times New Roman" w:cs="Times New Roman"/>
          <w:sz w:val="24"/>
          <w:szCs w:val="24"/>
        </w:rPr>
        <w:t>HIT</w:t>
      </w:r>
      <w:r w:rsidR="004A39C6" w:rsidRPr="001142EC">
        <w:rPr>
          <w:rFonts w:ascii="Times New Roman" w:hAnsi="Times New Roman" w:cs="Times New Roman"/>
          <w:sz w:val="24"/>
          <w:szCs w:val="24"/>
        </w:rPr>
        <w:t xml:space="preserve"> covered</w:t>
      </w:r>
      <w:r>
        <w:rPr>
          <w:rFonts w:ascii="Times New Roman" w:hAnsi="Times New Roman" w:cs="Times New Roman"/>
          <w:sz w:val="24"/>
          <w:szCs w:val="24"/>
        </w:rPr>
        <w:t>.</w:t>
      </w:r>
    </w:p>
    <w:p w:rsidR="009B2EFF" w:rsidRPr="00DC33ED" w:rsidRDefault="009B2EFF" w:rsidP="001142EC">
      <w:pPr>
        <w:spacing w:after="0" w:line="240" w:lineRule="auto"/>
        <w:rPr>
          <w:rFonts w:ascii="Times New Roman" w:hAnsi="Times New Roman" w:cs="Times New Roman"/>
          <w:sz w:val="8"/>
          <w:szCs w:val="8"/>
        </w:rPr>
      </w:pPr>
    </w:p>
    <w:p w:rsidR="009B2EFF" w:rsidRPr="00396F90" w:rsidRDefault="009B2EFF" w:rsidP="001142EC">
      <w:pPr>
        <w:spacing w:after="0" w:line="240" w:lineRule="auto"/>
        <w:rPr>
          <w:rFonts w:ascii="Times New Roman" w:hAnsi="Times New Roman" w:cs="Times New Roman"/>
          <w:b/>
          <w:color w:val="0000FF"/>
          <w:sz w:val="24"/>
          <w:szCs w:val="24"/>
        </w:rPr>
      </w:pPr>
      <w:r w:rsidRPr="00396F90">
        <w:rPr>
          <w:rFonts w:ascii="Times New Roman" w:hAnsi="Times New Roman" w:cs="Times New Roman"/>
          <w:b/>
          <w:color w:val="0000FF"/>
          <w:sz w:val="24"/>
          <w:szCs w:val="24"/>
        </w:rPr>
        <w:t>eHealth Initiative (eHI)</w:t>
      </w:r>
    </w:p>
    <w:p w:rsidR="009B2EFF" w:rsidRPr="001142EC" w:rsidRDefault="009B2EFF" w:rsidP="001142EC">
      <w:pPr>
        <w:pStyle w:val="ListParagraph"/>
        <w:numPr>
          <w:ilvl w:val="0"/>
          <w:numId w:val="3"/>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Focus of the report should not be placed upon what “types of health IT” should be addressed but rather placing an emphasis on the broader scope of health IT that includes the full range of tools and applications across the risk spectrum and their impact on patient safety, including those currently regulated by the FDA.</w:t>
      </w:r>
    </w:p>
    <w:p w:rsidR="009B2EFF" w:rsidRPr="001142EC" w:rsidRDefault="009B2EFF" w:rsidP="001142EC">
      <w:pPr>
        <w:pStyle w:val="ListParagraph"/>
        <w:numPr>
          <w:ilvl w:val="0"/>
          <w:numId w:val="3"/>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 xml:space="preserve">As the patient safety framework is developed, we strongly urge consideration of the software and use of technology that accomplishes the process of exchanging health information, which may occur as part of or outside of a formal HIE organization. We believe the inclusion of an HIE </w:t>
      </w:r>
      <w:r w:rsidRPr="001142EC">
        <w:rPr>
          <w:rFonts w:ascii="Times New Roman" w:hAnsi="Times New Roman" w:cs="Times New Roman"/>
          <w:i/>
          <w:iCs/>
          <w:sz w:val="24"/>
          <w:szCs w:val="24"/>
        </w:rPr>
        <w:t xml:space="preserve">organization </w:t>
      </w:r>
      <w:r w:rsidRPr="001142EC">
        <w:rPr>
          <w:rFonts w:ascii="Times New Roman" w:hAnsi="Times New Roman" w:cs="Times New Roman"/>
          <w:sz w:val="24"/>
          <w:szCs w:val="24"/>
        </w:rPr>
        <w:t>falls outside the scope of this effort and suggest the act of exchanging information and mitigating risk factors within HIE organizations should be addressed within the patient safety framework.</w:t>
      </w:r>
    </w:p>
    <w:p w:rsidR="00010696" w:rsidRDefault="00010696" w:rsidP="001142EC">
      <w:pPr>
        <w:spacing w:after="0" w:line="240" w:lineRule="auto"/>
        <w:outlineLvl w:val="5"/>
        <w:rPr>
          <w:rFonts w:ascii="Times New Roman" w:eastAsia="Arial Unicode MS" w:hAnsi="Times New Roman" w:cs="Times New Roman"/>
          <w:caps/>
          <w:color w:val="000000"/>
          <w:sz w:val="24"/>
          <w:szCs w:val="24"/>
        </w:rPr>
      </w:pPr>
    </w:p>
    <w:p w:rsidR="008334B8" w:rsidRDefault="008334B8" w:rsidP="001142EC">
      <w:pPr>
        <w:spacing w:after="0" w:line="240" w:lineRule="auto"/>
        <w:outlineLvl w:val="5"/>
        <w:rPr>
          <w:rFonts w:ascii="Times New Roman" w:eastAsia="Arial Unicode MS" w:hAnsi="Times New Roman" w:cs="Times New Roman"/>
          <w:caps/>
          <w:color w:val="000000"/>
          <w:sz w:val="24"/>
          <w:szCs w:val="24"/>
        </w:rPr>
      </w:pPr>
    </w:p>
    <w:p w:rsidR="00490E57" w:rsidRPr="00010696" w:rsidRDefault="00490E57" w:rsidP="001142EC">
      <w:pPr>
        <w:spacing w:after="0" w:line="240" w:lineRule="auto"/>
        <w:outlineLvl w:val="5"/>
        <w:rPr>
          <w:rFonts w:ascii="Times New Roman" w:eastAsia="Arial Unicode MS" w:hAnsi="Times New Roman" w:cs="Times New Roman"/>
          <w:b/>
          <w:caps/>
          <w:color w:val="000000"/>
          <w:sz w:val="24"/>
          <w:szCs w:val="24"/>
        </w:rPr>
      </w:pPr>
      <w:r w:rsidRPr="00010696">
        <w:rPr>
          <w:rFonts w:ascii="Times New Roman" w:eastAsia="Arial Unicode MS" w:hAnsi="Times New Roman" w:cs="Times New Roman"/>
          <w:b/>
          <w:caps/>
          <w:color w:val="000000"/>
          <w:sz w:val="24"/>
          <w:szCs w:val="24"/>
        </w:rPr>
        <w:lastRenderedPageBreak/>
        <w:t>Risk and Innovation</w:t>
      </w:r>
    </w:p>
    <w:p w:rsidR="00490E57" w:rsidRPr="00367437" w:rsidRDefault="00490E57" w:rsidP="001142EC">
      <w:pPr>
        <w:spacing w:after="0" w:line="240" w:lineRule="auto"/>
        <w:rPr>
          <w:rFonts w:ascii="Times New Roman" w:eastAsia="Arial Unicode MS" w:hAnsi="Times New Roman" w:cs="Times New Roman"/>
          <w:b/>
          <w:i/>
          <w:color w:val="000000"/>
          <w:sz w:val="24"/>
          <w:szCs w:val="24"/>
        </w:rPr>
      </w:pPr>
      <w:r w:rsidRPr="00367437">
        <w:rPr>
          <w:rFonts w:ascii="Times New Roman" w:eastAsia="Arial Unicode MS" w:hAnsi="Times New Roman" w:cs="Times New Roman"/>
          <w:b/>
          <w:i/>
          <w:color w:val="000000"/>
          <w:sz w:val="24"/>
          <w:szCs w:val="24"/>
        </w:rPr>
        <w:t>a. What are the risks to patient safety posed by health IT and what is the likelihood of these risks?</w:t>
      </w:r>
    </w:p>
    <w:p w:rsidR="00010696" w:rsidRPr="00010696" w:rsidRDefault="00010696" w:rsidP="001142EC">
      <w:pPr>
        <w:spacing w:after="0" w:line="240" w:lineRule="auto"/>
        <w:rPr>
          <w:rFonts w:ascii="Times New Roman" w:eastAsia="Arial Unicode MS" w:hAnsi="Times New Roman" w:cs="Times New Roman"/>
          <w:color w:val="000000"/>
          <w:sz w:val="8"/>
          <w:szCs w:val="8"/>
        </w:rPr>
      </w:pPr>
    </w:p>
    <w:p w:rsidR="00010696" w:rsidRDefault="00010696" w:rsidP="001142EC">
      <w:pPr>
        <w:spacing w:after="0" w:line="240" w:lineRule="auto"/>
        <w:rPr>
          <w:rFonts w:ascii="Times New Roman" w:eastAsia="Times New Roman" w:hAnsi="Times New Roman" w:cs="Times New Roman"/>
          <w:b/>
          <w:color w:val="0000FF"/>
          <w:sz w:val="24"/>
          <w:szCs w:val="24"/>
        </w:rPr>
      </w:pPr>
      <w:r w:rsidRPr="00A21513">
        <w:rPr>
          <w:rFonts w:ascii="Times New Roman" w:eastAsia="Times New Roman" w:hAnsi="Times New Roman" w:cs="Times New Roman"/>
          <w:b/>
          <w:color w:val="0000FF"/>
          <w:sz w:val="24"/>
          <w:szCs w:val="24"/>
        </w:rPr>
        <w:t>McKesson Corp.</w:t>
      </w:r>
    </w:p>
    <w:p w:rsidR="00A21513" w:rsidRPr="00FA4E06" w:rsidRDefault="00A21513" w:rsidP="00FA4E06">
      <w:pPr>
        <w:pStyle w:val="ListParagraph"/>
        <w:numPr>
          <w:ilvl w:val="0"/>
          <w:numId w:val="31"/>
        </w:numPr>
        <w:spacing w:after="0" w:line="240" w:lineRule="auto"/>
        <w:rPr>
          <w:rFonts w:ascii="Times New Roman" w:hAnsi="Times New Roman" w:cs="Times New Roman"/>
          <w:sz w:val="24"/>
          <w:szCs w:val="24"/>
        </w:rPr>
      </w:pPr>
      <w:r w:rsidRPr="00FA4E06">
        <w:rPr>
          <w:rFonts w:ascii="Times New Roman" w:eastAsia="Times New Roman" w:hAnsi="Times New Roman" w:cs="Times New Roman"/>
          <w:sz w:val="24"/>
          <w:szCs w:val="24"/>
        </w:rPr>
        <w:t>See BPC Report</w:t>
      </w:r>
    </w:p>
    <w:p w:rsidR="00FA4E06" w:rsidRPr="00FA4E06" w:rsidRDefault="00FA4E06" w:rsidP="00FA4E06">
      <w:pPr>
        <w:pStyle w:val="ListParagraph"/>
        <w:numPr>
          <w:ilvl w:val="0"/>
          <w:numId w:val="31"/>
        </w:numPr>
        <w:spacing w:after="0" w:line="240" w:lineRule="auto"/>
        <w:rPr>
          <w:rFonts w:ascii="Times New Roman" w:eastAsia="Arial Unicode MS" w:hAnsi="Times New Roman" w:cs="Times New Roman"/>
          <w:color w:val="000000"/>
          <w:sz w:val="24"/>
          <w:szCs w:val="24"/>
        </w:rPr>
      </w:pPr>
      <w:r w:rsidRPr="00FA4E06">
        <w:rPr>
          <w:rFonts w:ascii="Times New Roman" w:hAnsi="Times New Roman" w:cs="Times New Roman"/>
          <w:sz w:val="24"/>
          <w:szCs w:val="24"/>
        </w:rPr>
        <w:t xml:space="preserve">The recent </w:t>
      </w:r>
      <w:r w:rsidRPr="00FA4E06">
        <w:rPr>
          <w:rFonts w:ascii="Times New Roman" w:hAnsi="Times New Roman" w:cs="Times New Roman"/>
          <w:i/>
          <w:sz w:val="24"/>
          <w:szCs w:val="24"/>
        </w:rPr>
        <w:t>ECRI PSO Deep Dive Report</w:t>
      </w:r>
      <w:r w:rsidRPr="00FA4E06">
        <w:rPr>
          <w:rFonts w:ascii="Times New Roman" w:hAnsi="Times New Roman" w:cs="Times New Roman"/>
          <w:i/>
          <w:color w:val="0000FF"/>
          <w:sz w:val="24"/>
          <w:szCs w:val="24"/>
        </w:rPr>
        <w:t xml:space="preserve"> </w:t>
      </w:r>
      <w:r w:rsidRPr="00FA4E06">
        <w:rPr>
          <w:rFonts w:ascii="Times New Roman" w:hAnsi="Times New Roman" w:cs="Times New Roman"/>
          <w:sz w:val="24"/>
          <w:szCs w:val="24"/>
        </w:rPr>
        <w:t>on health IT illustrates that a significant contributing factor to patient safety is system configuration and use, a finding that is consistent with the 2012 Institute of Medicine study. During the FDASIA workgroup’s public meeting on May 30, 2013, several examples of health IT risks were presented and discussed in which the initiating event originated with the configuration of medical devices currently regulated by the FDA. Date and time settings and data sampling intervals were incorrect, which presented a risk to the patient. In the current model that FDA uses for regulation of medical devices, neither of these risk factors would be considered. This deficiency further underscores the need for a safety assessment of health IT that includes oversight of its implementation, configuration and use.</w:t>
      </w:r>
    </w:p>
    <w:p w:rsidR="00010696" w:rsidRPr="00A21513" w:rsidRDefault="00010696" w:rsidP="001142EC">
      <w:pPr>
        <w:spacing w:after="0" w:line="240" w:lineRule="auto"/>
        <w:rPr>
          <w:rFonts w:ascii="Times New Roman" w:eastAsia="Arial Unicode MS" w:hAnsi="Times New Roman" w:cs="Times New Roman"/>
          <w:sz w:val="8"/>
          <w:szCs w:val="8"/>
        </w:rPr>
      </w:pPr>
    </w:p>
    <w:p w:rsidR="00A21513" w:rsidRPr="00A60B1A" w:rsidRDefault="00A21513" w:rsidP="00A21513">
      <w:pPr>
        <w:spacing w:after="0" w:line="240" w:lineRule="auto"/>
        <w:rPr>
          <w:rFonts w:ascii="Times New Roman" w:hAnsi="Times New Roman" w:cs="Times New Roman"/>
          <w:b/>
          <w:color w:val="0000FF"/>
          <w:sz w:val="24"/>
          <w:szCs w:val="24"/>
        </w:rPr>
      </w:pPr>
      <w:r w:rsidRPr="00A60B1A">
        <w:rPr>
          <w:rFonts w:ascii="Times New Roman" w:hAnsi="Times New Roman" w:cs="Times New Roman"/>
          <w:b/>
          <w:color w:val="0000FF"/>
          <w:sz w:val="24"/>
          <w:szCs w:val="24"/>
        </w:rPr>
        <w:t>Athenahealth, EHRA</w:t>
      </w:r>
    </w:p>
    <w:p w:rsidR="00A21513" w:rsidRDefault="00A21513" w:rsidP="00A215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Cites </w:t>
      </w:r>
      <w:r w:rsidRPr="00A60B1A">
        <w:rPr>
          <w:rFonts w:ascii="Times New Roman" w:hAnsi="Times New Roman" w:cs="Times New Roman"/>
          <w:sz w:val="24"/>
          <w:szCs w:val="24"/>
        </w:rPr>
        <w:t>IOM</w:t>
      </w:r>
      <w:r>
        <w:rPr>
          <w:rFonts w:ascii="Times New Roman" w:hAnsi="Times New Roman" w:cs="Times New Roman"/>
          <w:sz w:val="24"/>
          <w:szCs w:val="24"/>
        </w:rPr>
        <w:t xml:space="preserve"> </w:t>
      </w:r>
      <w:r w:rsidRPr="00A60B1A">
        <w:rPr>
          <w:rFonts w:ascii="Times New Roman" w:hAnsi="Times New Roman" w:cs="Times New Roman"/>
          <w:sz w:val="24"/>
          <w:szCs w:val="24"/>
        </w:rPr>
        <w:t xml:space="preserve">review of seven papers </w:t>
      </w:r>
      <w:r>
        <w:rPr>
          <w:rFonts w:ascii="Times New Roman" w:hAnsi="Times New Roman" w:cs="Times New Roman"/>
          <w:sz w:val="24"/>
          <w:szCs w:val="24"/>
        </w:rPr>
        <w:t>finding</w:t>
      </w:r>
      <w:r w:rsidRPr="00A60B1A">
        <w:rPr>
          <w:rFonts w:ascii="Times New Roman" w:hAnsi="Times New Roman" w:cs="Times New Roman"/>
          <w:sz w:val="24"/>
          <w:szCs w:val="24"/>
        </w:rPr>
        <w:t xml:space="preserve"> that health information systems were involved in less than 1 (one) percent of reported errors.” (Also cites to Pennsylvania PSA report and note cross-references to ONC Safety Plan). </w:t>
      </w:r>
    </w:p>
    <w:p w:rsidR="00A21513" w:rsidRPr="00A21513" w:rsidRDefault="00A21513" w:rsidP="00A21513">
      <w:pPr>
        <w:spacing w:after="0" w:line="240" w:lineRule="auto"/>
        <w:rPr>
          <w:rFonts w:ascii="Times New Roman" w:eastAsia="Arial Unicode MS" w:hAnsi="Times New Roman" w:cs="Times New Roman"/>
          <w:b/>
          <w:color w:val="0000FF"/>
          <w:sz w:val="8"/>
          <w:szCs w:val="8"/>
        </w:rPr>
      </w:pPr>
    </w:p>
    <w:p w:rsidR="00A21513" w:rsidRPr="00A60B1A" w:rsidRDefault="00A21513" w:rsidP="00A21513">
      <w:pPr>
        <w:spacing w:after="0" w:line="240" w:lineRule="auto"/>
        <w:rPr>
          <w:rFonts w:ascii="Times New Roman" w:eastAsia="Arial Unicode MS" w:hAnsi="Times New Roman" w:cs="Times New Roman"/>
          <w:b/>
          <w:color w:val="0000FF"/>
          <w:sz w:val="24"/>
          <w:szCs w:val="24"/>
        </w:rPr>
      </w:pPr>
      <w:r w:rsidRPr="00A60B1A">
        <w:rPr>
          <w:rFonts w:ascii="Times New Roman" w:eastAsia="Arial Unicode MS" w:hAnsi="Times New Roman" w:cs="Times New Roman"/>
          <w:b/>
          <w:color w:val="0000FF"/>
          <w:sz w:val="24"/>
          <w:szCs w:val="24"/>
        </w:rPr>
        <w:t>EHRA</w:t>
      </w:r>
    </w:p>
    <w:p w:rsidR="00A21513" w:rsidRDefault="00A21513" w:rsidP="00A21513">
      <w:pPr>
        <w:spacing w:after="0" w:line="240" w:lineRule="auto"/>
        <w:rPr>
          <w:rFonts w:ascii="Times New Roman" w:hAnsi="Times New Roman" w:cs="Times New Roman"/>
          <w:sz w:val="24"/>
          <w:szCs w:val="24"/>
        </w:rPr>
      </w:pPr>
      <w:r w:rsidRPr="001142EC">
        <w:rPr>
          <w:rFonts w:ascii="Times New Roman" w:hAnsi="Times New Roman" w:cs="Times New Roman"/>
          <w:sz w:val="24"/>
          <w:szCs w:val="24"/>
        </w:rPr>
        <w:t>It is helpful to look to the National Quality Strategy, the Partnership for Patients, CMS actions around safety, state efforts, the Joint Commission, and Patient Safety Organizations (PSOs) for information about patient safety risks. The Association supports additional efforts to review patient safety reporting information to evaluate the role of health IT in these reported incident</w:t>
      </w:r>
      <w:r>
        <w:rPr>
          <w:rFonts w:ascii="Times New Roman" w:hAnsi="Times New Roman" w:cs="Times New Roman"/>
          <w:sz w:val="24"/>
          <w:szCs w:val="24"/>
        </w:rPr>
        <w:t>.</w:t>
      </w:r>
    </w:p>
    <w:p w:rsidR="00A21513" w:rsidRPr="001649EF" w:rsidRDefault="00A21513" w:rsidP="00A21513">
      <w:pPr>
        <w:spacing w:after="0" w:line="240" w:lineRule="auto"/>
        <w:rPr>
          <w:rFonts w:ascii="Times New Roman" w:hAnsi="Times New Roman" w:cs="Times New Roman"/>
          <w:sz w:val="8"/>
          <w:szCs w:val="8"/>
        </w:rPr>
      </w:pPr>
    </w:p>
    <w:p w:rsidR="00A21513" w:rsidRPr="001649EF" w:rsidRDefault="00A21513" w:rsidP="00A21513">
      <w:pPr>
        <w:spacing w:after="0" w:line="240" w:lineRule="auto"/>
        <w:rPr>
          <w:rFonts w:ascii="Times New Roman" w:eastAsia="Arial Unicode MS" w:hAnsi="Times New Roman" w:cs="Times New Roman"/>
          <w:b/>
          <w:color w:val="0000FF"/>
          <w:sz w:val="24"/>
          <w:szCs w:val="24"/>
        </w:rPr>
      </w:pPr>
      <w:r w:rsidRPr="001649EF">
        <w:rPr>
          <w:rFonts w:ascii="Times New Roman" w:hAnsi="Times New Roman" w:cs="Times New Roman"/>
          <w:b/>
          <w:color w:val="0000FF"/>
          <w:sz w:val="24"/>
          <w:szCs w:val="24"/>
        </w:rPr>
        <w:t>AMIA</w:t>
      </w:r>
    </w:p>
    <w:p w:rsidR="00A21513" w:rsidRDefault="00A21513" w:rsidP="00A21513">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1649EF">
        <w:rPr>
          <w:rFonts w:ascii="Times New Roman" w:hAnsi="Times New Roman" w:cs="Times New Roman"/>
          <w:sz w:val="24"/>
          <w:szCs w:val="24"/>
        </w:rPr>
        <w:t>sability issues can adversely affect patient safety and the quality of care.</w:t>
      </w:r>
    </w:p>
    <w:p w:rsidR="00010696" w:rsidRPr="00B4176B" w:rsidRDefault="00010696" w:rsidP="001142EC">
      <w:pPr>
        <w:spacing w:after="0" w:line="240" w:lineRule="auto"/>
        <w:rPr>
          <w:rFonts w:ascii="Times New Roman" w:eastAsia="Arial Unicode MS" w:hAnsi="Times New Roman" w:cs="Times New Roman"/>
          <w:color w:val="000000"/>
          <w:sz w:val="8"/>
          <w:szCs w:val="8"/>
        </w:rPr>
      </w:pPr>
    </w:p>
    <w:p w:rsidR="00FE47A3" w:rsidRPr="00010696" w:rsidRDefault="00FE47A3" w:rsidP="001142EC">
      <w:pPr>
        <w:spacing w:after="0" w:line="240" w:lineRule="auto"/>
        <w:rPr>
          <w:rFonts w:ascii="Times New Roman" w:eastAsia="Arial Unicode MS" w:hAnsi="Times New Roman" w:cs="Times New Roman"/>
          <w:b/>
          <w:color w:val="0000FF"/>
          <w:sz w:val="24"/>
          <w:szCs w:val="24"/>
        </w:rPr>
      </w:pPr>
      <w:r w:rsidRPr="00010696">
        <w:rPr>
          <w:rFonts w:ascii="Times New Roman" w:eastAsia="Arial Unicode MS" w:hAnsi="Times New Roman" w:cs="Times New Roman"/>
          <w:b/>
          <w:color w:val="0000FF"/>
          <w:sz w:val="24"/>
          <w:szCs w:val="24"/>
        </w:rPr>
        <w:t>AHA</w:t>
      </w:r>
    </w:p>
    <w:p w:rsidR="00BE1C17" w:rsidRPr="001142EC" w:rsidRDefault="00FE47A3" w:rsidP="001142EC">
      <w:pPr>
        <w:pStyle w:val="ListParagraph"/>
        <w:numPr>
          <w:ilvl w:val="0"/>
          <w:numId w:val="15"/>
        </w:numPr>
        <w:spacing w:after="0" w:line="240" w:lineRule="auto"/>
        <w:rPr>
          <w:rFonts w:ascii="Times New Roman" w:hAnsi="Times New Roman" w:cs="Times New Roman"/>
          <w:sz w:val="24"/>
          <w:szCs w:val="24"/>
        </w:rPr>
      </w:pPr>
      <w:r w:rsidRPr="001142EC">
        <w:rPr>
          <w:rFonts w:ascii="Times New Roman" w:hAnsi="Times New Roman" w:cs="Times New Roman"/>
          <w:sz w:val="24"/>
          <w:szCs w:val="24"/>
        </w:rPr>
        <w:t xml:space="preserve">In looking at specific products, attributes such as safe design, use of quality management principles, user-centered design and human factors assessments have been shown to improve safety. Therefore, the agencies should look carefully at the interaction between usability of health IT products and patient safety. </w:t>
      </w:r>
    </w:p>
    <w:p w:rsidR="00FE47A3" w:rsidRPr="001142EC" w:rsidRDefault="00FE47A3" w:rsidP="001142EC">
      <w:pPr>
        <w:pStyle w:val="ListParagraph"/>
        <w:numPr>
          <w:ilvl w:val="0"/>
          <w:numId w:val="14"/>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The general inability of systems to easily share data using the same set of standards (interoperability) also can pose safety risks.</w:t>
      </w:r>
    </w:p>
    <w:p w:rsidR="00BE1C17" w:rsidRDefault="00BE1C17" w:rsidP="001142EC">
      <w:pPr>
        <w:pStyle w:val="ListParagraph"/>
        <w:numPr>
          <w:ilvl w:val="0"/>
          <w:numId w:val="13"/>
        </w:numPr>
        <w:spacing w:after="0" w:line="240" w:lineRule="auto"/>
        <w:rPr>
          <w:rFonts w:ascii="Times New Roman" w:eastAsia="Arial Unicode MS" w:hAnsi="Times New Roman" w:cs="Times New Roman"/>
          <w:color w:val="000000"/>
          <w:sz w:val="24"/>
          <w:szCs w:val="24"/>
        </w:rPr>
      </w:pPr>
      <w:r w:rsidRPr="001142EC">
        <w:rPr>
          <w:rFonts w:ascii="Times New Roman" w:eastAsia="Arial Unicode MS" w:hAnsi="Times New Roman" w:cs="Times New Roman"/>
          <w:color w:val="000000"/>
          <w:sz w:val="24"/>
          <w:szCs w:val="24"/>
        </w:rPr>
        <w:t>Incorrect patient matching</w:t>
      </w:r>
    </w:p>
    <w:p w:rsidR="001916BA" w:rsidRPr="001916BA" w:rsidRDefault="001916BA" w:rsidP="001916BA">
      <w:pPr>
        <w:spacing w:after="0" w:line="240" w:lineRule="auto"/>
        <w:rPr>
          <w:rFonts w:ascii="Times New Roman" w:hAnsi="Times New Roman" w:cs="Times New Roman"/>
          <w:b/>
          <w:color w:val="0000FF"/>
          <w:sz w:val="8"/>
          <w:szCs w:val="8"/>
        </w:rPr>
      </w:pPr>
    </w:p>
    <w:p w:rsidR="001916BA" w:rsidRPr="001916BA" w:rsidRDefault="001916BA" w:rsidP="001916BA">
      <w:pPr>
        <w:spacing w:after="0" w:line="240" w:lineRule="auto"/>
        <w:rPr>
          <w:rFonts w:ascii="Times New Roman" w:eastAsia="Arial Unicode MS" w:hAnsi="Times New Roman" w:cs="Times New Roman"/>
          <w:b/>
          <w:color w:val="0000FF"/>
          <w:sz w:val="24"/>
          <w:szCs w:val="24"/>
        </w:rPr>
      </w:pPr>
      <w:r w:rsidRPr="001916BA">
        <w:rPr>
          <w:rFonts w:ascii="Times New Roman" w:hAnsi="Times New Roman" w:cs="Times New Roman"/>
          <w:b/>
          <w:color w:val="0000FF"/>
          <w:sz w:val="24"/>
          <w:szCs w:val="24"/>
        </w:rPr>
        <w:t>eHealth Initiative (eHI)</w:t>
      </w:r>
    </w:p>
    <w:p w:rsidR="001916BA" w:rsidRPr="001916BA" w:rsidRDefault="001916BA" w:rsidP="001916BA">
      <w:pPr>
        <w:spacing w:after="0" w:line="240" w:lineRule="auto"/>
        <w:rPr>
          <w:rFonts w:ascii="Times New Roman" w:eastAsia="Arial Unicode MS" w:hAnsi="Times New Roman" w:cs="Times New Roman"/>
          <w:color w:val="000000"/>
          <w:sz w:val="24"/>
          <w:szCs w:val="24"/>
        </w:rPr>
      </w:pPr>
      <w:r w:rsidRPr="001916BA">
        <w:rPr>
          <w:rFonts w:ascii="Times New Roman" w:hAnsi="Times New Roman" w:cs="Times New Roman"/>
          <w:sz w:val="24"/>
          <w:szCs w:val="24"/>
        </w:rPr>
        <w:t>Recognize that the use of health IT, can, in some instances, poses risks to patients; for example, there have been published examples of accidently transposing values and numbers and medication measurement errors. Other factors such as provider workflow, usability, and the way in which health information is leveraged is an important strategy for mitigating patient safety risks and thus requires further analysis.</w:t>
      </w:r>
    </w:p>
    <w:p w:rsidR="00A21513" w:rsidRPr="00A21513" w:rsidRDefault="00A21513" w:rsidP="00A21513">
      <w:pPr>
        <w:spacing w:after="0" w:line="240" w:lineRule="auto"/>
        <w:rPr>
          <w:rFonts w:ascii="Times New Roman" w:eastAsia="Arial Unicode MS" w:hAnsi="Times New Roman" w:cs="Times New Roman"/>
          <w:b/>
          <w:color w:val="0000FF"/>
          <w:sz w:val="8"/>
          <w:szCs w:val="8"/>
        </w:rPr>
      </w:pPr>
    </w:p>
    <w:p w:rsidR="00A21513" w:rsidRPr="00A21513" w:rsidRDefault="00A21513" w:rsidP="00A21513">
      <w:pPr>
        <w:spacing w:after="0" w:line="240" w:lineRule="auto"/>
        <w:rPr>
          <w:rFonts w:ascii="Times New Roman" w:eastAsia="Arial Unicode MS" w:hAnsi="Times New Roman" w:cs="Times New Roman"/>
          <w:b/>
          <w:color w:val="0000FF"/>
          <w:sz w:val="24"/>
          <w:szCs w:val="24"/>
        </w:rPr>
      </w:pPr>
      <w:r w:rsidRPr="00A21513">
        <w:rPr>
          <w:rFonts w:ascii="Times New Roman" w:eastAsia="Arial Unicode MS" w:hAnsi="Times New Roman" w:cs="Times New Roman"/>
          <w:b/>
          <w:color w:val="0000FF"/>
          <w:sz w:val="24"/>
          <w:szCs w:val="24"/>
        </w:rPr>
        <w:t>Codenomicon</w:t>
      </w:r>
    </w:p>
    <w:p w:rsidR="00A21513" w:rsidRPr="00A21513" w:rsidRDefault="00A21513" w:rsidP="00A21513">
      <w:pPr>
        <w:spacing w:after="0" w:line="240" w:lineRule="auto"/>
        <w:rPr>
          <w:rFonts w:ascii="Times New Roman" w:eastAsia="Arial Unicode MS" w:hAnsi="Times New Roman" w:cs="Times New Roman"/>
          <w:color w:val="000000"/>
          <w:sz w:val="24"/>
          <w:szCs w:val="24"/>
        </w:rPr>
      </w:pPr>
      <w:r w:rsidRPr="00A21513">
        <w:rPr>
          <w:rFonts w:ascii="Times New Roman" w:eastAsia="Arial Unicode MS" w:hAnsi="Times New Roman" w:cs="Times New Roman"/>
          <w:color w:val="000000"/>
          <w:sz w:val="24"/>
          <w:szCs w:val="24"/>
        </w:rPr>
        <w:t>Any device which communicates over a wired or wireless channel poses a risk (equivalent to 100%) that either a malicious actor or curious explorer will access and potentially cause harm to the patient it is being used on.</w:t>
      </w:r>
    </w:p>
    <w:p w:rsidR="00FC5D2F" w:rsidRPr="001142EC" w:rsidRDefault="00FC5D2F" w:rsidP="001142EC">
      <w:pPr>
        <w:spacing w:after="0" w:line="240" w:lineRule="auto"/>
        <w:rPr>
          <w:rFonts w:ascii="Times New Roman" w:eastAsia="Arial Unicode MS" w:hAnsi="Times New Roman" w:cs="Times New Roman"/>
          <w:color w:val="000000"/>
          <w:sz w:val="24"/>
          <w:szCs w:val="24"/>
        </w:rPr>
      </w:pPr>
    </w:p>
    <w:p w:rsidR="00490E57" w:rsidRPr="00367437" w:rsidRDefault="00490E57" w:rsidP="001142EC">
      <w:pPr>
        <w:spacing w:after="0" w:line="240" w:lineRule="auto"/>
        <w:rPr>
          <w:rFonts w:ascii="Times New Roman" w:eastAsia="Arial Unicode MS" w:hAnsi="Times New Roman" w:cs="Times New Roman"/>
          <w:b/>
          <w:i/>
          <w:color w:val="000000"/>
          <w:sz w:val="24"/>
          <w:szCs w:val="24"/>
        </w:rPr>
      </w:pPr>
      <w:r w:rsidRPr="00367437">
        <w:rPr>
          <w:rFonts w:ascii="Times New Roman" w:eastAsia="Arial Unicode MS" w:hAnsi="Times New Roman" w:cs="Times New Roman"/>
          <w:b/>
          <w:i/>
          <w:color w:val="000000"/>
          <w:sz w:val="24"/>
          <w:szCs w:val="24"/>
        </w:rPr>
        <w:t>b. What factors or approaches could be included in a risk-based regulatory approach for health IT to promote innovation and protect patient safety?</w:t>
      </w:r>
    </w:p>
    <w:p w:rsidR="001179E1" w:rsidRPr="00A84C65" w:rsidRDefault="001179E1" w:rsidP="001142EC">
      <w:pPr>
        <w:spacing w:after="0" w:line="240" w:lineRule="auto"/>
        <w:rPr>
          <w:rFonts w:ascii="Times New Roman" w:eastAsia="Arial Unicode MS" w:hAnsi="Times New Roman" w:cs="Times New Roman"/>
          <w:color w:val="000000"/>
          <w:sz w:val="8"/>
          <w:szCs w:val="8"/>
        </w:rPr>
      </w:pPr>
    </w:p>
    <w:p w:rsidR="00067C1A" w:rsidRDefault="00067C1A" w:rsidP="00A21513">
      <w:pPr>
        <w:spacing w:after="0" w:line="240" w:lineRule="auto"/>
        <w:rPr>
          <w:rFonts w:ascii="Times New Roman" w:eastAsia="Arial Unicode MS" w:hAnsi="Times New Roman" w:cs="Times New Roman"/>
          <w:b/>
          <w:color w:val="FF0000"/>
          <w:sz w:val="24"/>
          <w:szCs w:val="24"/>
        </w:rPr>
      </w:pPr>
      <w:r>
        <w:rPr>
          <w:rFonts w:ascii="Times New Roman" w:eastAsia="Arial Unicode MS" w:hAnsi="Times New Roman" w:cs="Times New Roman"/>
          <w:b/>
          <w:color w:val="FF0000"/>
          <w:sz w:val="24"/>
          <w:szCs w:val="24"/>
        </w:rPr>
        <w:t>BPC Report</w:t>
      </w:r>
      <w:r w:rsidR="00AB40B6">
        <w:rPr>
          <w:rFonts w:ascii="Times New Roman" w:eastAsia="Arial Unicode MS" w:hAnsi="Times New Roman" w:cs="Times New Roman"/>
          <w:b/>
          <w:color w:val="FF0000"/>
          <w:sz w:val="24"/>
          <w:szCs w:val="24"/>
        </w:rPr>
        <w:t xml:space="preserve"> (also consider cost and burden of regulation)</w:t>
      </w:r>
    </w:p>
    <w:p w:rsidR="00067C1A" w:rsidRPr="00067C1A" w:rsidRDefault="00067C1A" w:rsidP="00A21513">
      <w:pPr>
        <w:spacing w:after="0" w:line="240" w:lineRule="auto"/>
        <w:rPr>
          <w:rFonts w:ascii="Times New Roman" w:eastAsia="Arial Unicode MS" w:hAnsi="Times New Roman" w:cs="Times New Roman"/>
          <w:sz w:val="24"/>
          <w:szCs w:val="24"/>
        </w:rPr>
      </w:pPr>
      <w:r w:rsidRPr="00067C1A">
        <w:rPr>
          <w:rFonts w:ascii="Times New Roman" w:eastAsia="Arial Unicode MS" w:hAnsi="Times New Roman" w:cs="Times New Roman"/>
          <w:sz w:val="24"/>
          <w:szCs w:val="24"/>
        </w:rPr>
        <w:t xml:space="preserve">Supported by: </w:t>
      </w:r>
      <w:r w:rsidR="007F779A">
        <w:rPr>
          <w:rFonts w:ascii="Times New Roman" w:eastAsia="Arial Unicode MS" w:hAnsi="Times New Roman" w:cs="Times New Roman"/>
          <w:sz w:val="24"/>
          <w:szCs w:val="24"/>
        </w:rPr>
        <w:t>EHRA, Greenway Technologies,</w:t>
      </w:r>
      <w:r w:rsidR="00AB40B6">
        <w:rPr>
          <w:rFonts w:ascii="Times New Roman" w:eastAsia="Arial Unicode MS" w:hAnsi="Times New Roman" w:cs="Times New Roman"/>
          <w:sz w:val="24"/>
          <w:szCs w:val="24"/>
        </w:rPr>
        <w:t xml:space="preserve"> McKesson Corp., MITA, </w:t>
      </w:r>
      <w:r w:rsidR="001277E4">
        <w:rPr>
          <w:rFonts w:ascii="Times New Roman" w:eastAsia="Arial Unicode MS" w:hAnsi="Times New Roman" w:cs="Times New Roman"/>
          <w:sz w:val="24"/>
          <w:szCs w:val="24"/>
        </w:rPr>
        <w:t>AMIA (see also Safety Plan and Mobile Apps submissions)</w:t>
      </w:r>
      <w:r w:rsidR="00803D41">
        <w:rPr>
          <w:rFonts w:ascii="Times New Roman" w:eastAsia="Arial Unicode MS" w:hAnsi="Times New Roman" w:cs="Times New Roman"/>
          <w:sz w:val="24"/>
          <w:szCs w:val="24"/>
        </w:rPr>
        <w:t>, athenahealth,</w:t>
      </w:r>
      <w:r w:rsidR="001277E4">
        <w:rPr>
          <w:rFonts w:ascii="Times New Roman" w:eastAsia="Arial Unicode MS" w:hAnsi="Times New Roman" w:cs="Times New Roman"/>
          <w:sz w:val="24"/>
          <w:szCs w:val="24"/>
        </w:rPr>
        <w:t xml:space="preserve"> </w:t>
      </w:r>
      <w:r w:rsidR="00AB40B6">
        <w:rPr>
          <w:rFonts w:ascii="Times New Roman" w:eastAsia="Arial Unicode MS" w:hAnsi="Times New Roman" w:cs="Times New Roman"/>
          <w:sz w:val="24"/>
          <w:szCs w:val="24"/>
        </w:rPr>
        <w:t xml:space="preserve">and </w:t>
      </w:r>
      <w:r w:rsidR="00AB40B6" w:rsidRPr="001142EC">
        <w:rPr>
          <w:rFonts w:ascii="Times New Roman" w:eastAsia="Times New Roman" w:hAnsi="Times New Roman" w:cs="Times New Roman"/>
          <w:color w:val="000000"/>
          <w:sz w:val="24"/>
          <w:szCs w:val="24"/>
        </w:rPr>
        <w:t>Pacific Northwest National Laboratory</w:t>
      </w:r>
      <w:r w:rsidR="00AB40B6">
        <w:rPr>
          <w:rFonts w:ascii="Times New Roman" w:eastAsia="Times New Roman" w:hAnsi="Times New Roman" w:cs="Times New Roman"/>
          <w:color w:val="000000"/>
          <w:sz w:val="24"/>
          <w:szCs w:val="24"/>
        </w:rPr>
        <w:t>.</w:t>
      </w:r>
    </w:p>
    <w:p w:rsidR="00067C1A" w:rsidRPr="00DF6E34" w:rsidRDefault="00067C1A" w:rsidP="00A21513">
      <w:pPr>
        <w:spacing w:after="0" w:line="240" w:lineRule="auto"/>
        <w:rPr>
          <w:rFonts w:ascii="Times New Roman" w:eastAsia="Arial Unicode MS" w:hAnsi="Times New Roman" w:cs="Times New Roman"/>
          <w:b/>
          <w:color w:val="FF0000"/>
          <w:sz w:val="8"/>
          <w:szCs w:val="8"/>
        </w:rPr>
      </w:pPr>
    </w:p>
    <w:p w:rsidR="00944037" w:rsidRDefault="00B17EBA" w:rsidP="00A21513">
      <w:pPr>
        <w:spacing w:after="0" w:line="240" w:lineRule="auto"/>
        <w:rPr>
          <w:rFonts w:ascii="Times New Roman" w:eastAsia="Arial Unicode MS" w:hAnsi="Times New Roman" w:cs="Times New Roman"/>
          <w:b/>
          <w:color w:val="FF0000"/>
          <w:sz w:val="24"/>
          <w:szCs w:val="24"/>
        </w:rPr>
      </w:pPr>
      <w:r>
        <w:rPr>
          <w:rFonts w:ascii="Times New Roman" w:eastAsia="Arial Unicode MS" w:hAnsi="Times New Roman" w:cs="Times New Roman"/>
          <w:b/>
          <w:color w:val="FF0000"/>
          <w:sz w:val="24"/>
          <w:szCs w:val="24"/>
        </w:rPr>
        <w:t xml:space="preserve">Use </w:t>
      </w:r>
      <w:r w:rsidR="0061513E">
        <w:rPr>
          <w:rFonts w:ascii="Times New Roman" w:eastAsia="Arial Unicode MS" w:hAnsi="Times New Roman" w:cs="Times New Roman"/>
          <w:b/>
          <w:color w:val="FF0000"/>
          <w:sz w:val="24"/>
          <w:szCs w:val="24"/>
        </w:rPr>
        <w:t>e</w:t>
      </w:r>
      <w:r>
        <w:rPr>
          <w:rFonts w:ascii="Times New Roman" w:eastAsia="Arial Unicode MS" w:hAnsi="Times New Roman" w:cs="Times New Roman"/>
          <w:b/>
          <w:color w:val="FF0000"/>
          <w:sz w:val="24"/>
          <w:szCs w:val="24"/>
        </w:rPr>
        <w:t xml:space="preserve">xisting </w:t>
      </w:r>
      <w:r w:rsidR="0061513E">
        <w:rPr>
          <w:rFonts w:ascii="Times New Roman" w:eastAsia="Arial Unicode MS" w:hAnsi="Times New Roman" w:cs="Times New Roman"/>
          <w:b/>
          <w:color w:val="FF0000"/>
          <w:sz w:val="24"/>
          <w:szCs w:val="24"/>
        </w:rPr>
        <w:t>v</w:t>
      </w:r>
      <w:r>
        <w:rPr>
          <w:rFonts w:ascii="Times New Roman" w:eastAsia="Arial Unicode MS" w:hAnsi="Times New Roman" w:cs="Times New Roman"/>
          <w:b/>
          <w:color w:val="FF0000"/>
          <w:sz w:val="24"/>
          <w:szCs w:val="24"/>
        </w:rPr>
        <w:t xml:space="preserve">oluntary </w:t>
      </w:r>
      <w:r w:rsidR="0061513E">
        <w:rPr>
          <w:rFonts w:ascii="Times New Roman" w:eastAsia="Arial Unicode MS" w:hAnsi="Times New Roman" w:cs="Times New Roman"/>
          <w:b/>
          <w:color w:val="FF0000"/>
          <w:sz w:val="24"/>
          <w:szCs w:val="24"/>
        </w:rPr>
        <w:t>s</w:t>
      </w:r>
      <w:r w:rsidR="00E551C6">
        <w:rPr>
          <w:rFonts w:ascii="Times New Roman" w:eastAsia="Arial Unicode MS" w:hAnsi="Times New Roman" w:cs="Times New Roman"/>
          <w:b/>
          <w:color w:val="FF0000"/>
          <w:sz w:val="24"/>
          <w:szCs w:val="24"/>
        </w:rPr>
        <w:t xml:space="preserve">afety </w:t>
      </w:r>
      <w:r w:rsidR="0061513E">
        <w:rPr>
          <w:rFonts w:ascii="Times New Roman" w:eastAsia="Arial Unicode MS" w:hAnsi="Times New Roman" w:cs="Times New Roman"/>
          <w:b/>
          <w:color w:val="FF0000"/>
          <w:sz w:val="24"/>
          <w:szCs w:val="24"/>
        </w:rPr>
        <w:t>r</w:t>
      </w:r>
      <w:r w:rsidR="00944037">
        <w:rPr>
          <w:rFonts w:ascii="Times New Roman" w:eastAsia="Arial Unicode MS" w:hAnsi="Times New Roman" w:cs="Times New Roman"/>
          <w:b/>
          <w:color w:val="FF0000"/>
          <w:sz w:val="24"/>
          <w:szCs w:val="24"/>
        </w:rPr>
        <w:t xml:space="preserve">eporting </w:t>
      </w:r>
      <w:r w:rsidR="0061513E">
        <w:rPr>
          <w:rFonts w:ascii="Times New Roman" w:eastAsia="Arial Unicode MS" w:hAnsi="Times New Roman" w:cs="Times New Roman"/>
          <w:b/>
          <w:color w:val="FF0000"/>
          <w:sz w:val="24"/>
          <w:szCs w:val="24"/>
        </w:rPr>
        <w:t>s</w:t>
      </w:r>
      <w:r w:rsidR="00E551C6">
        <w:rPr>
          <w:rFonts w:ascii="Times New Roman" w:eastAsia="Arial Unicode MS" w:hAnsi="Times New Roman" w:cs="Times New Roman"/>
          <w:b/>
          <w:color w:val="FF0000"/>
          <w:sz w:val="24"/>
          <w:szCs w:val="24"/>
        </w:rPr>
        <w:t>ystem</w:t>
      </w:r>
      <w:r>
        <w:rPr>
          <w:rFonts w:ascii="Times New Roman" w:eastAsia="Arial Unicode MS" w:hAnsi="Times New Roman" w:cs="Times New Roman"/>
          <w:b/>
          <w:color w:val="FF0000"/>
          <w:sz w:val="24"/>
          <w:szCs w:val="24"/>
        </w:rPr>
        <w:t>s</w:t>
      </w:r>
      <w:r w:rsidR="00944037">
        <w:rPr>
          <w:rFonts w:ascii="Times New Roman" w:eastAsia="Arial Unicode MS" w:hAnsi="Times New Roman" w:cs="Times New Roman"/>
          <w:b/>
          <w:color w:val="FF0000"/>
          <w:sz w:val="24"/>
          <w:szCs w:val="24"/>
        </w:rPr>
        <w:t xml:space="preserve"> </w:t>
      </w:r>
    </w:p>
    <w:p w:rsidR="00B17EBA" w:rsidRPr="00B17EBA" w:rsidRDefault="00944037" w:rsidP="00B17EBA">
      <w:pPr>
        <w:spacing w:after="0" w:line="240" w:lineRule="auto"/>
        <w:rPr>
          <w:rFonts w:ascii="Times New Roman" w:eastAsia="Arial Unicode MS" w:hAnsi="Times New Roman" w:cs="Times New Roman"/>
          <w:sz w:val="24"/>
          <w:szCs w:val="24"/>
        </w:rPr>
      </w:pPr>
      <w:r w:rsidRPr="00E551C6">
        <w:rPr>
          <w:rFonts w:ascii="Times New Roman" w:eastAsia="Arial Unicode MS" w:hAnsi="Times New Roman" w:cs="Times New Roman"/>
          <w:sz w:val="24"/>
          <w:szCs w:val="24"/>
        </w:rPr>
        <w:t>Supported by:</w:t>
      </w:r>
      <w:r w:rsidR="00E551C6" w:rsidRPr="00E551C6">
        <w:rPr>
          <w:rFonts w:ascii="Times New Roman" w:eastAsia="Arial Unicode MS" w:hAnsi="Times New Roman" w:cs="Times New Roman"/>
          <w:sz w:val="24"/>
          <w:szCs w:val="24"/>
        </w:rPr>
        <w:t xml:space="preserve"> AMIA</w:t>
      </w:r>
      <w:r w:rsidR="00E551C6" w:rsidRPr="00E551C6">
        <w:rPr>
          <w:rFonts w:ascii="Times New Roman" w:hAnsi="Times New Roman" w:cs="Times New Roman"/>
          <w:sz w:val="24"/>
          <w:szCs w:val="24"/>
        </w:rPr>
        <w:t xml:space="preserve"> </w:t>
      </w:r>
      <w:r w:rsidR="00E551C6">
        <w:rPr>
          <w:rFonts w:ascii="Times New Roman" w:hAnsi="Times New Roman" w:cs="Times New Roman"/>
          <w:sz w:val="24"/>
          <w:szCs w:val="24"/>
        </w:rPr>
        <w:t>(s</w:t>
      </w:r>
      <w:r w:rsidR="00E551C6" w:rsidRPr="00E551C6">
        <w:rPr>
          <w:rFonts w:ascii="Times New Roman" w:hAnsi="Times New Roman" w:cs="Times New Roman"/>
          <w:sz w:val="24"/>
          <w:szCs w:val="24"/>
        </w:rPr>
        <w:t xml:space="preserve">ee </w:t>
      </w:r>
      <w:r w:rsidR="00803D41">
        <w:rPr>
          <w:rFonts w:ascii="Times New Roman" w:hAnsi="Times New Roman" w:cs="Times New Roman"/>
          <w:sz w:val="24"/>
          <w:szCs w:val="24"/>
        </w:rPr>
        <w:t xml:space="preserve">also </w:t>
      </w:r>
      <w:r w:rsidR="00E551C6" w:rsidRPr="00E551C6">
        <w:rPr>
          <w:rFonts w:ascii="Times New Roman" w:hAnsi="Times New Roman" w:cs="Times New Roman"/>
          <w:sz w:val="24"/>
          <w:szCs w:val="24"/>
        </w:rPr>
        <w:t>AMIA Task Force Report)</w:t>
      </w:r>
      <w:r w:rsidR="00E551C6">
        <w:rPr>
          <w:rFonts w:ascii="Times New Roman" w:hAnsi="Times New Roman" w:cs="Times New Roman"/>
          <w:sz w:val="24"/>
          <w:szCs w:val="24"/>
        </w:rPr>
        <w:t>, EHRA</w:t>
      </w:r>
      <w:r w:rsidR="00431B3A">
        <w:rPr>
          <w:rFonts w:ascii="Times New Roman" w:hAnsi="Times New Roman" w:cs="Times New Roman"/>
          <w:sz w:val="24"/>
          <w:szCs w:val="24"/>
        </w:rPr>
        <w:t>, AHA</w:t>
      </w:r>
      <w:r w:rsidR="00B17EBA">
        <w:rPr>
          <w:rFonts w:ascii="Times New Roman" w:hAnsi="Times New Roman" w:cs="Times New Roman"/>
          <w:sz w:val="24"/>
          <w:szCs w:val="24"/>
        </w:rPr>
        <w:t>, MITA, and</w:t>
      </w:r>
      <w:r w:rsidR="00B17EBA" w:rsidRPr="00B17EBA">
        <w:rPr>
          <w:rFonts w:ascii="Times New Roman" w:hAnsi="Times New Roman" w:cs="Times New Roman"/>
          <w:b/>
          <w:color w:val="0000FF"/>
          <w:sz w:val="24"/>
          <w:szCs w:val="24"/>
        </w:rPr>
        <w:t xml:space="preserve"> </w:t>
      </w:r>
      <w:r w:rsidR="00B17EBA" w:rsidRPr="00B17EBA">
        <w:rPr>
          <w:rFonts w:ascii="Times New Roman" w:hAnsi="Times New Roman" w:cs="Times New Roman"/>
          <w:sz w:val="24"/>
          <w:szCs w:val="24"/>
        </w:rPr>
        <w:t>eHealth Initiative (eHI)</w:t>
      </w:r>
      <w:r w:rsidR="00B17EBA">
        <w:rPr>
          <w:rFonts w:ascii="Times New Roman" w:hAnsi="Times New Roman" w:cs="Times New Roman"/>
          <w:sz w:val="24"/>
          <w:szCs w:val="24"/>
        </w:rPr>
        <w:t>.</w:t>
      </w:r>
    </w:p>
    <w:p w:rsidR="00B17EBA" w:rsidRPr="00B17EBA" w:rsidRDefault="00E551C6" w:rsidP="00431B3A">
      <w:pPr>
        <w:pStyle w:val="ListParagraph"/>
        <w:numPr>
          <w:ilvl w:val="0"/>
          <w:numId w:val="32"/>
        </w:numPr>
        <w:spacing w:after="0" w:line="240" w:lineRule="auto"/>
        <w:rPr>
          <w:rFonts w:ascii="Times New Roman" w:hAnsi="Times New Roman" w:cs="Times New Roman"/>
          <w:b/>
          <w:color w:val="0000FF"/>
          <w:sz w:val="24"/>
          <w:szCs w:val="24"/>
        </w:rPr>
      </w:pPr>
      <w:r w:rsidRPr="001142EC">
        <w:rPr>
          <w:rFonts w:ascii="Times New Roman" w:hAnsi="Times New Roman" w:cs="Times New Roman"/>
          <w:sz w:val="24"/>
          <w:szCs w:val="24"/>
        </w:rPr>
        <w:t>Voluntary provider reporting to PSOs on safety issues should be the primary focus, given that safety events generally happen in a provider context and that health IT is likely to be only one element of any safety event.</w:t>
      </w:r>
      <w:r w:rsidR="00B17EBA">
        <w:rPr>
          <w:rFonts w:ascii="Times New Roman" w:hAnsi="Times New Roman" w:cs="Times New Roman"/>
          <w:sz w:val="24"/>
          <w:szCs w:val="24"/>
        </w:rPr>
        <w:t xml:space="preserve"> </w:t>
      </w:r>
      <w:r w:rsidR="00B17EBA" w:rsidRPr="00B17EBA">
        <w:rPr>
          <w:rFonts w:ascii="Times New Roman" w:hAnsi="Times New Roman" w:cs="Times New Roman"/>
          <w:b/>
          <w:color w:val="0000FF"/>
          <w:sz w:val="24"/>
          <w:szCs w:val="24"/>
        </w:rPr>
        <w:t>Generally all specified commenters.</w:t>
      </w:r>
    </w:p>
    <w:p w:rsidR="00B17EBA" w:rsidRPr="00B17EBA" w:rsidRDefault="00B17EBA" w:rsidP="00B17EBA">
      <w:pPr>
        <w:pStyle w:val="ListParagraph"/>
        <w:numPr>
          <w:ilvl w:val="0"/>
          <w:numId w:val="32"/>
        </w:numPr>
        <w:spacing w:after="0" w:line="240" w:lineRule="auto"/>
        <w:rPr>
          <w:rFonts w:ascii="Times New Roman" w:eastAsia="Arial Unicode MS" w:hAnsi="Times New Roman" w:cs="Times New Roman"/>
          <w:b/>
          <w:color w:val="0000FF"/>
          <w:sz w:val="24"/>
          <w:szCs w:val="24"/>
        </w:rPr>
      </w:pPr>
      <w:r>
        <w:rPr>
          <w:rFonts w:ascii="Times New Roman" w:hAnsi="Times New Roman" w:cs="Times New Roman"/>
          <w:sz w:val="24"/>
          <w:szCs w:val="24"/>
        </w:rPr>
        <w:t>C</w:t>
      </w:r>
      <w:r w:rsidRPr="00B17EBA">
        <w:rPr>
          <w:rFonts w:ascii="Times New Roman" w:hAnsi="Times New Roman" w:cs="Times New Roman"/>
          <w:sz w:val="24"/>
          <w:szCs w:val="24"/>
        </w:rPr>
        <w:t>onsider</w:t>
      </w:r>
      <w:r w:rsidR="00E551C6" w:rsidRPr="00B17EBA">
        <w:rPr>
          <w:rFonts w:ascii="Times New Roman" w:hAnsi="Times New Roman" w:cs="Times New Roman"/>
          <w:sz w:val="24"/>
          <w:szCs w:val="24"/>
        </w:rPr>
        <w:t xml:space="preserve"> </w:t>
      </w:r>
      <w:r w:rsidR="00A43C9D">
        <w:rPr>
          <w:rFonts w:ascii="Times New Roman" w:hAnsi="Times New Roman" w:cs="Times New Roman"/>
          <w:sz w:val="24"/>
          <w:szCs w:val="24"/>
        </w:rPr>
        <w:t xml:space="preserve">utilizing </w:t>
      </w:r>
      <w:r w:rsidRPr="00B17EBA">
        <w:rPr>
          <w:rFonts w:ascii="Times New Roman" w:hAnsi="Times New Roman" w:cs="Times New Roman"/>
          <w:sz w:val="24"/>
          <w:szCs w:val="24"/>
        </w:rPr>
        <w:t>accrediting bodies, state and national level mandatory reporting, and</w:t>
      </w:r>
      <w:r w:rsidR="001916BA">
        <w:rPr>
          <w:rFonts w:ascii="Times New Roman" w:hAnsi="Times New Roman" w:cs="Times New Roman"/>
          <w:sz w:val="24"/>
          <w:szCs w:val="24"/>
        </w:rPr>
        <w:t xml:space="preserve"> </w:t>
      </w:r>
      <w:r w:rsidRPr="00B17EBA">
        <w:rPr>
          <w:rFonts w:ascii="Times New Roman" w:hAnsi="Times New Roman" w:cs="Times New Roman"/>
          <w:sz w:val="24"/>
          <w:szCs w:val="24"/>
        </w:rPr>
        <w:t>CDC required reporting</w:t>
      </w:r>
      <w:r>
        <w:rPr>
          <w:rFonts w:ascii="Times New Roman" w:hAnsi="Times New Roman" w:cs="Times New Roman"/>
          <w:sz w:val="24"/>
          <w:szCs w:val="24"/>
        </w:rPr>
        <w:t>.</w:t>
      </w:r>
      <w:r w:rsidRPr="00B17EBA">
        <w:rPr>
          <w:rFonts w:ascii="Times New Roman" w:hAnsi="Times New Roman" w:cs="Times New Roman"/>
          <w:b/>
          <w:color w:val="0000FF"/>
          <w:sz w:val="24"/>
          <w:szCs w:val="24"/>
        </w:rPr>
        <w:t xml:space="preserve"> eHealth Initiative (eHI)</w:t>
      </w:r>
    </w:p>
    <w:p w:rsidR="00E551C6" w:rsidRPr="00E551C6" w:rsidRDefault="00E551C6" w:rsidP="00E551C6">
      <w:pPr>
        <w:pStyle w:val="ListParagraph"/>
        <w:numPr>
          <w:ilvl w:val="0"/>
          <w:numId w:val="32"/>
        </w:numPr>
        <w:spacing w:after="0" w:line="240" w:lineRule="auto"/>
        <w:rPr>
          <w:rFonts w:ascii="Times New Roman" w:hAnsi="Times New Roman" w:cs="Times New Roman"/>
          <w:sz w:val="24"/>
          <w:szCs w:val="24"/>
        </w:rPr>
      </w:pPr>
      <w:r w:rsidRPr="00B17EBA">
        <w:rPr>
          <w:rFonts w:ascii="Times New Roman" w:hAnsi="Times New Roman" w:cs="Times New Roman"/>
          <w:sz w:val="24"/>
          <w:szCs w:val="24"/>
        </w:rPr>
        <w:t>Leverage the AHRQ Network of Patient Safety Databases for aggregation and high-level analysis of safety reports.</w:t>
      </w:r>
      <w:r w:rsidRPr="00B17EBA">
        <w:rPr>
          <w:rFonts w:ascii="Times New Roman" w:hAnsi="Times New Roman" w:cs="Times New Roman"/>
          <w:b/>
          <w:color w:val="0000FF"/>
          <w:sz w:val="24"/>
          <w:szCs w:val="24"/>
        </w:rPr>
        <w:t xml:space="preserve"> EHRA</w:t>
      </w:r>
    </w:p>
    <w:p w:rsidR="00944037" w:rsidRPr="00EE71BB" w:rsidRDefault="00944037" w:rsidP="00A21513">
      <w:pPr>
        <w:spacing w:after="0" w:line="240" w:lineRule="auto"/>
        <w:rPr>
          <w:rFonts w:ascii="Times New Roman" w:eastAsia="Arial Unicode MS" w:hAnsi="Times New Roman" w:cs="Times New Roman"/>
          <w:b/>
          <w:color w:val="FF0000"/>
          <w:sz w:val="8"/>
          <w:szCs w:val="8"/>
        </w:rPr>
      </w:pPr>
    </w:p>
    <w:p w:rsidR="00A21513" w:rsidRDefault="00A21513" w:rsidP="00A21513">
      <w:pPr>
        <w:spacing w:after="0" w:line="240" w:lineRule="auto"/>
        <w:rPr>
          <w:rFonts w:ascii="Times New Roman" w:eastAsia="Arial Unicode MS" w:hAnsi="Times New Roman" w:cs="Times New Roman"/>
          <w:b/>
          <w:color w:val="FF0000"/>
          <w:sz w:val="24"/>
          <w:szCs w:val="24"/>
        </w:rPr>
      </w:pPr>
      <w:r w:rsidRPr="00850308">
        <w:rPr>
          <w:rFonts w:ascii="Times New Roman" w:eastAsia="Arial Unicode MS" w:hAnsi="Times New Roman" w:cs="Times New Roman"/>
          <w:b/>
          <w:color w:val="FF0000"/>
          <w:sz w:val="24"/>
          <w:szCs w:val="24"/>
        </w:rPr>
        <w:t>Use consensus-based</w:t>
      </w:r>
      <w:r w:rsidR="00067C1A">
        <w:rPr>
          <w:rFonts w:ascii="Times New Roman" w:eastAsia="Arial Unicode MS" w:hAnsi="Times New Roman" w:cs="Times New Roman"/>
          <w:b/>
          <w:color w:val="FF0000"/>
          <w:sz w:val="24"/>
          <w:szCs w:val="24"/>
        </w:rPr>
        <w:t>, nationally or internationally recognized standards</w:t>
      </w:r>
    </w:p>
    <w:p w:rsidR="00A21513" w:rsidRPr="00A21513" w:rsidRDefault="00A21513" w:rsidP="00A21513">
      <w:pPr>
        <w:spacing w:after="0" w:line="240" w:lineRule="auto"/>
        <w:rPr>
          <w:rFonts w:ascii="Times New Roman" w:eastAsia="Arial Unicode MS" w:hAnsi="Times New Roman" w:cs="Times New Roman"/>
          <w:sz w:val="24"/>
          <w:szCs w:val="24"/>
        </w:rPr>
      </w:pPr>
      <w:r w:rsidRPr="00A21513">
        <w:rPr>
          <w:rFonts w:ascii="Times New Roman" w:eastAsia="Arial Unicode MS" w:hAnsi="Times New Roman" w:cs="Times New Roman"/>
          <w:sz w:val="24"/>
          <w:szCs w:val="24"/>
        </w:rPr>
        <w:t>Supported by: AvaMed</w:t>
      </w:r>
      <w:r w:rsidR="007F779A">
        <w:rPr>
          <w:rFonts w:ascii="Times New Roman" w:eastAsia="Arial Unicode MS" w:hAnsi="Times New Roman" w:cs="Times New Roman"/>
          <w:sz w:val="24"/>
          <w:szCs w:val="24"/>
        </w:rPr>
        <w:t xml:space="preserve">, </w:t>
      </w:r>
      <w:r w:rsidR="00AB40B6">
        <w:rPr>
          <w:rFonts w:ascii="Times New Roman" w:eastAsia="Arial Unicode MS" w:hAnsi="Times New Roman" w:cs="Times New Roman"/>
          <w:sz w:val="24"/>
          <w:szCs w:val="24"/>
        </w:rPr>
        <w:t xml:space="preserve">MITA, </w:t>
      </w:r>
      <w:r w:rsidR="007F779A">
        <w:rPr>
          <w:rFonts w:ascii="Times New Roman" w:eastAsia="Arial Unicode MS" w:hAnsi="Times New Roman" w:cs="Times New Roman"/>
          <w:sz w:val="24"/>
          <w:szCs w:val="24"/>
        </w:rPr>
        <w:t>Verizon,</w:t>
      </w:r>
      <w:r w:rsidR="00067C1A">
        <w:rPr>
          <w:rFonts w:ascii="Times New Roman" w:eastAsia="Arial Unicode MS" w:hAnsi="Times New Roman" w:cs="Times New Roman"/>
          <w:sz w:val="24"/>
          <w:szCs w:val="24"/>
        </w:rPr>
        <w:t xml:space="preserve"> </w:t>
      </w:r>
      <w:r w:rsidR="00AB40B6">
        <w:rPr>
          <w:rFonts w:ascii="Times New Roman" w:eastAsia="Arial Unicode MS" w:hAnsi="Times New Roman" w:cs="Times New Roman"/>
          <w:sz w:val="24"/>
          <w:szCs w:val="24"/>
        </w:rPr>
        <w:t xml:space="preserve">McKesson Corp., </w:t>
      </w:r>
      <w:r w:rsidR="00067C1A">
        <w:rPr>
          <w:rFonts w:ascii="Times New Roman" w:eastAsia="Arial Unicode MS" w:hAnsi="Times New Roman" w:cs="Times New Roman"/>
          <w:sz w:val="24"/>
          <w:szCs w:val="24"/>
        </w:rPr>
        <w:t>and</w:t>
      </w:r>
      <w:r w:rsidR="006234C4">
        <w:rPr>
          <w:rFonts w:ascii="Times New Roman" w:eastAsia="Arial Unicode MS" w:hAnsi="Times New Roman" w:cs="Times New Roman"/>
          <w:sz w:val="24"/>
          <w:szCs w:val="24"/>
        </w:rPr>
        <w:t xml:space="preserve"> </w:t>
      </w:r>
      <w:r w:rsidR="006234C4" w:rsidRPr="001142EC">
        <w:rPr>
          <w:rFonts w:ascii="Times New Roman" w:hAnsi="Times New Roman" w:cs="Times New Roman"/>
          <w:sz w:val="24"/>
          <w:szCs w:val="24"/>
        </w:rPr>
        <w:t>Pharmacy e-HIT Collaborative</w:t>
      </w:r>
      <w:r w:rsidR="00067C1A">
        <w:rPr>
          <w:rFonts w:ascii="Times New Roman" w:hAnsi="Times New Roman" w:cs="Times New Roman"/>
          <w:sz w:val="24"/>
          <w:szCs w:val="24"/>
        </w:rPr>
        <w:t>.</w:t>
      </w:r>
    </w:p>
    <w:p w:rsidR="00067C1A" w:rsidRPr="00067C1A" w:rsidRDefault="00067C1A" w:rsidP="001142EC">
      <w:pPr>
        <w:pStyle w:val="Default"/>
        <w:numPr>
          <w:ilvl w:val="0"/>
          <w:numId w:val="30"/>
        </w:numPr>
        <w:rPr>
          <w:rFonts w:ascii="Times New Roman" w:eastAsia="Arial Unicode MS" w:hAnsi="Times New Roman" w:cs="Times New Roman"/>
          <w:b/>
          <w:color w:val="0000FF"/>
        </w:rPr>
      </w:pPr>
      <w:r w:rsidRPr="00067C1A">
        <w:rPr>
          <w:rFonts w:ascii="Times New Roman" w:hAnsi="Times New Roman" w:cs="Times New Roman"/>
        </w:rPr>
        <w:t xml:space="preserve">For example: </w:t>
      </w:r>
      <w:r w:rsidR="00AB40B6" w:rsidRPr="001142EC">
        <w:rPr>
          <w:rFonts w:ascii="Times New Roman" w:hAnsi="Times New Roman" w:cs="Times New Roman"/>
        </w:rPr>
        <w:t>ISO 25238</w:t>
      </w:r>
      <w:r w:rsidR="00AB40B6">
        <w:rPr>
          <w:rFonts w:ascii="Times New Roman" w:hAnsi="Times New Roman" w:cs="Times New Roman"/>
        </w:rPr>
        <w:t>, I</w:t>
      </w:r>
      <w:r w:rsidR="00A21513" w:rsidRPr="00067C1A">
        <w:rPr>
          <w:rFonts w:ascii="Times New Roman" w:hAnsi="Times New Roman" w:cs="Times New Roman"/>
        </w:rPr>
        <w:t>SO 14971, IEC 62304, and IEC/TR 80002-1,</w:t>
      </w:r>
      <w:r w:rsidRPr="00067C1A">
        <w:rPr>
          <w:rFonts w:ascii="Times New Roman" w:hAnsi="Times New Roman" w:cs="Times New Roman"/>
        </w:rPr>
        <w:t xml:space="preserve"> and ANSI supported standards.</w:t>
      </w:r>
    </w:p>
    <w:p w:rsidR="00067C1A" w:rsidRPr="00067C1A" w:rsidRDefault="00067C1A" w:rsidP="00067C1A">
      <w:pPr>
        <w:pStyle w:val="Default"/>
        <w:rPr>
          <w:rFonts w:ascii="Times New Roman" w:hAnsi="Times New Roman" w:cs="Times New Roman"/>
          <w:sz w:val="8"/>
          <w:szCs w:val="8"/>
        </w:rPr>
      </w:pPr>
    </w:p>
    <w:p w:rsidR="00067C1A" w:rsidRPr="00803D41" w:rsidRDefault="00067C1A" w:rsidP="00067C1A">
      <w:pPr>
        <w:pStyle w:val="Default"/>
        <w:rPr>
          <w:rFonts w:ascii="Times New Roman" w:eastAsia="Arial Unicode MS" w:hAnsi="Times New Roman" w:cs="Times New Roman"/>
          <w:b/>
          <w:color w:val="FF0000"/>
        </w:rPr>
      </w:pPr>
      <w:r w:rsidRPr="00803D41">
        <w:rPr>
          <w:rFonts w:ascii="Times New Roman" w:eastAsia="Arial Unicode MS" w:hAnsi="Times New Roman" w:cs="Times New Roman"/>
          <w:b/>
          <w:color w:val="FF0000"/>
        </w:rPr>
        <w:t xml:space="preserve">Security </w:t>
      </w:r>
      <w:r w:rsidR="00080E4A">
        <w:rPr>
          <w:rFonts w:ascii="Times New Roman" w:eastAsia="Arial Unicode MS" w:hAnsi="Times New Roman" w:cs="Times New Roman"/>
          <w:b/>
          <w:color w:val="FF0000"/>
        </w:rPr>
        <w:t>t</w:t>
      </w:r>
      <w:r w:rsidRPr="00803D41">
        <w:rPr>
          <w:rFonts w:ascii="Times New Roman" w:eastAsia="Arial Unicode MS" w:hAnsi="Times New Roman" w:cs="Times New Roman"/>
          <w:b/>
          <w:color w:val="FF0000"/>
        </w:rPr>
        <w:t>esting</w:t>
      </w:r>
    </w:p>
    <w:p w:rsidR="00067C1A" w:rsidRDefault="00067C1A" w:rsidP="00067C1A">
      <w:pPr>
        <w:pStyle w:val="Default"/>
        <w:rPr>
          <w:rFonts w:ascii="Times New Roman" w:eastAsia="Arial Unicode MS" w:hAnsi="Times New Roman" w:cs="Times New Roman"/>
          <w:b/>
          <w:color w:val="0000FF"/>
        </w:rPr>
      </w:pPr>
      <w:r w:rsidRPr="00A21513">
        <w:rPr>
          <w:rFonts w:ascii="Times New Roman" w:eastAsia="Arial Unicode MS" w:hAnsi="Times New Roman" w:cs="Times New Roman"/>
          <w:color w:val="auto"/>
        </w:rPr>
        <w:t>Supported by:</w:t>
      </w:r>
      <w:r>
        <w:rPr>
          <w:rFonts w:ascii="Times New Roman" w:eastAsia="Arial Unicode MS" w:hAnsi="Times New Roman" w:cs="Times New Roman"/>
          <w:color w:val="auto"/>
        </w:rPr>
        <w:t xml:space="preserve"> AHA</w:t>
      </w:r>
      <w:r w:rsidR="00E551C6">
        <w:rPr>
          <w:rFonts w:ascii="Times New Roman" w:eastAsia="Arial Unicode MS" w:hAnsi="Times New Roman" w:cs="Times New Roman"/>
          <w:color w:val="auto"/>
        </w:rPr>
        <w:t>, AMIA,</w:t>
      </w:r>
      <w:r w:rsidR="00944037">
        <w:rPr>
          <w:rFonts w:ascii="Times New Roman" w:eastAsia="Arial Unicode MS" w:hAnsi="Times New Roman" w:cs="Times New Roman"/>
          <w:color w:val="auto"/>
        </w:rPr>
        <w:t xml:space="preserve"> and</w:t>
      </w:r>
      <w:r>
        <w:rPr>
          <w:rFonts w:ascii="Times New Roman" w:eastAsia="Arial Unicode MS" w:hAnsi="Times New Roman" w:cs="Times New Roman"/>
          <w:color w:val="auto"/>
        </w:rPr>
        <w:t xml:space="preserve"> Codenomicon</w:t>
      </w:r>
      <w:r w:rsidR="00944037">
        <w:rPr>
          <w:rFonts w:ascii="Times New Roman" w:eastAsia="Arial Unicode MS" w:hAnsi="Times New Roman" w:cs="Times New Roman"/>
          <w:color w:val="auto"/>
        </w:rPr>
        <w:t>.</w:t>
      </w:r>
    </w:p>
    <w:p w:rsidR="00067C1A" w:rsidRPr="00067C1A" w:rsidRDefault="001179E1" w:rsidP="00067C1A">
      <w:pPr>
        <w:pStyle w:val="Default"/>
        <w:numPr>
          <w:ilvl w:val="0"/>
          <w:numId w:val="30"/>
        </w:numPr>
        <w:rPr>
          <w:rFonts w:ascii="Times New Roman" w:eastAsia="Arial Unicode MS" w:hAnsi="Times New Roman" w:cs="Times New Roman"/>
          <w:b/>
          <w:color w:val="0000FF"/>
        </w:rPr>
      </w:pPr>
      <w:r w:rsidRPr="00067C1A">
        <w:rPr>
          <w:rFonts w:ascii="Times New Roman" w:eastAsia="Arial Unicode MS" w:hAnsi="Times New Roman" w:cs="Times New Roman"/>
        </w:rPr>
        <w:t>A thorough vulnerability assessment which includes the following:</w:t>
      </w:r>
      <w:r w:rsidR="00D17E7C" w:rsidRPr="00067C1A">
        <w:rPr>
          <w:rFonts w:ascii="Times New Roman" w:eastAsia="Arial Unicode MS" w:hAnsi="Times New Roman" w:cs="Times New Roman"/>
        </w:rPr>
        <w:t xml:space="preserve"> </w:t>
      </w:r>
      <w:r w:rsidRPr="00067C1A">
        <w:rPr>
          <w:rFonts w:ascii="Times New Roman" w:eastAsia="Arial Unicode MS" w:hAnsi="Times New Roman" w:cs="Times New Roman"/>
        </w:rPr>
        <w:t>Fuzz testing of all</w:t>
      </w:r>
      <w:r w:rsidR="00D17E7C" w:rsidRPr="00067C1A">
        <w:rPr>
          <w:rFonts w:ascii="Times New Roman" w:eastAsia="Arial Unicode MS" w:hAnsi="Times New Roman" w:cs="Times New Roman"/>
        </w:rPr>
        <w:t xml:space="preserve"> </w:t>
      </w:r>
      <w:r w:rsidRPr="00067C1A">
        <w:rPr>
          <w:rFonts w:ascii="Times New Roman" w:eastAsia="Arial Unicode MS" w:hAnsi="Times New Roman" w:cs="Times New Roman"/>
        </w:rPr>
        <w:t>communication protocols</w:t>
      </w:r>
      <w:r w:rsidR="00D17E7C" w:rsidRPr="00067C1A">
        <w:rPr>
          <w:rFonts w:ascii="Times New Roman" w:eastAsia="Arial Unicode MS" w:hAnsi="Times New Roman" w:cs="Times New Roman"/>
        </w:rPr>
        <w:t>; h</w:t>
      </w:r>
      <w:r w:rsidRPr="00067C1A">
        <w:rPr>
          <w:rFonts w:ascii="Times New Roman" w:eastAsia="Arial Unicode MS" w:hAnsi="Times New Roman" w:cs="Times New Roman"/>
        </w:rPr>
        <w:t>ardware security analysis</w:t>
      </w:r>
      <w:r w:rsidR="00D17E7C" w:rsidRPr="00067C1A">
        <w:rPr>
          <w:rFonts w:ascii="Times New Roman" w:eastAsia="Arial Unicode MS" w:hAnsi="Times New Roman" w:cs="Times New Roman"/>
        </w:rPr>
        <w:t>; f</w:t>
      </w:r>
      <w:r w:rsidRPr="00067C1A">
        <w:rPr>
          <w:rFonts w:ascii="Times New Roman" w:eastAsia="Arial Unicode MS" w:hAnsi="Times New Roman" w:cs="Times New Roman"/>
        </w:rPr>
        <w:t xml:space="preserve">actory </w:t>
      </w:r>
      <w:r w:rsidR="00D17E7C" w:rsidRPr="00067C1A">
        <w:rPr>
          <w:rFonts w:ascii="Times New Roman" w:eastAsia="Arial Unicode MS" w:hAnsi="Times New Roman" w:cs="Times New Roman"/>
        </w:rPr>
        <w:t>a</w:t>
      </w:r>
      <w:r w:rsidRPr="00067C1A">
        <w:rPr>
          <w:rFonts w:ascii="Times New Roman" w:eastAsia="Arial Unicode MS" w:hAnsi="Times New Roman" w:cs="Times New Roman"/>
        </w:rPr>
        <w:t xml:space="preserve">cceptance </w:t>
      </w:r>
      <w:r w:rsidR="00D17E7C" w:rsidRPr="00067C1A">
        <w:rPr>
          <w:rFonts w:ascii="Times New Roman" w:eastAsia="Arial Unicode MS" w:hAnsi="Times New Roman" w:cs="Times New Roman"/>
        </w:rPr>
        <w:t>t</w:t>
      </w:r>
      <w:r w:rsidRPr="00067C1A">
        <w:rPr>
          <w:rFonts w:ascii="Times New Roman" w:eastAsia="Arial Unicode MS" w:hAnsi="Times New Roman" w:cs="Times New Roman"/>
        </w:rPr>
        <w:t>esting</w:t>
      </w:r>
      <w:r w:rsidR="00D17E7C" w:rsidRPr="00067C1A">
        <w:rPr>
          <w:rFonts w:ascii="Times New Roman" w:eastAsia="Arial Unicode MS" w:hAnsi="Times New Roman" w:cs="Times New Roman"/>
        </w:rPr>
        <w:t>; i</w:t>
      </w:r>
      <w:r w:rsidRPr="00067C1A">
        <w:rPr>
          <w:rFonts w:ascii="Times New Roman" w:eastAsia="Arial Unicode MS" w:hAnsi="Times New Roman" w:cs="Times New Roman"/>
        </w:rPr>
        <w:t xml:space="preserve">nteroperability </w:t>
      </w:r>
      <w:r w:rsidR="00D17E7C" w:rsidRPr="00067C1A">
        <w:rPr>
          <w:rFonts w:ascii="Times New Roman" w:eastAsia="Arial Unicode MS" w:hAnsi="Times New Roman" w:cs="Times New Roman"/>
        </w:rPr>
        <w:t>t</w:t>
      </w:r>
      <w:r w:rsidRPr="00067C1A">
        <w:rPr>
          <w:rFonts w:ascii="Times New Roman" w:eastAsia="Arial Unicode MS" w:hAnsi="Times New Roman" w:cs="Times New Roman"/>
        </w:rPr>
        <w:t>esting</w:t>
      </w:r>
      <w:r w:rsidR="00D17E7C" w:rsidRPr="00067C1A">
        <w:rPr>
          <w:rFonts w:ascii="Times New Roman" w:eastAsia="Arial Unicode MS" w:hAnsi="Times New Roman" w:cs="Times New Roman"/>
        </w:rPr>
        <w:t>; s</w:t>
      </w:r>
      <w:r w:rsidRPr="00067C1A">
        <w:rPr>
          <w:rFonts w:ascii="Times New Roman" w:eastAsia="Arial Unicode MS" w:hAnsi="Times New Roman" w:cs="Times New Roman"/>
        </w:rPr>
        <w:t xml:space="preserve">ight </w:t>
      </w:r>
      <w:r w:rsidR="00D17E7C" w:rsidRPr="00067C1A">
        <w:rPr>
          <w:rFonts w:ascii="Times New Roman" w:eastAsia="Arial Unicode MS" w:hAnsi="Times New Roman" w:cs="Times New Roman"/>
        </w:rPr>
        <w:t>a</w:t>
      </w:r>
      <w:r w:rsidRPr="00067C1A">
        <w:rPr>
          <w:rFonts w:ascii="Times New Roman" w:eastAsia="Arial Unicode MS" w:hAnsi="Times New Roman" w:cs="Times New Roman"/>
        </w:rPr>
        <w:t xml:space="preserve">cceptance </w:t>
      </w:r>
      <w:r w:rsidR="00D17E7C" w:rsidRPr="00067C1A">
        <w:rPr>
          <w:rFonts w:ascii="Times New Roman" w:eastAsia="Arial Unicode MS" w:hAnsi="Times New Roman" w:cs="Times New Roman"/>
        </w:rPr>
        <w:t>t</w:t>
      </w:r>
      <w:r w:rsidRPr="00067C1A">
        <w:rPr>
          <w:rFonts w:ascii="Times New Roman" w:eastAsia="Arial Unicode MS" w:hAnsi="Times New Roman" w:cs="Times New Roman"/>
        </w:rPr>
        <w:t>esting</w:t>
      </w:r>
      <w:r w:rsidR="00D17E7C" w:rsidRPr="00067C1A">
        <w:rPr>
          <w:rFonts w:ascii="Times New Roman" w:eastAsia="Arial Unicode MS" w:hAnsi="Times New Roman" w:cs="Times New Roman"/>
        </w:rPr>
        <w:t>; code</w:t>
      </w:r>
      <w:r w:rsidRPr="00067C1A">
        <w:rPr>
          <w:rFonts w:ascii="Times New Roman" w:eastAsia="Arial Unicode MS" w:hAnsi="Times New Roman" w:cs="Times New Roman"/>
        </w:rPr>
        <w:t xml:space="preserve"> signing of all binaries used in medical devices</w:t>
      </w:r>
      <w:r w:rsidR="00D17E7C" w:rsidRPr="00067C1A">
        <w:rPr>
          <w:rFonts w:ascii="Times New Roman" w:eastAsia="Arial Unicode MS" w:hAnsi="Times New Roman" w:cs="Times New Roman"/>
        </w:rPr>
        <w:t>; and fa</w:t>
      </w:r>
      <w:r w:rsidRPr="00067C1A">
        <w:rPr>
          <w:rFonts w:ascii="Times New Roman" w:eastAsia="Arial Unicode MS" w:hAnsi="Times New Roman" w:cs="Times New Roman"/>
        </w:rPr>
        <w:t>ilure mode effects of fuzz testing and fault injections</w:t>
      </w:r>
      <w:r w:rsidR="00D17E7C" w:rsidRPr="00067C1A">
        <w:rPr>
          <w:rFonts w:ascii="Times New Roman" w:eastAsia="Arial Unicode MS" w:hAnsi="Times New Roman" w:cs="Times New Roman"/>
        </w:rPr>
        <w:t>.</w:t>
      </w:r>
      <w:r w:rsidR="00F15024" w:rsidRPr="00067C1A">
        <w:rPr>
          <w:rFonts w:ascii="Times New Roman" w:eastAsia="Arial Unicode MS" w:hAnsi="Times New Roman" w:cs="Times New Roman"/>
        </w:rPr>
        <w:t xml:space="preserve">  </w:t>
      </w:r>
      <w:r w:rsidRPr="00067C1A">
        <w:rPr>
          <w:rFonts w:ascii="Times New Roman" w:eastAsia="Arial Unicode MS" w:hAnsi="Times New Roman" w:cs="Times New Roman"/>
        </w:rPr>
        <w:t>It is extremely important to note that most design processes focus on testing of functional requirements. Most vulnerabilities discovered are the result of non-functional use (or negative testing) of devices. Most medical manufacturers and end users are not equipped with tools to perform these types of tests. Other industries perform such tests as a normal part of development, using COTS tools and software.</w:t>
      </w:r>
      <w:r w:rsidR="00067C1A">
        <w:rPr>
          <w:rFonts w:ascii="Times New Roman" w:eastAsia="Arial Unicode MS" w:hAnsi="Times New Roman" w:cs="Times New Roman"/>
        </w:rPr>
        <w:t xml:space="preserve"> </w:t>
      </w:r>
      <w:r w:rsidR="00067C1A" w:rsidRPr="00067C1A">
        <w:rPr>
          <w:rFonts w:ascii="Times New Roman" w:eastAsia="Arial Unicode MS" w:hAnsi="Times New Roman" w:cs="Times New Roman"/>
          <w:b/>
          <w:color w:val="0000FF"/>
        </w:rPr>
        <w:t>Codenomicon</w:t>
      </w:r>
    </w:p>
    <w:p w:rsidR="001179E1" w:rsidRPr="00F15024" w:rsidRDefault="001179E1" w:rsidP="001142EC">
      <w:pPr>
        <w:spacing w:after="0" w:line="240" w:lineRule="auto"/>
        <w:rPr>
          <w:rFonts w:ascii="Times New Roman" w:eastAsia="Arial Unicode MS" w:hAnsi="Times New Roman" w:cs="Times New Roman"/>
          <w:color w:val="000000"/>
          <w:sz w:val="8"/>
          <w:szCs w:val="8"/>
        </w:rPr>
      </w:pPr>
    </w:p>
    <w:p w:rsidR="00E57131" w:rsidRPr="00F15024" w:rsidRDefault="00E57131" w:rsidP="001142EC">
      <w:pPr>
        <w:spacing w:after="0" w:line="240" w:lineRule="auto"/>
        <w:rPr>
          <w:rFonts w:ascii="Times New Roman" w:hAnsi="Times New Roman" w:cs="Times New Roman"/>
          <w:b/>
          <w:color w:val="0000FF"/>
          <w:sz w:val="24"/>
          <w:szCs w:val="24"/>
        </w:rPr>
      </w:pPr>
      <w:r w:rsidRPr="00F15024">
        <w:rPr>
          <w:rFonts w:ascii="Times New Roman" w:hAnsi="Times New Roman" w:cs="Times New Roman"/>
          <w:b/>
          <w:color w:val="0000FF"/>
          <w:sz w:val="24"/>
          <w:szCs w:val="24"/>
        </w:rPr>
        <w:t>Pharmacy e-HIT Collaborative</w:t>
      </w:r>
    </w:p>
    <w:p w:rsidR="008E46E3" w:rsidRDefault="006234C4" w:rsidP="001142EC">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57131" w:rsidRPr="001142EC">
        <w:rPr>
          <w:rFonts w:ascii="Times New Roman" w:hAnsi="Times New Roman" w:cs="Times New Roman"/>
          <w:sz w:val="24"/>
          <w:szCs w:val="24"/>
        </w:rPr>
        <w:t xml:space="preserve">roducers of mobile medical devices and mobile medical apps </w:t>
      </w:r>
      <w:r>
        <w:rPr>
          <w:rFonts w:ascii="Times New Roman" w:hAnsi="Times New Roman" w:cs="Times New Roman"/>
          <w:sz w:val="24"/>
          <w:szCs w:val="24"/>
        </w:rPr>
        <w:t xml:space="preserve">should </w:t>
      </w:r>
      <w:r w:rsidR="00E57131" w:rsidRPr="001142EC">
        <w:rPr>
          <w:rFonts w:ascii="Times New Roman" w:hAnsi="Times New Roman" w:cs="Times New Roman"/>
          <w:sz w:val="24"/>
          <w:szCs w:val="24"/>
        </w:rPr>
        <w:t>be encouraged to certify that their products follow and meet acceptable HIT standards and platforms for the collection, exchange, and protection of patient health information, as well as ensuring patient safety and well-being in the use of these devices and information to support positive health outcomes.</w:t>
      </w:r>
      <w:r w:rsidR="008E46E3" w:rsidRPr="001142EC">
        <w:rPr>
          <w:rFonts w:ascii="Times New Roman" w:hAnsi="Times New Roman" w:cs="Times New Roman"/>
          <w:sz w:val="24"/>
          <w:szCs w:val="24"/>
        </w:rPr>
        <w:t xml:space="preserve"> </w:t>
      </w:r>
    </w:p>
    <w:p w:rsidR="00067C1A" w:rsidRPr="00067C1A" w:rsidRDefault="00067C1A" w:rsidP="001142EC">
      <w:pPr>
        <w:spacing w:after="0" w:line="240" w:lineRule="auto"/>
        <w:rPr>
          <w:rFonts w:ascii="Times New Roman" w:eastAsia="Arial Unicode MS" w:hAnsi="Times New Roman" w:cs="Times New Roman"/>
          <w:color w:val="000000"/>
          <w:sz w:val="8"/>
          <w:szCs w:val="8"/>
        </w:rPr>
      </w:pPr>
    </w:p>
    <w:p w:rsidR="0061513E" w:rsidRPr="00850308" w:rsidRDefault="0061513E" w:rsidP="0061513E">
      <w:pPr>
        <w:spacing w:after="0" w:line="240" w:lineRule="auto"/>
        <w:rPr>
          <w:rFonts w:ascii="Times New Roman" w:eastAsia="Arial Unicode MS" w:hAnsi="Times New Roman" w:cs="Times New Roman"/>
          <w:b/>
          <w:color w:val="0000FF"/>
          <w:sz w:val="24"/>
          <w:szCs w:val="24"/>
        </w:rPr>
      </w:pPr>
      <w:r w:rsidRPr="00850308">
        <w:rPr>
          <w:rFonts w:ascii="Times New Roman" w:eastAsia="Arial Unicode MS" w:hAnsi="Times New Roman" w:cs="Times New Roman"/>
          <w:b/>
          <w:color w:val="0000FF"/>
          <w:sz w:val="24"/>
          <w:szCs w:val="24"/>
        </w:rPr>
        <w:t>AdvaMed</w:t>
      </w:r>
    </w:p>
    <w:p w:rsidR="0061513E" w:rsidRPr="001142EC" w:rsidRDefault="0061513E" w:rsidP="0061513E">
      <w:pPr>
        <w:pStyle w:val="Default"/>
        <w:rPr>
          <w:rFonts w:ascii="Times New Roman" w:hAnsi="Times New Roman" w:cs="Times New Roman"/>
        </w:rPr>
      </w:pPr>
      <w:r w:rsidRPr="001142EC">
        <w:rPr>
          <w:rFonts w:ascii="Times New Roman" w:hAnsi="Times New Roman" w:cs="Times New Roman"/>
        </w:rPr>
        <w:t xml:space="preserve">Historically, a leading inhibitor of medical device innovation has been the lack of global harmonization of regulatory requirements. This lack of global regulatory harmonization may force country-specific verification and validation activities and lifecycle management decisions, which is both costly and complex. This cost and complexity can easily stifle innovation. </w:t>
      </w:r>
    </w:p>
    <w:p w:rsidR="0061513E" w:rsidRPr="0061513E" w:rsidRDefault="0061513E" w:rsidP="001142EC">
      <w:pPr>
        <w:spacing w:after="0" w:line="240" w:lineRule="auto"/>
        <w:rPr>
          <w:rFonts w:ascii="Times New Roman" w:eastAsia="Arial Unicode MS" w:hAnsi="Times New Roman" w:cs="Times New Roman"/>
          <w:b/>
          <w:color w:val="0000FF"/>
          <w:sz w:val="8"/>
          <w:szCs w:val="8"/>
        </w:rPr>
      </w:pPr>
    </w:p>
    <w:p w:rsidR="00FE47A3" w:rsidRPr="00850308" w:rsidRDefault="00FE47A3" w:rsidP="001142EC">
      <w:pPr>
        <w:spacing w:after="0" w:line="240" w:lineRule="auto"/>
        <w:rPr>
          <w:rFonts w:ascii="Times New Roman" w:eastAsia="Arial Unicode MS" w:hAnsi="Times New Roman" w:cs="Times New Roman"/>
          <w:b/>
          <w:color w:val="0000FF"/>
          <w:sz w:val="24"/>
          <w:szCs w:val="24"/>
        </w:rPr>
      </w:pPr>
      <w:r w:rsidRPr="00850308">
        <w:rPr>
          <w:rFonts w:ascii="Times New Roman" w:eastAsia="Arial Unicode MS" w:hAnsi="Times New Roman" w:cs="Times New Roman"/>
          <w:b/>
          <w:color w:val="0000FF"/>
          <w:sz w:val="24"/>
          <w:szCs w:val="24"/>
        </w:rPr>
        <w:t>AHA</w:t>
      </w:r>
    </w:p>
    <w:p w:rsidR="00FE47A3" w:rsidRPr="001142EC" w:rsidRDefault="0095585F" w:rsidP="001142EC">
      <w:pPr>
        <w:pStyle w:val="ListParagraph"/>
        <w:numPr>
          <w:ilvl w:val="0"/>
          <w:numId w:val="10"/>
        </w:numPr>
        <w:spacing w:after="0" w:line="240" w:lineRule="auto"/>
        <w:rPr>
          <w:rFonts w:ascii="Times New Roman" w:hAnsi="Times New Roman" w:cs="Times New Roman"/>
          <w:sz w:val="24"/>
          <w:szCs w:val="24"/>
        </w:rPr>
      </w:pPr>
      <w:r w:rsidRPr="001142EC">
        <w:rPr>
          <w:rFonts w:ascii="Times New Roman" w:hAnsi="Times New Roman" w:cs="Times New Roman"/>
          <w:sz w:val="24"/>
          <w:szCs w:val="24"/>
        </w:rPr>
        <w:t xml:space="preserve">Key factors to be considered include the potential for harm, the extent of harm, and the extent to which software is automating and or guiding clinical decision-making. </w:t>
      </w:r>
      <w:r w:rsidR="00AB40B6">
        <w:rPr>
          <w:rFonts w:ascii="Times New Roman" w:hAnsi="Times New Roman" w:cs="Times New Roman"/>
          <w:sz w:val="24"/>
          <w:szCs w:val="24"/>
        </w:rPr>
        <w:t>A</w:t>
      </w:r>
      <w:r w:rsidRPr="001142EC">
        <w:rPr>
          <w:rFonts w:ascii="Times New Roman" w:hAnsi="Times New Roman" w:cs="Times New Roman"/>
          <w:sz w:val="24"/>
          <w:szCs w:val="24"/>
        </w:rPr>
        <w:t xml:space="preserve">gencies also </w:t>
      </w:r>
      <w:r w:rsidRPr="001142EC">
        <w:rPr>
          <w:rFonts w:ascii="Times New Roman" w:hAnsi="Times New Roman" w:cs="Times New Roman"/>
          <w:sz w:val="24"/>
          <w:szCs w:val="24"/>
        </w:rPr>
        <w:lastRenderedPageBreak/>
        <w:t>should consider the extent to which a product is transforming data points (such as laboratory values or drug dosages) used to guide clinical decision-making and treatment. For example, when drug dosage data are sent from an order entry system to a pharmacy information system, it is crucial for safety that both the data points and their units of measure are accurate within each system and across systems.</w:t>
      </w:r>
    </w:p>
    <w:p w:rsidR="004E24BB" w:rsidRPr="001142EC" w:rsidRDefault="004E24BB" w:rsidP="001142EC">
      <w:pPr>
        <w:pStyle w:val="ListParagraph"/>
        <w:numPr>
          <w:ilvl w:val="0"/>
          <w:numId w:val="10"/>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Manufacturers should not be allowed to include in their contracts indemnity clauses or nondisclosure language that limits the ability of users to identify and publicly raise safety concerns.</w:t>
      </w:r>
    </w:p>
    <w:p w:rsidR="00024F61" w:rsidRPr="00067C1A" w:rsidRDefault="00AB40B6" w:rsidP="001142EC">
      <w:pPr>
        <w:pStyle w:val="ListParagraph"/>
        <w:numPr>
          <w:ilvl w:val="0"/>
          <w:numId w:val="10"/>
        </w:numPr>
        <w:spacing w:after="0" w:line="240" w:lineRule="auto"/>
        <w:rPr>
          <w:rFonts w:ascii="Times New Roman" w:eastAsia="Arial Unicode MS" w:hAnsi="Times New Roman" w:cs="Times New Roman"/>
          <w:color w:val="000000"/>
          <w:sz w:val="24"/>
          <w:szCs w:val="24"/>
        </w:rPr>
      </w:pPr>
      <w:r>
        <w:rPr>
          <w:rFonts w:ascii="Times New Roman" w:hAnsi="Times New Roman" w:cs="Times New Roman"/>
          <w:sz w:val="24"/>
          <w:szCs w:val="24"/>
        </w:rPr>
        <w:t>Co</w:t>
      </w:r>
      <w:r w:rsidR="00024F61" w:rsidRPr="001142EC">
        <w:rPr>
          <w:rFonts w:ascii="Times New Roman" w:hAnsi="Times New Roman" w:cs="Times New Roman"/>
          <w:sz w:val="24"/>
          <w:szCs w:val="24"/>
        </w:rPr>
        <w:t>nsider the safety issues that stem from the lack of a single, national approach to matching patients to their records that all parties can use to accurately and efficiently exchange health information.</w:t>
      </w:r>
    </w:p>
    <w:p w:rsidR="00C90531" w:rsidRPr="007F779A" w:rsidRDefault="00C90531" w:rsidP="001142EC">
      <w:pPr>
        <w:spacing w:after="0" w:line="240" w:lineRule="auto"/>
        <w:rPr>
          <w:rFonts w:ascii="Times New Roman" w:eastAsia="Arial Unicode MS" w:hAnsi="Times New Roman" w:cs="Times New Roman"/>
          <w:color w:val="000000"/>
          <w:sz w:val="8"/>
          <w:szCs w:val="8"/>
        </w:rPr>
      </w:pPr>
    </w:p>
    <w:p w:rsidR="00106238" w:rsidRPr="007F779A" w:rsidRDefault="00944037" w:rsidP="001142EC">
      <w:pPr>
        <w:spacing w:after="0" w:line="240" w:lineRule="auto"/>
        <w:rPr>
          <w:rFonts w:ascii="Times New Roman" w:eastAsia="Arial Unicode MS" w:hAnsi="Times New Roman" w:cs="Times New Roman"/>
          <w:b/>
          <w:color w:val="0000FF"/>
          <w:sz w:val="24"/>
          <w:szCs w:val="24"/>
        </w:rPr>
      </w:pPr>
      <w:r>
        <w:rPr>
          <w:rFonts w:ascii="Times New Roman" w:eastAsia="Arial Unicode MS" w:hAnsi="Times New Roman" w:cs="Times New Roman"/>
          <w:b/>
          <w:color w:val="0000FF"/>
          <w:sz w:val="24"/>
          <w:szCs w:val="24"/>
        </w:rPr>
        <w:t xml:space="preserve">EHRA and </w:t>
      </w:r>
      <w:r w:rsidR="00FB0DD2" w:rsidRPr="007F779A">
        <w:rPr>
          <w:rFonts w:ascii="Times New Roman" w:eastAsia="Arial Unicode MS" w:hAnsi="Times New Roman" w:cs="Times New Roman"/>
          <w:b/>
          <w:color w:val="0000FF"/>
          <w:sz w:val="24"/>
          <w:szCs w:val="24"/>
        </w:rPr>
        <w:t>Greenway Medical Technologies</w:t>
      </w:r>
    </w:p>
    <w:p w:rsidR="00485954" w:rsidRPr="007F779A" w:rsidRDefault="00485954" w:rsidP="007F779A">
      <w:pPr>
        <w:autoSpaceDE w:val="0"/>
        <w:autoSpaceDN w:val="0"/>
        <w:adjustRightInd w:val="0"/>
        <w:spacing w:after="0" w:line="240" w:lineRule="auto"/>
        <w:rPr>
          <w:rFonts w:ascii="Times New Roman" w:hAnsi="Times New Roman" w:cs="Times New Roman"/>
          <w:color w:val="000000"/>
          <w:sz w:val="24"/>
          <w:szCs w:val="24"/>
        </w:rPr>
      </w:pPr>
      <w:r w:rsidRPr="007F779A">
        <w:rPr>
          <w:rFonts w:ascii="Times New Roman" w:hAnsi="Times New Roman" w:cs="Times New Roman"/>
          <w:color w:val="000000"/>
          <w:sz w:val="24"/>
          <w:szCs w:val="24"/>
          <w:u w:val="single"/>
        </w:rPr>
        <w:t>Sees little benefit from</w:t>
      </w:r>
      <w:r w:rsidRPr="007F779A">
        <w:rPr>
          <w:rFonts w:ascii="Times New Roman" w:hAnsi="Times New Roman" w:cs="Times New Roman"/>
          <w:color w:val="000000"/>
          <w:sz w:val="24"/>
          <w:szCs w:val="24"/>
        </w:rPr>
        <w:t xml:space="preserve">: </w:t>
      </w:r>
    </w:p>
    <w:p w:rsidR="00485954" w:rsidRPr="001142EC" w:rsidRDefault="00485954" w:rsidP="007F779A">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142EC">
        <w:rPr>
          <w:rFonts w:ascii="Times New Roman" w:hAnsi="Times New Roman" w:cs="Times New Roman"/>
          <w:color w:val="000000"/>
          <w:sz w:val="24"/>
          <w:szCs w:val="24"/>
        </w:rPr>
        <w:t xml:space="preserve">Using meaningful use regulations and certification to embed intrusive requirements into EHR design that are not conducive to or needed for a learning system; </w:t>
      </w:r>
    </w:p>
    <w:p w:rsidR="007F5CA5" w:rsidRPr="001142EC" w:rsidRDefault="00485954" w:rsidP="007F779A">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142EC">
        <w:rPr>
          <w:rFonts w:ascii="Times New Roman" w:hAnsi="Times New Roman" w:cs="Times New Roman"/>
          <w:color w:val="000000"/>
          <w:sz w:val="24"/>
          <w:szCs w:val="24"/>
        </w:rPr>
        <w:t xml:space="preserve">Expanding the role of the ONC Authorized Certification Bodies (ACBs) role into patient safety evaluation and enforcement, which is not within their core competencies; </w:t>
      </w:r>
    </w:p>
    <w:p w:rsidR="007F5CA5" w:rsidRPr="001142EC" w:rsidRDefault="007F5CA5" w:rsidP="007F779A">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142EC">
        <w:rPr>
          <w:rFonts w:ascii="Times New Roman" w:hAnsi="Times New Roman" w:cs="Times New Roman"/>
          <w:color w:val="000000"/>
          <w:sz w:val="24"/>
          <w:szCs w:val="24"/>
        </w:rPr>
        <w:t xml:space="preserve">Equating usability with patient safety. Although some usability issues may affect safety, we do not agree that comparing users’ experiences can determine safety among EHRs. We suggest that it is more appropriate to implement evaluation processes such as reporting, analyzing, and learning to determine the impacts of health IT and usability on patient safety, before devising a regulatory or oversight approach to usability. </w:t>
      </w:r>
    </w:p>
    <w:p w:rsidR="00317709" w:rsidRPr="007F779A" w:rsidRDefault="00317709" w:rsidP="001142EC">
      <w:pPr>
        <w:autoSpaceDE w:val="0"/>
        <w:autoSpaceDN w:val="0"/>
        <w:adjustRightInd w:val="0"/>
        <w:spacing w:after="0" w:line="240" w:lineRule="auto"/>
        <w:rPr>
          <w:rFonts w:ascii="Times New Roman" w:hAnsi="Times New Roman" w:cs="Times New Roman"/>
          <w:color w:val="000000"/>
          <w:sz w:val="8"/>
          <w:szCs w:val="8"/>
        </w:rPr>
      </w:pPr>
    </w:p>
    <w:p w:rsidR="007F5CA5" w:rsidRPr="007F779A" w:rsidRDefault="00317709" w:rsidP="001142EC">
      <w:pPr>
        <w:autoSpaceDE w:val="0"/>
        <w:autoSpaceDN w:val="0"/>
        <w:adjustRightInd w:val="0"/>
        <w:spacing w:after="0" w:line="240" w:lineRule="auto"/>
        <w:rPr>
          <w:rFonts w:ascii="Times New Roman" w:hAnsi="Times New Roman" w:cs="Times New Roman"/>
          <w:b/>
          <w:color w:val="0000FF"/>
          <w:sz w:val="24"/>
          <w:szCs w:val="24"/>
        </w:rPr>
      </w:pPr>
      <w:r w:rsidRPr="007F779A">
        <w:rPr>
          <w:rFonts w:ascii="Times New Roman" w:hAnsi="Times New Roman" w:cs="Times New Roman"/>
          <w:b/>
          <w:color w:val="0000FF"/>
          <w:sz w:val="24"/>
          <w:szCs w:val="24"/>
        </w:rPr>
        <w:t>Verizon</w:t>
      </w:r>
    </w:p>
    <w:p w:rsidR="0061513E" w:rsidRDefault="0061513E" w:rsidP="0061513E">
      <w:pPr>
        <w:pStyle w:val="ListParagraph"/>
        <w:numPr>
          <w:ilvl w:val="0"/>
          <w:numId w:val="30"/>
        </w:numPr>
        <w:autoSpaceDE w:val="0"/>
        <w:autoSpaceDN w:val="0"/>
        <w:adjustRightInd w:val="0"/>
        <w:spacing w:after="0" w:line="240" w:lineRule="auto"/>
        <w:rPr>
          <w:rFonts w:ascii="Times New Roman" w:hAnsi="Times New Roman" w:cs="Times New Roman"/>
          <w:color w:val="2E2E2E"/>
          <w:sz w:val="24"/>
          <w:szCs w:val="24"/>
        </w:rPr>
      </w:pPr>
      <w:r>
        <w:rPr>
          <w:rFonts w:ascii="Times New Roman" w:hAnsi="Times New Roman" w:cs="Times New Roman"/>
          <w:color w:val="2E2E2E"/>
          <w:sz w:val="24"/>
          <w:szCs w:val="24"/>
        </w:rPr>
        <w:t>U</w:t>
      </w:r>
      <w:r w:rsidR="00A340FD" w:rsidRPr="0061513E">
        <w:rPr>
          <w:rFonts w:ascii="Times New Roman" w:hAnsi="Times New Roman" w:cs="Times New Roman"/>
          <w:color w:val="2E2E2E"/>
          <w:sz w:val="24"/>
          <w:szCs w:val="24"/>
        </w:rPr>
        <w:t>tilize existing exemptions (and create new exemptions) to premarket application filing and manufacturing quality system regulations ("QSRs") available to particular Class I and Class II devices; and/or (3) apply enforcement discretion, a regulatory practice whereby FDA purposefully declines to exercise its full regulatory and enforcement authority with respect to products and solutions despite apparent jurisdiction to do so, in cases where there is minimal potential risk of patient harm.</w:t>
      </w:r>
    </w:p>
    <w:p w:rsidR="00AB40B6" w:rsidRPr="0061513E" w:rsidRDefault="0061513E" w:rsidP="0061513E">
      <w:pPr>
        <w:pStyle w:val="ListParagraph"/>
        <w:numPr>
          <w:ilvl w:val="0"/>
          <w:numId w:val="30"/>
        </w:numPr>
        <w:autoSpaceDE w:val="0"/>
        <w:autoSpaceDN w:val="0"/>
        <w:adjustRightInd w:val="0"/>
        <w:spacing w:after="0" w:line="240" w:lineRule="auto"/>
        <w:rPr>
          <w:rFonts w:ascii="Times New Roman" w:hAnsi="Times New Roman" w:cs="Times New Roman"/>
          <w:color w:val="2E2E2E"/>
          <w:sz w:val="24"/>
          <w:szCs w:val="24"/>
        </w:rPr>
      </w:pPr>
      <w:r w:rsidRPr="0061513E">
        <w:rPr>
          <w:rFonts w:ascii="Times New Roman" w:hAnsi="Times New Roman" w:cs="Times New Roman"/>
          <w:color w:val="2E2E2E"/>
          <w:sz w:val="24"/>
          <w:szCs w:val="24"/>
        </w:rPr>
        <w:t xml:space="preserve">Use narrow medical device interpretation as noted in “Taxonomy” response or </w:t>
      </w:r>
      <w:r w:rsidR="00EE39D4" w:rsidRPr="0061513E">
        <w:rPr>
          <w:rFonts w:ascii="Times New Roman" w:hAnsi="Times New Roman" w:cs="Times New Roman"/>
          <w:color w:val="313131"/>
          <w:sz w:val="24"/>
          <w:szCs w:val="24"/>
        </w:rPr>
        <w:t>regulated medical devices in this field</w:t>
      </w:r>
      <w:r w:rsidR="00CD794A" w:rsidRPr="0061513E">
        <w:rPr>
          <w:rFonts w:ascii="Times New Roman" w:hAnsi="Times New Roman" w:cs="Times New Roman"/>
          <w:color w:val="313131"/>
          <w:sz w:val="24"/>
          <w:szCs w:val="24"/>
        </w:rPr>
        <w:t xml:space="preserve"> </w:t>
      </w:r>
      <w:r w:rsidR="00EE39D4" w:rsidRPr="0061513E">
        <w:rPr>
          <w:rFonts w:ascii="Times New Roman" w:hAnsi="Times New Roman" w:cs="Times New Roman"/>
          <w:color w:val="313131"/>
          <w:sz w:val="24"/>
          <w:szCs w:val="24"/>
        </w:rPr>
        <w:t>should be classified as Class I exempt from 510(k)s, pre-market approval, and QSRs if</w:t>
      </w:r>
      <w:r w:rsidR="00CD794A" w:rsidRPr="0061513E">
        <w:rPr>
          <w:rFonts w:ascii="Times New Roman" w:hAnsi="Times New Roman" w:cs="Times New Roman"/>
          <w:color w:val="313131"/>
          <w:sz w:val="24"/>
          <w:szCs w:val="24"/>
        </w:rPr>
        <w:t xml:space="preserve"> </w:t>
      </w:r>
      <w:r w:rsidR="00EE39D4" w:rsidRPr="0061513E">
        <w:rPr>
          <w:rFonts w:ascii="Times New Roman" w:hAnsi="Times New Roman" w:cs="Times New Roman"/>
          <w:color w:val="313131"/>
          <w:sz w:val="24"/>
          <w:szCs w:val="24"/>
        </w:rPr>
        <w:t>they are</w:t>
      </w:r>
      <w:r w:rsidR="00CD794A" w:rsidRPr="0061513E">
        <w:rPr>
          <w:rFonts w:ascii="Times New Roman" w:hAnsi="Times New Roman" w:cs="Times New Roman"/>
          <w:color w:val="313131"/>
          <w:sz w:val="24"/>
          <w:szCs w:val="24"/>
        </w:rPr>
        <w:t xml:space="preserve"> </w:t>
      </w:r>
      <w:r w:rsidR="00EE39D4" w:rsidRPr="0061513E">
        <w:rPr>
          <w:rFonts w:ascii="Times New Roman" w:hAnsi="Times New Roman" w:cs="Times New Roman"/>
          <w:color w:val="313131"/>
          <w:sz w:val="24"/>
          <w:szCs w:val="24"/>
        </w:rPr>
        <w:t>unlikely to cause patient harm. When the FDA deems a medical device to pose little or no potential for patient harm, or</w:t>
      </w:r>
      <w:r w:rsidR="00CD794A" w:rsidRPr="0061513E">
        <w:rPr>
          <w:rFonts w:ascii="Times New Roman" w:hAnsi="Times New Roman" w:cs="Times New Roman"/>
          <w:color w:val="313131"/>
          <w:sz w:val="24"/>
          <w:szCs w:val="24"/>
        </w:rPr>
        <w:t xml:space="preserve"> </w:t>
      </w:r>
      <w:r w:rsidR="00EE39D4" w:rsidRPr="0061513E">
        <w:rPr>
          <w:rFonts w:ascii="Times New Roman" w:hAnsi="Times New Roman" w:cs="Times New Roman"/>
          <w:color w:val="313131"/>
          <w:sz w:val="24"/>
          <w:szCs w:val="24"/>
        </w:rPr>
        <w:t>if the use of the device is well-documented and understood, the FDA could classify such a device</w:t>
      </w:r>
      <w:r w:rsidR="00CD794A" w:rsidRPr="0061513E">
        <w:rPr>
          <w:rFonts w:ascii="Times New Roman" w:hAnsi="Times New Roman" w:cs="Times New Roman"/>
          <w:color w:val="313131"/>
          <w:sz w:val="24"/>
          <w:szCs w:val="24"/>
        </w:rPr>
        <w:t xml:space="preserve"> </w:t>
      </w:r>
      <w:r w:rsidR="00EE39D4" w:rsidRPr="0061513E">
        <w:rPr>
          <w:rFonts w:ascii="Times New Roman" w:hAnsi="Times New Roman" w:cs="Times New Roman"/>
          <w:color w:val="313131"/>
          <w:sz w:val="24"/>
          <w:szCs w:val="24"/>
        </w:rPr>
        <w:t>as Class I exempt. Such an exemption could apply initially to the filing of premarket approval</w:t>
      </w:r>
      <w:r w:rsidR="00CD794A" w:rsidRPr="0061513E">
        <w:rPr>
          <w:rFonts w:ascii="Times New Roman" w:hAnsi="Times New Roman" w:cs="Times New Roman"/>
          <w:color w:val="313131"/>
          <w:sz w:val="24"/>
          <w:szCs w:val="24"/>
        </w:rPr>
        <w:t xml:space="preserve"> </w:t>
      </w:r>
      <w:r w:rsidR="00EE39D4" w:rsidRPr="0061513E">
        <w:rPr>
          <w:rFonts w:ascii="Times New Roman" w:hAnsi="Times New Roman" w:cs="Times New Roman"/>
          <w:color w:val="313131"/>
          <w:sz w:val="24"/>
          <w:szCs w:val="24"/>
        </w:rPr>
        <w:t>applications and compliance with QSR.</w:t>
      </w:r>
      <w:r w:rsidR="00046BF0" w:rsidRPr="0061513E">
        <w:rPr>
          <w:rFonts w:ascii="Times New Roman" w:hAnsi="Times New Roman" w:cs="Times New Roman"/>
          <w:color w:val="333333"/>
          <w:sz w:val="24"/>
          <w:szCs w:val="24"/>
        </w:rPr>
        <w:t xml:space="preserve"> FDA could adjust this </w:t>
      </w:r>
      <w:r w:rsidR="00046BF0" w:rsidRPr="0061513E">
        <w:rPr>
          <w:rFonts w:ascii="Times New Roman" w:hAnsi="Times New Roman" w:cs="Times New Roman"/>
          <w:color w:val="454545"/>
          <w:sz w:val="24"/>
          <w:szCs w:val="24"/>
        </w:rPr>
        <w:t xml:space="preserve">approach, </w:t>
      </w:r>
      <w:r w:rsidR="00046BF0" w:rsidRPr="0061513E">
        <w:rPr>
          <w:rFonts w:ascii="Times New Roman" w:hAnsi="Times New Roman" w:cs="Times New Roman"/>
          <w:color w:val="333333"/>
          <w:sz w:val="24"/>
          <w:szCs w:val="24"/>
        </w:rPr>
        <w:t>if justified, based on its monitoring of the</w:t>
      </w:r>
      <w:r w:rsidR="00CD794A" w:rsidRPr="0061513E">
        <w:rPr>
          <w:rFonts w:ascii="Times New Roman" w:hAnsi="Times New Roman" w:cs="Times New Roman"/>
          <w:color w:val="333333"/>
          <w:sz w:val="24"/>
          <w:szCs w:val="24"/>
        </w:rPr>
        <w:t xml:space="preserve">  p</w:t>
      </w:r>
      <w:r w:rsidR="00046BF0" w:rsidRPr="0061513E">
        <w:rPr>
          <w:rFonts w:ascii="Times New Roman" w:hAnsi="Times New Roman" w:cs="Times New Roman"/>
          <w:color w:val="333333"/>
          <w:sz w:val="24"/>
          <w:szCs w:val="24"/>
        </w:rPr>
        <w:t>erformance</w:t>
      </w:r>
      <w:r w:rsidR="00CD794A"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 xml:space="preserve">of these devices </w:t>
      </w:r>
      <w:r w:rsidR="00CD794A" w:rsidRPr="0061513E">
        <w:rPr>
          <w:rFonts w:ascii="Times New Roman" w:hAnsi="Times New Roman" w:cs="Times New Roman"/>
          <w:color w:val="333333"/>
          <w:sz w:val="24"/>
          <w:szCs w:val="24"/>
        </w:rPr>
        <w:t>a</w:t>
      </w:r>
      <w:r w:rsidR="00046BF0" w:rsidRPr="0061513E">
        <w:rPr>
          <w:rFonts w:ascii="Times New Roman" w:hAnsi="Times New Roman" w:cs="Times New Roman"/>
          <w:color w:val="333333"/>
          <w:sz w:val="24"/>
          <w:szCs w:val="24"/>
        </w:rPr>
        <w:t>nd the filing of any Medical Device Reports (MDRs)</w:t>
      </w:r>
      <w:r w:rsidR="00CD794A"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An exercise of enforcement discretion by FDA's CDRH may be required and appropriate in certain cases, such that FDA would</w:t>
      </w:r>
      <w:r w:rsidR="00CD794A"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decline to pursue enforcement action for violations of the Act, including allowing a product to</w:t>
      </w:r>
      <w:r w:rsidR="00CD794A"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remain on the market that FDA believes is within the definition of a medical device, but for</w:t>
      </w:r>
      <w:r w:rsidR="00CD794A"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which premarket approval has not been sought. Enforcement discretion for low-risk</w:t>
      </w:r>
      <w:r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devices with respect to compliance with QSR could encourage development of meaningful new</w:t>
      </w:r>
      <w:r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technologies and applications. This would alleviate the concern of manufacturers whose core</w:t>
      </w:r>
      <w:r w:rsidRPr="0061513E">
        <w:rPr>
          <w:rFonts w:ascii="Times New Roman" w:hAnsi="Times New Roman" w:cs="Times New Roman"/>
          <w:color w:val="333333"/>
          <w:sz w:val="24"/>
          <w:szCs w:val="24"/>
        </w:rPr>
        <w:t xml:space="preserve"> </w:t>
      </w:r>
      <w:r w:rsidR="00046BF0" w:rsidRPr="0061513E">
        <w:rPr>
          <w:rFonts w:ascii="Times New Roman" w:hAnsi="Times New Roman" w:cs="Times New Roman"/>
          <w:color w:val="333333"/>
          <w:sz w:val="24"/>
          <w:szCs w:val="24"/>
        </w:rPr>
        <w:t>technologies are not usually subject to FDA regulatory authority, that their operations would fall</w:t>
      </w:r>
      <w:r w:rsidR="00046BF0" w:rsidRPr="0061513E">
        <w:rPr>
          <w:rFonts w:ascii="Times New Roman" w:hAnsi="Times New Roman" w:cs="Times New Roman"/>
          <w:color w:val="2F2F2F"/>
          <w:sz w:val="24"/>
          <w:szCs w:val="24"/>
        </w:rPr>
        <w:t xml:space="preserve"> within the burdensome FDA QSR </w:t>
      </w:r>
      <w:r w:rsidR="00046BF0" w:rsidRPr="0061513E">
        <w:rPr>
          <w:rFonts w:ascii="Times New Roman" w:hAnsi="Times New Roman" w:cs="Times New Roman"/>
          <w:color w:val="2F2F2F"/>
          <w:sz w:val="24"/>
          <w:szCs w:val="24"/>
        </w:rPr>
        <w:lastRenderedPageBreak/>
        <w:t>regime. It may be appropriate for FDA to establish a policy,</w:t>
      </w:r>
      <w:r w:rsidRPr="0061513E">
        <w:rPr>
          <w:rFonts w:ascii="Times New Roman" w:hAnsi="Times New Roman" w:cs="Times New Roman"/>
          <w:color w:val="2F2F2F"/>
          <w:sz w:val="24"/>
          <w:szCs w:val="24"/>
        </w:rPr>
        <w:t xml:space="preserve"> </w:t>
      </w:r>
      <w:r w:rsidR="00046BF0" w:rsidRPr="0061513E">
        <w:rPr>
          <w:rFonts w:ascii="Times New Roman" w:hAnsi="Times New Roman" w:cs="Times New Roman"/>
          <w:color w:val="2F2F2F"/>
          <w:sz w:val="24"/>
          <w:szCs w:val="24"/>
        </w:rPr>
        <w:t>in conjunction with its exercise of enforcement discretion, which would provide application</w:t>
      </w:r>
      <w:r w:rsidRPr="0061513E">
        <w:rPr>
          <w:rFonts w:ascii="Times New Roman" w:hAnsi="Times New Roman" w:cs="Times New Roman"/>
          <w:color w:val="2F2F2F"/>
          <w:sz w:val="24"/>
          <w:szCs w:val="24"/>
        </w:rPr>
        <w:t xml:space="preserve"> </w:t>
      </w:r>
      <w:r w:rsidR="00046BF0" w:rsidRPr="0061513E">
        <w:rPr>
          <w:rFonts w:ascii="Times New Roman" w:hAnsi="Times New Roman" w:cs="Times New Roman"/>
          <w:color w:val="2F2F2F"/>
          <w:sz w:val="24"/>
          <w:szCs w:val="24"/>
        </w:rPr>
        <w:t>developers and others a specific period of time in which to come into compliance with the</w:t>
      </w:r>
      <w:r w:rsidRPr="0061513E">
        <w:rPr>
          <w:rFonts w:ascii="Times New Roman" w:hAnsi="Times New Roman" w:cs="Times New Roman"/>
          <w:color w:val="2F2F2F"/>
          <w:sz w:val="24"/>
          <w:szCs w:val="24"/>
        </w:rPr>
        <w:t xml:space="preserve"> </w:t>
      </w:r>
      <w:r w:rsidR="00046BF0" w:rsidRPr="0061513E">
        <w:rPr>
          <w:rFonts w:ascii="Times New Roman" w:hAnsi="Times New Roman" w:cs="Times New Roman"/>
          <w:color w:val="2F2F2F"/>
          <w:sz w:val="24"/>
          <w:szCs w:val="24"/>
        </w:rPr>
        <w:t>waived requirements if an exercise of enforcement discretion is rescinded.</w:t>
      </w:r>
      <w:r w:rsidRPr="0061513E">
        <w:rPr>
          <w:rFonts w:ascii="Times New Roman" w:hAnsi="Times New Roman" w:cs="Times New Roman"/>
          <w:color w:val="2F2F2F"/>
          <w:sz w:val="24"/>
          <w:szCs w:val="24"/>
        </w:rPr>
        <w:t xml:space="preserve"> </w:t>
      </w:r>
    </w:p>
    <w:p w:rsidR="0061513E" w:rsidRPr="0061513E" w:rsidRDefault="0061513E" w:rsidP="0061513E">
      <w:pPr>
        <w:autoSpaceDE w:val="0"/>
        <w:autoSpaceDN w:val="0"/>
        <w:adjustRightInd w:val="0"/>
        <w:spacing w:after="0" w:line="240" w:lineRule="auto"/>
        <w:rPr>
          <w:rFonts w:ascii="Times New Roman" w:eastAsia="Arial Unicode MS" w:hAnsi="Times New Roman" w:cs="Times New Roman"/>
          <w:color w:val="000000"/>
          <w:sz w:val="8"/>
          <w:szCs w:val="8"/>
        </w:rPr>
      </w:pPr>
    </w:p>
    <w:p w:rsidR="009C33DC" w:rsidRPr="00FA4E06" w:rsidRDefault="009C33DC" w:rsidP="001142EC">
      <w:pPr>
        <w:spacing w:after="0" w:line="240" w:lineRule="auto"/>
        <w:rPr>
          <w:rFonts w:ascii="Times New Roman" w:eastAsia="Arial Unicode MS" w:hAnsi="Times New Roman" w:cs="Times New Roman"/>
          <w:b/>
          <w:color w:val="0000FF"/>
          <w:sz w:val="24"/>
          <w:szCs w:val="24"/>
        </w:rPr>
      </w:pPr>
      <w:r w:rsidRPr="00FA4E06">
        <w:rPr>
          <w:rFonts w:ascii="Times New Roman" w:hAnsi="Times New Roman" w:cs="Times New Roman"/>
          <w:b/>
          <w:color w:val="0000FF"/>
          <w:sz w:val="24"/>
          <w:szCs w:val="24"/>
        </w:rPr>
        <w:t>eHealth Initiative (eHI)</w:t>
      </w:r>
    </w:p>
    <w:p w:rsidR="009C33DC" w:rsidRPr="001142EC" w:rsidRDefault="00E551C6" w:rsidP="001142EC">
      <w:pPr>
        <w:pStyle w:val="ListParagraph"/>
        <w:numPr>
          <w:ilvl w:val="0"/>
          <w:numId w:val="4"/>
        </w:numPr>
        <w:spacing w:after="0" w:line="240" w:lineRule="auto"/>
        <w:rPr>
          <w:rFonts w:ascii="Times New Roman" w:eastAsia="Arial Unicode MS" w:hAnsi="Times New Roman" w:cs="Times New Roman"/>
          <w:color w:val="000000"/>
          <w:sz w:val="24"/>
          <w:szCs w:val="24"/>
        </w:rPr>
      </w:pPr>
      <w:r>
        <w:rPr>
          <w:rFonts w:ascii="Times New Roman" w:hAnsi="Times New Roman" w:cs="Times New Roman"/>
          <w:sz w:val="24"/>
          <w:szCs w:val="24"/>
        </w:rPr>
        <w:t>E</w:t>
      </w:r>
      <w:r w:rsidR="009C33DC" w:rsidRPr="001142EC">
        <w:rPr>
          <w:rFonts w:ascii="Times New Roman" w:hAnsi="Times New Roman" w:cs="Times New Roman"/>
          <w:sz w:val="24"/>
          <w:szCs w:val="24"/>
        </w:rPr>
        <w:t>valuate the available peer reviewed and other high quality literature on benefits and risks associated with health IT, including incidence and prevalence</w:t>
      </w:r>
      <w:r w:rsidR="001916BA">
        <w:rPr>
          <w:rFonts w:ascii="Times New Roman" w:hAnsi="Times New Roman" w:cs="Times New Roman"/>
          <w:sz w:val="24"/>
          <w:szCs w:val="24"/>
        </w:rPr>
        <w:t>.</w:t>
      </w:r>
    </w:p>
    <w:p w:rsidR="00F60F67" w:rsidRPr="001142EC" w:rsidRDefault="00744D78" w:rsidP="001142EC">
      <w:pPr>
        <w:pStyle w:val="ListParagraph"/>
        <w:numPr>
          <w:ilvl w:val="0"/>
          <w:numId w:val="4"/>
        </w:numPr>
        <w:spacing w:after="0" w:line="240" w:lineRule="auto"/>
        <w:rPr>
          <w:rFonts w:ascii="Times New Roman" w:eastAsia="Arial Unicode MS" w:hAnsi="Times New Roman" w:cs="Times New Roman"/>
          <w:color w:val="000000"/>
          <w:sz w:val="24"/>
          <w:szCs w:val="24"/>
        </w:rPr>
      </w:pPr>
      <w:r>
        <w:rPr>
          <w:rFonts w:ascii="Times New Roman" w:hAnsi="Times New Roman" w:cs="Times New Roman"/>
          <w:sz w:val="24"/>
          <w:szCs w:val="24"/>
        </w:rPr>
        <w:t>F</w:t>
      </w:r>
      <w:r w:rsidR="00F60F67" w:rsidRPr="001142EC">
        <w:rPr>
          <w:rFonts w:ascii="Times New Roman" w:hAnsi="Times New Roman" w:cs="Times New Roman"/>
          <w:sz w:val="24"/>
          <w:szCs w:val="24"/>
        </w:rPr>
        <w:t>ocus on the potential that a technology or product can cause harm, the likelihood that such potentially harmful situations will occur, the extent of harm, and the extent to which the risk can be mitigated or not, for example whether the technology guides clinical decision-making without clinician intervention. A risk based framework should allow for the appropriate level of oversight or regulation, and should also consider the costs and benefits of regulation or oversight and support the continuation and flexibility of innovation of health IT.</w:t>
      </w:r>
    </w:p>
    <w:p w:rsidR="002E2D5E" w:rsidRDefault="002E2D5E" w:rsidP="001142EC">
      <w:pPr>
        <w:spacing w:after="0" w:line="240" w:lineRule="auto"/>
        <w:outlineLvl w:val="5"/>
        <w:rPr>
          <w:rFonts w:ascii="Times New Roman" w:eastAsia="Arial Unicode MS" w:hAnsi="Times New Roman" w:cs="Times New Roman"/>
          <w:caps/>
          <w:color w:val="000000"/>
          <w:sz w:val="24"/>
          <w:szCs w:val="24"/>
        </w:rPr>
      </w:pPr>
    </w:p>
    <w:p w:rsidR="00490E57" w:rsidRPr="002E2D5E" w:rsidRDefault="00490E57" w:rsidP="001142EC">
      <w:pPr>
        <w:spacing w:after="0" w:line="240" w:lineRule="auto"/>
        <w:outlineLvl w:val="5"/>
        <w:rPr>
          <w:rFonts w:ascii="Times New Roman" w:eastAsia="Arial Unicode MS" w:hAnsi="Times New Roman" w:cs="Times New Roman"/>
          <w:b/>
          <w:caps/>
          <w:color w:val="000000"/>
          <w:sz w:val="24"/>
          <w:szCs w:val="24"/>
        </w:rPr>
      </w:pPr>
      <w:r w:rsidRPr="002E2D5E">
        <w:rPr>
          <w:rFonts w:ascii="Times New Roman" w:eastAsia="Arial Unicode MS" w:hAnsi="Times New Roman" w:cs="Times New Roman"/>
          <w:b/>
          <w:caps/>
          <w:color w:val="000000"/>
          <w:sz w:val="24"/>
          <w:szCs w:val="24"/>
        </w:rPr>
        <w:t>Regulation</w:t>
      </w:r>
    </w:p>
    <w:p w:rsidR="00490E57" w:rsidRPr="002E2D5E" w:rsidRDefault="00490E57" w:rsidP="001142EC">
      <w:pPr>
        <w:spacing w:after="0" w:line="240" w:lineRule="auto"/>
        <w:rPr>
          <w:rFonts w:ascii="Times New Roman" w:eastAsia="Arial Unicode MS" w:hAnsi="Times New Roman" w:cs="Times New Roman"/>
          <w:b/>
          <w:i/>
          <w:color w:val="000000"/>
          <w:sz w:val="24"/>
          <w:szCs w:val="24"/>
        </w:rPr>
      </w:pPr>
      <w:r w:rsidRPr="002E2D5E">
        <w:rPr>
          <w:rFonts w:ascii="Times New Roman" w:eastAsia="Arial Unicode MS" w:hAnsi="Times New Roman" w:cs="Times New Roman"/>
          <w:b/>
          <w:i/>
          <w:color w:val="000000"/>
          <w:sz w:val="24"/>
          <w:szCs w:val="24"/>
        </w:rPr>
        <w:t>a. Are there current areas of regulatory overlap among FDA, ONC, and/or FCC and if so, what are they? Please be specific if possible.</w:t>
      </w:r>
    </w:p>
    <w:p w:rsidR="00717B9B" w:rsidRPr="000E0004" w:rsidRDefault="00717B9B" w:rsidP="001142EC">
      <w:pPr>
        <w:spacing w:after="0" w:line="240" w:lineRule="auto"/>
        <w:rPr>
          <w:rFonts w:ascii="Times New Roman" w:eastAsia="Arial Unicode MS" w:hAnsi="Times New Roman" w:cs="Times New Roman"/>
          <w:color w:val="000000"/>
          <w:sz w:val="8"/>
          <w:szCs w:val="8"/>
        </w:rPr>
      </w:pPr>
    </w:p>
    <w:p w:rsidR="00C124B6" w:rsidRPr="00C124B6" w:rsidRDefault="00C124B6" w:rsidP="001142EC">
      <w:pPr>
        <w:spacing w:after="0" w:line="240" w:lineRule="auto"/>
        <w:rPr>
          <w:rFonts w:ascii="Times New Roman" w:eastAsia="Arial Unicode MS" w:hAnsi="Times New Roman" w:cs="Times New Roman"/>
          <w:b/>
          <w:color w:val="FF0000"/>
          <w:sz w:val="24"/>
          <w:szCs w:val="24"/>
        </w:rPr>
      </w:pPr>
      <w:r w:rsidRPr="00C124B6">
        <w:rPr>
          <w:rFonts w:ascii="Times New Roman" w:eastAsia="Arial Unicode MS" w:hAnsi="Times New Roman" w:cs="Times New Roman"/>
          <w:b/>
          <w:color w:val="FF0000"/>
          <w:sz w:val="24"/>
          <w:szCs w:val="24"/>
        </w:rPr>
        <w:t>Conduct an environmental scan of existing regulatory efforts as context for the report</w:t>
      </w:r>
    </w:p>
    <w:p w:rsidR="00C124B6" w:rsidRDefault="00C124B6" w:rsidP="001142EC">
      <w:pPr>
        <w:spacing w:after="0" w:line="240" w:lineRule="auto"/>
        <w:rPr>
          <w:rFonts w:ascii="Times New Roman" w:eastAsia="Arial Unicode MS" w:hAnsi="Times New Roman" w:cs="Times New Roman"/>
          <w:sz w:val="24"/>
          <w:szCs w:val="24"/>
        </w:rPr>
      </w:pPr>
      <w:r w:rsidRPr="00C124B6">
        <w:rPr>
          <w:rFonts w:ascii="Times New Roman" w:eastAsia="Arial Unicode MS" w:hAnsi="Times New Roman" w:cs="Times New Roman"/>
          <w:sz w:val="24"/>
          <w:szCs w:val="24"/>
        </w:rPr>
        <w:t xml:space="preserve">Supported by: </w:t>
      </w:r>
      <w:r>
        <w:rPr>
          <w:rFonts w:ascii="Times New Roman" w:eastAsia="Arial Unicode MS" w:hAnsi="Times New Roman" w:cs="Times New Roman"/>
          <w:sz w:val="24"/>
          <w:szCs w:val="24"/>
        </w:rPr>
        <w:t>AHA</w:t>
      </w:r>
      <w:r w:rsidR="00EE71BB">
        <w:rPr>
          <w:rFonts w:ascii="Times New Roman" w:eastAsia="Arial Unicode MS" w:hAnsi="Times New Roman" w:cs="Times New Roman"/>
          <w:sz w:val="24"/>
          <w:szCs w:val="24"/>
        </w:rPr>
        <w:t xml:space="preserve">, </w:t>
      </w:r>
      <w:r w:rsidR="00EE71BB" w:rsidRPr="00EE71BB">
        <w:rPr>
          <w:rFonts w:ascii="Times New Roman" w:hAnsi="Times New Roman" w:cs="Times New Roman"/>
          <w:sz w:val="24"/>
          <w:szCs w:val="24"/>
        </w:rPr>
        <w:t>eHealth Initiative (eHI)</w:t>
      </w:r>
      <w:r w:rsidR="00EE71BB">
        <w:rPr>
          <w:rFonts w:ascii="Times New Roman" w:hAnsi="Times New Roman" w:cs="Times New Roman"/>
          <w:sz w:val="24"/>
          <w:szCs w:val="24"/>
        </w:rPr>
        <w:t xml:space="preserve">, </w:t>
      </w:r>
      <w:r>
        <w:rPr>
          <w:rFonts w:ascii="Times New Roman" w:eastAsia="Arial Unicode MS" w:hAnsi="Times New Roman" w:cs="Times New Roman"/>
          <w:sz w:val="24"/>
          <w:szCs w:val="24"/>
        </w:rPr>
        <w:t>and AMIA.</w:t>
      </w:r>
    </w:p>
    <w:p w:rsidR="00C124B6" w:rsidRPr="00EE71BB" w:rsidRDefault="00C124B6" w:rsidP="00C124B6">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C124B6">
        <w:rPr>
          <w:rFonts w:ascii="Times New Roman" w:hAnsi="Times New Roman" w:cs="Times New Roman"/>
          <w:sz w:val="24"/>
          <w:szCs w:val="24"/>
        </w:rPr>
        <w:t xml:space="preserve">eek to minimize duplicative, or worse, conflicting regulations.  The hospital field is highly regulated by federal, state and local governments, and includes many private sector activities aimed to ensure and enhance patient safety. These include, but are not limited to, Medicare’s conditions of participation, accreditation by The Joint Commission or other federally recognized entities (which includes extensive analysis of health information and record management), Centers for Medicare &amp; Medicaid Services requirements for hospital laboratories (including lab information systems), state licensure of hospitals and health care providers, certifications from professional societies and many other ongoing activities. </w:t>
      </w:r>
      <w:r w:rsidRPr="00C124B6">
        <w:rPr>
          <w:rFonts w:ascii="Times New Roman" w:hAnsi="Times New Roman" w:cs="Times New Roman"/>
          <w:b/>
          <w:color w:val="0000FF"/>
          <w:sz w:val="24"/>
          <w:szCs w:val="24"/>
        </w:rPr>
        <w:t>AHA</w:t>
      </w:r>
    </w:p>
    <w:p w:rsidR="00EE71BB" w:rsidRPr="00C124B6" w:rsidRDefault="00EE71BB" w:rsidP="00C124B6">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C124B6">
        <w:rPr>
          <w:rFonts w:ascii="Times New Roman" w:hAnsi="Times New Roman" w:cs="Times New Roman"/>
          <w:sz w:val="24"/>
          <w:szCs w:val="24"/>
        </w:rPr>
        <w:t>ncourage the inclusion of existing national, state, and local regulations to prevent duplicative and/or conflicting efforts</w:t>
      </w:r>
      <w:r>
        <w:rPr>
          <w:rFonts w:ascii="Times New Roman" w:hAnsi="Times New Roman" w:cs="Times New Roman"/>
          <w:sz w:val="24"/>
          <w:szCs w:val="24"/>
        </w:rPr>
        <w:t xml:space="preserve">. </w:t>
      </w:r>
      <w:r w:rsidRPr="00EE71BB">
        <w:rPr>
          <w:rFonts w:ascii="Times New Roman" w:hAnsi="Times New Roman" w:cs="Times New Roman"/>
          <w:b/>
          <w:color w:val="0000FF"/>
          <w:sz w:val="24"/>
          <w:szCs w:val="24"/>
        </w:rPr>
        <w:t>eHealth Initiative (eHI)</w:t>
      </w:r>
    </w:p>
    <w:p w:rsidR="000B7BE8" w:rsidRPr="000B7BE8" w:rsidRDefault="000B7BE8" w:rsidP="001142EC">
      <w:pPr>
        <w:spacing w:after="0" w:line="240" w:lineRule="auto"/>
        <w:rPr>
          <w:rFonts w:ascii="Times New Roman" w:eastAsia="Arial Unicode MS" w:hAnsi="Times New Roman" w:cs="Times New Roman"/>
          <w:b/>
          <w:color w:val="0000FF"/>
          <w:sz w:val="8"/>
          <w:szCs w:val="8"/>
        </w:rPr>
      </w:pPr>
    </w:p>
    <w:p w:rsidR="000E0004" w:rsidRDefault="000E0004" w:rsidP="001142EC">
      <w:pPr>
        <w:spacing w:after="0" w:line="240" w:lineRule="auto"/>
        <w:rPr>
          <w:rFonts w:ascii="Times New Roman" w:eastAsia="Arial Unicode MS" w:hAnsi="Times New Roman" w:cs="Times New Roman"/>
          <w:b/>
          <w:color w:val="0000FF"/>
          <w:sz w:val="24"/>
          <w:szCs w:val="24"/>
        </w:rPr>
      </w:pPr>
      <w:r w:rsidRPr="00E62DA0">
        <w:rPr>
          <w:rFonts w:ascii="Times New Roman" w:eastAsia="Arial Unicode MS" w:hAnsi="Times New Roman" w:cs="Times New Roman"/>
          <w:b/>
          <w:color w:val="0000FF"/>
          <w:sz w:val="24"/>
          <w:szCs w:val="24"/>
        </w:rPr>
        <w:t>PhRMA</w:t>
      </w:r>
    </w:p>
    <w:p w:rsidR="000E0004" w:rsidRPr="001142EC" w:rsidRDefault="000E0004" w:rsidP="000E000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w:t>
      </w:r>
      <w:r w:rsidRPr="001142EC">
        <w:rPr>
          <w:rFonts w:ascii="Times New Roman" w:eastAsia="Arial Unicode MS" w:hAnsi="Times New Roman" w:cs="Times New Roman"/>
          <w:color w:val="000000"/>
          <w:sz w:val="24"/>
          <w:szCs w:val="24"/>
        </w:rPr>
        <w:t>edundancy w/n FDA – no clear policies between centers</w:t>
      </w:r>
      <w:r w:rsidR="00E64904">
        <w:rPr>
          <w:rFonts w:ascii="Times New Roman" w:eastAsia="Arial Unicode MS" w:hAnsi="Times New Roman" w:cs="Times New Roman"/>
          <w:color w:val="000000"/>
          <w:sz w:val="24"/>
          <w:szCs w:val="24"/>
        </w:rPr>
        <w:t xml:space="preserve"> (CDER, CDRH, and CBER)</w:t>
      </w:r>
    </w:p>
    <w:p w:rsidR="000E0004" w:rsidRPr="000E0004" w:rsidRDefault="000E0004" w:rsidP="001142EC">
      <w:pPr>
        <w:spacing w:after="0" w:line="240" w:lineRule="auto"/>
        <w:rPr>
          <w:rFonts w:ascii="Times New Roman" w:eastAsia="Arial Unicode MS" w:hAnsi="Times New Roman" w:cs="Times New Roman"/>
          <w:b/>
          <w:color w:val="0000FF"/>
          <w:sz w:val="8"/>
          <w:szCs w:val="8"/>
        </w:rPr>
      </w:pPr>
    </w:p>
    <w:p w:rsidR="007625F0" w:rsidRPr="0049516D" w:rsidRDefault="00717B9B" w:rsidP="001142EC">
      <w:pPr>
        <w:spacing w:after="0" w:line="240" w:lineRule="auto"/>
        <w:rPr>
          <w:rFonts w:ascii="Times New Roman" w:eastAsia="Arial Unicode MS" w:hAnsi="Times New Roman" w:cs="Times New Roman"/>
          <w:b/>
          <w:color w:val="0000FF"/>
          <w:sz w:val="24"/>
          <w:szCs w:val="24"/>
        </w:rPr>
      </w:pPr>
      <w:r w:rsidRPr="00606A6B">
        <w:rPr>
          <w:rFonts w:ascii="Times New Roman" w:eastAsia="Arial Unicode MS" w:hAnsi="Times New Roman" w:cs="Times New Roman"/>
          <w:b/>
          <w:color w:val="0000FF"/>
          <w:sz w:val="24"/>
          <w:szCs w:val="24"/>
        </w:rPr>
        <w:t xml:space="preserve">EHRA, </w:t>
      </w:r>
      <w:r w:rsidR="007625F0" w:rsidRPr="00606A6B">
        <w:rPr>
          <w:rFonts w:ascii="Times New Roman" w:eastAsia="Arial Unicode MS" w:hAnsi="Times New Roman" w:cs="Times New Roman"/>
          <w:b/>
          <w:color w:val="0000FF"/>
          <w:sz w:val="24"/>
          <w:szCs w:val="24"/>
        </w:rPr>
        <w:t xml:space="preserve">Greenway Medical </w:t>
      </w:r>
      <w:r w:rsidR="007625F0" w:rsidRPr="0049516D">
        <w:rPr>
          <w:rFonts w:ascii="Times New Roman" w:eastAsia="Arial Unicode MS" w:hAnsi="Times New Roman" w:cs="Times New Roman"/>
          <w:b/>
          <w:color w:val="0000FF"/>
          <w:sz w:val="24"/>
          <w:szCs w:val="24"/>
        </w:rPr>
        <w:t>Technologies</w:t>
      </w:r>
    </w:p>
    <w:p w:rsidR="007625F0" w:rsidRPr="001142EC" w:rsidRDefault="00606A6B" w:rsidP="00606A6B">
      <w:pPr>
        <w:autoSpaceDE w:val="0"/>
        <w:autoSpaceDN w:val="0"/>
        <w:adjustRightInd w:val="0"/>
        <w:spacing w:after="0" w:line="240" w:lineRule="auto"/>
        <w:rPr>
          <w:rFonts w:ascii="Times New Roman" w:eastAsia="Arial Unicode MS" w:hAnsi="Times New Roman" w:cs="Times New Roman"/>
          <w:color w:val="000000"/>
          <w:sz w:val="24"/>
          <w:szCs w:val="24"/>
        </w:rPr>
      </w:pPr>
      <w:r>
        <w:rPr>
          <w:rFonts w:ascii="Times New Roman" w:hAnsi="Times New Roman" w:cs="Times New Roman"/>
          <w:color w:val="000000"/>
          <w:sz w:val="24"/>
          <w:szCs w:val="24"/>
        </w:rPr>
        <w:t xml:space="preserve">There exists </w:t>
      </w:r>
      <w:r w:rsidR="007625F0" w:rsidRPr="001142EC">
        <w:rPr>
          <w:rFonts w:ascii="Times New Roman" w:hAnsi="Times New Roman" w:cs="Times New Roman"/>
          <w:color w:val="000000"/>
          <w:sz w:val="24"/>
          <w:szCs w:val="24"/>
        </w:rPr>
        <w:t>some levels of uncertainty regarding FDA plans for EHRs, mobile applications and clinical decision support. There is also growing FCC interest in aspects of mobile healthcare devices. In some cases, the same solution might be subject to multiple regulatory approaches, especially regarding aspects of patient safety. In other cases, the same company might be subject to overlapping regulations by virtue of its range of offered solutions. In still others, two different agencies can require or reference use of the same type of safety function, such as quality management systems. Additionally, there are many programs both public and private that create quasi-regulatory obligations on health IT, including patient safety and adverse event reporting, Medicare and Medicaid conditions of participation, provider quality reporting and more.</w:t>
      </w:r>
    </w:p>
    <w:p w:rsidR="0058702E" w:rsidRPr="00280BF0" w:rsidRDefault="0058702E" w:rsidP="001142EC">
      <w:pPr>
        <w:spacing w:after="0" w:line="240" w:lineRule="auto"/>
        <w:rPr>
          <w:rFonts w:ascii="Times New Roman" w:eastAsia="Arial Unicode MS" w:hAnsi="Times New Roman" w:cs="Times New Roman"/>
          <w:color w:val="000000"/>
          <w:sz w:val="8"/>
          <w:szCs w:val="8"/>
        </w:rPr>
      </w:pPr>
    </w:p>
    <w:p w:rsidR="0058702E" w:rsidRPr="00606A6B" w:rsidRDefault="0058702E" w:rsidP="001142EC">
      <w:pPr>
        <w:spacing w:after="0" w:line="240" w:lineRule="auto"/>
        <w:rPr>
          <w:rFonts w:ascii="Times New Roman" w:eastAsia="Arial Unicode MS" w:hAnsi="Times New Roman" w:cs="Times New Roman"/>
          <w:b/>
          <w:color w:val="0000FF"/>
          <w:sz w:val="24"/>
          <w:szCs w:val="24"/>
        </w:rPr>
      </w:pPr>
      <w:r w:rsidRPr="00606A6B">
        <w:rPr>
          <w:rFonts w:ascii="Times New Roman" w:eastAsia="Arial Unicode MS" w:hAnsi="Times New Roman" w:cs="Times New Roman"/>
          <w:b/>
          <w:color w:val="0000FF"/>
          <w:sz w:val="24"/>
          <w:szCs w:val="24"/>
        </w:rPr>
        <w:t>MITA</w:t>
      </w:r>
    </w:p>
    <w:p w:rsidR="0058702E" w:rsidRPr="001142EC" w:rsidRDefault="0058702E" w:rsidP="001142EC">
      <w:p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 xml:space="preserve">Potential regulatory overlap, for example, could arise with respect to regulation of “security” issues as these </w:t>
      </w:r>
      <w:r w:rsidR="000B7BE8">
        <w:rPr>
          <w:rFonts w:ascii="Times New Roman" w:hAnsi="Times New Roman" w:cs="Times New Roman"/>
          <w:sz w:val="24"/>
          <w:szCs w:val="24"/>
        </w:rPr>
        <w:t>a</w:t>
      </w:r>
      <w:r w:rsidRPr="001142EC">
        <w:rPr>
          <w:rFonts w:ascii="Times New Roman" w:hAnsi="Times New Roman" w:cs="Times New Roman"/>
          <w:sz w:val="24"/>
          <w:szCs w:val="24"/>
        </w:rPr>
        <w:t>gencies are becoming increasingly engaged with regulation of cyber</w:t>
      </w:r>
      <w:r w:rsidR="00606A6B">
        <w:rPr>
          <w:rFonts w:ascii="Times New Roman" w:hAnsi="Times New Roman" w:cs="Times New Roman"/>
          <w:sz w:val="24"/>
          <w:szCs w:val="24"/>
        </w:rPr>
        <w:t>-</w:t>
      </w:r>
      <w:r w:rsidRPr="001142EC">
        <w:rPr>
          <w:rFonts w:ascii="Times New Roman" w:hAnsi="Times New Roman" w:cs="Times New Roman"/>
          <w:sz w:val="24"/>
          <w:szCs w:val="24"/>
        </w:rPr>
        <w:t xml:space="preserve">security </w:t>
      </w:r>
      <w:r w:rsidRPr="001142EC">
        <w:rPr>
          <w:rFonts w:ascii="Times New Roman" w:hAnsi="Times New Roman" w:cs="Times New Roman"/>
          <w:sz w:val="24"/>
          <w:szCs w:val="24"/>
        </w:rPr>
        <w:lastRenderedPageBreak/>
        <w:t>issues. We do not believe that such overlap can or should be entirely eliminated but it must be minimized and managed carefully to avoid duplication.</w:t>
      </w:r>
    </w:p>
    <w:p w:rsidR="0058702E" w:rsidRPr="00C11608" w:rsidRDefault="0058702E" w:rsidP="001142EC">
      <w:pPr>
        <w:spacing w:after="0" w:line="240" w:lineRule="auto"/>
        <w:rPr>
          <w:rFonts w:ascii="Times New Roman" w:eastAsia="Arial Unicode MS" w:hAnsi="Times New Roman" w:cs="Times New Roman"/>
          <w:color w:val="000000"/>
          <w:sz w:val="8"/>
          <w:szCs w:val="8"/>
        </w:rPr>
      </w:pPr>
    </w:p>
    <w:p w:rsidR="00A143A9" w:rsidRPr="00C11608" w:rsidRDefault="004274F8" w:rsidP="001142EC">
      <w:pPr>
        <w:spacing w:after="0" w:line="240" w:lineRule="auto"/>
        <w:rPr>
          <w:rFonts w:ascii="Times New Roman" w:eastAsia="Arial Unicode MS" w:hAnsi="Times New Roman" w:cs="Times New Roman"/>
          <w:b/>
          <w:color w:val="0000FF"/>
          <w:sz w:val="24"/>
          <w:szCs w:val="24"/>
        </w:rPr>
      </w:pPr>
      <w:r w:rsidRPr="00C11608">
        <w:rPr>
          <w:rFonts w:ascii="Times New Roman" w:eastAsia="Arial Unicode MS" w:hAnsi="Times New Roman" w:cs="Times New Roman"/>
          <w:b/>
          <w:color w:val="0000FF"/>
          <w:sz w:val="24"/>
          <w:szCs w:val="24"/>
        </w:rPr>
        <w:t>McKesson Corp.</w:t>
      </w:r>
    </w:p>
    <w:p w:rsidR="004274F8" w:rsidRPr="001142EC" w:rsidRDefault="004274F8" w:rsidP="001142EC">
      <w:pPr>
        <w:pStyle w:val="ListParagraph"/>
        <w:numPr>
          <w:ilvl w:val="0"/>
          <w:numId w:val="11"/>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Regulatory overlap exists today. Section 201(h) of the Federal Food, Drug and Cosmetic Act gives the FDA the authority to regulate “medical devices” under a definition that was adopted in the 1970s. Under this broad definition, medical software could be subject to regulation as a medical device; concurrently it must also meet certification and content standards established by the ONC as part of the Meaningful Use program.</w:t>
      </w:r>
    </w:p>
    <w:p w:rsidR="00C76F45" w:rsidRPr="001142EC" w:rsidRDefault="00C76F45" w:rsidP="001142EC">
      <w:pPr>
        <w:pStyle w:val="ListParagraph"/>
        <w:numPr>
          <w:ilvl w:val="0"/>
          <w:numId w:val="11"/>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 xml:space="preserve">Notes all the actions by FDA, ONC, and FCC, </w:t>
      </w:r>
      <w:r w:rsidR="00C11608">
        <w:rPr>
          <w:rFonts w:ascii="Times New Roman" w:hAnsi="Times New Roman" w:cs="Times New Roman"/>
          <w:sz w:val="24"/>
          <w:szCs w:val="24"/>
        </w:rPr>
        <w:t>has</w:t>
      </w:r>
      <w:r w:rsidRPr="001142EC">
        <w:rPr>
          <w:rFonts w:ascii="Times New Roman" w:hAnsi="Times New Roman" w:cs="Times New Roman"/>
          <w:sz w:val="24"/>
          <w:szCs w:val="24"/>
        </w:rPr>
        <w:t xml:space="preserve"> led to public confusion over who will ultimately have jurisdiction over health IT and the electronic transmission of health information.</w:t>
      </w:r>
    </w:p>
    <w:p w:rsidR="00C76F45" w:rsidRPr="001142EC" w:rsidRDefault="00C76F45" w:rsidP="001142EC">
      <w:pPr>
        <w:pStyle w:val="ListParagraph"/>
        <w:numPr>
          <w:ilvl w:val="0"/>
          <w:numId w:val="11"/>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Overlap on Q</w:t>
      </w:r>
      <w:r w:rsidR="000B7BE8">
        <w:rPr>
          <w:rFonts w:ascii="Times New Roman" w:hAnsi="Times New Roman" w:cs="Times New Roman"/>
          <w:sz w:val="24"/>
          <w:szCs w:val="24"/>
        </w:rPr>
        <w:t>M</w:t>
      </w:r>
      <w:r w:rsidRPr="001142EC">
        <w:rPr>
          <w:rFonts w:ascii="Times New Roman" w:hAnsi="Times New Roman" w:cs="Times New Roman"/>
          <w:sz w:val="24"/>
          <w:szCs w:val="24"/>
        </w:rPr>
        <w:t>S with FDA and the ONC HIT Certification Program.</w:t>
      </w:r>
    </w:p>
    <w:p w:rsidR="00C11608" w:rsidRPr="00C11608" w:rsidRDefault="00C11608" w:rsidP="001142EC">
      <w:pPr>
        <w:spacing w:after="0" w:line="240" w:lineRule="auto"/>
        <w:rPr>
          <w:rFonts w:ascii="Times New Roman" w:eastAsia="Arial Unicode MS" w:hAnsi="Times New Roman" w:cs="Times New Roman"/>
          <w:color w:val="000000"/>
          <w:sz w:val="8"/>
          <w:szCs w:val="8"/>
        </w:rPr>
      </w:pPr>
    </w:p>
    <w:p w:rsidR="00A143A9" w:rsidRPr="00C11608" w:rsidRDefault="00C11608" w:rsidP="001142EC">
      <w:pPr>
        <w:spacing w:after="0" w:line="240" w:lineRule="auto"/>
        <w:rPr>
          <w:rFonts w:ascii="Times New Roman" w:eastAsia="Arial Unicode MS" w:hAnsi="Times New Roman" w:cs="Times New Roman"/>
          <w:b/>
          <w:color w:val="0000FF"/>
          <w:sz w:val="24"/>
          <w:szCs w:val="24"/>
        </w:rPr>
      </w:pPr>
      <w:r w:rsidRPr="00C11608">
        <w:rPr>
          <w:rFonts w:ascii="Times New Roman" w:eastAsia="Arial Unicode MS" w:hAnsi="Times New Roman" w:cs="Times New Roman"/>
          <w:b/>
          <w:color w:val="0000FF"/>
          <w:sz w:val="24"/>
          <w:szCs w:val="24"/>
        </w:rPr>
        <w:t>a</w:t>
      </w:r>
      <w:r w:rsidR="00A143A9" w:rsidRPr="00C11608">
        <w:rPr>
          <w:rFonts w:ascii="Times New Roman" w:eastAsia="Arial Unicode MS" w:hAnsi="Times New Roman" w:cs="Times New Roman"/>
          <w:b/>
          <w:color w:val="0000FF"/>
          <w:sz w:val="24"/>
          <w:szCs w:val="24"/>
        </w:rPr>
        <w:t>thenahealth</w:t>
      </w:r>
    </w:p>
    <w:p w:rsidR="00A143A9" w:rsidRPr="00C11608" w:rsidRDefault="00000BF6" w:rsidP="00C11608">
      <w:pPr>
        <w:spacing w:after="0" w:line="240" w:lineRule="auto"/>
        <w:rPr>
          <w:rFonts w:ascii="Times New Roman" w:eastAsia="Arial Unicode MS" w:hAnsi="Times New Roman" w:cs="Times New Roman"/>
          <w:sz w:val="24"/>
          <w:szCs w:val="24"/>
        </w:rPr>
      </w:pPr>
      <w:r>
        <w:rPr>
          <w:rFonts w:ascii="Times New Roman" w:hAnsi="Times New Roman" w:cs="Times New Roman"/>
          <w:sz w:val="24"/>
          <w:szCs w:val="24"/>
        </w:rPr>
        <w:t>Suggests it is u</w:t>
      </w:r>
      <w:r w:rsidRPr="00C11608">
        <w:rPr>
          <w:rFonts w:ascii="Times New Roman" w:hAnsi="Times New Roman" w:cs="Times New Roman"/>
          <w:sz w:val="24"/>
          <w:szCs w:val="24"/>
        </w:rPr>
        <w:t>nclear where these two agencies are headed and overlap concern.</w:t>
      </w:r>
      <w:r>
        <w:rPr>
          <w:rFonts w:ascii="Times New Roman" w:hAnsi="Times New Roman" w:cs="Times New Roman"/>
          <w:sz w:val="24"/>
          <w:szCs w:val="24"/>
        </w:rPr>
        <w:t xml:space="preserve">  P</w:t>
      </w:r>
      <w:r w:rsidR="00D66C2D">
        <w:rPr>
          <w:rFonts w:ascii="Times New Roman" w:eastAsia="Arial Unicode MS" w:hAnsi="Times New Roman" w:cs="Times New Roman"/>
          <w:sz w:val="24"/>
          <w:szCs w:val="24"/>
        </w:rPr>
        <w:t>oints to</w:t>
      </w:r>
      <w:r w:rsidR="00A143A9" w:rsidRPr="00C11608">
        <w:rPr>
          <w:rFonts w:ascii="Times New Roman" w:eastAsia="Arial Unicode MS" w:hAnsi="Times New Roman" w:cs="Times New Roman"/>
          <w:sz w:val="24"/>
          <w:szCs w:val="24"/>
        </w:rPr>
        <w:t xml:space="preserve"> the </w:t>
      </w:r>
      <w:r w:rsidR="00A143A9" w:rsidRPr="00C11608">
        <w:rPr>
          <w:rFonts w:ascii="Times New Roman" w:hAnsi="Times New Roman" w:cs="Times New Roman"/>
          <w:sz w:val="24"/>
          <w:szCs w:val="24"/>
        </w:rPr>
        <w:t xml:space="preserve">Health IT Patient Safety Action and Surveillance Plan and a FDA-issued “safety </w:t>
      </w:r>
      <w:r>
        <w:rPr>
          <w:rFonts w:ascii="Times New Roman" w:hAnsi="Times New Roman" w:cs="Times New Roman"/>
          <w:sz w:val="24"/>
          <w:szCs w:val="24"/>
        </w:rPr>
        <w:t xml:space="preserve"> c</w:t>
      </w:r>
      <w:r w:rsidR="00A143A9" w:rsidRPr="00C11608">
        <w:rPr>
          <w:rFonts w:ascii="Times New Roman" w:hAnsi="Times New Roman" w:cs="Times New Roman"/>
          <w:sz w:val="24"/>
          <w:szCs w:val="24"/>
        </w:rPr>
        <w:t xml:space="preserve">ommunication,” warning of potential computer virus threats associated with the use of medical technology.  </w:t>
      </w:r>
    </w:p>
    <w:p w:rsidR="00A143A9" w:rsidRPr="001142EC" w:rsidRDefault="00A143A9" w:rsidP="001142EC">
      <w:pPr>
        <w:pStyle w:val="ListParagraph"/>
        <w:spacing w:after="0" w:line="240" w:lineRule="auto"/>
        <w:ind w:left="360"/>
        <w:rPr>
          <w:rFonts w:ascii="Times New Roman" w:eastAsia="Arial Unicode MS" w:hAnsi="Times New Roman" w:cs="Times New Roman"/>
          <w:color w:val="000000"/>
          <w:sz w:val="24"/>
          <w:szCs w:val="24"/>
        </w:rPr>
      </w:pPr>
    </w:p>
    <w:p w:rsidR="00490E57" w:rsidRPr="00C11608" w:rsidRDefault="00490E57" w:rsidP="00023D75">
      <w:pPr>
        <w:spacing w:after="0" w:line="240" w:lineRule="auto"/>
        <w:rPr>
          <w:rFonts w:ascii="Times New Roman" w:eastAsia="Arial Unicode MS" w:hAnsi="Times New Roman" w:cs="Times New Roman"/>
          <w:b/>
          <w:i/>
          <w:color w:val="000000"/>
          <w:sz w:val="24"/>
          <w:szCs w:val="24"/>
        </w:rPr>
      </w:pPr>
      <w:r w:rsidRPr="00C11608">
        <w:rPr>
          <w:rFonts w:ascii="Times New Roman" w:eastAsia="Arial Unicode MS" w:hAnsi="Times New Roman" w:cs="Times New Roman"/>
          <w:b/>
          <w:i/>
          <w:color w:val="000000"/>
          <w:sz w:val="24"/>
          <w:szCs w:val="24"/>
        </w:rPr>
        <w:t>b. If there are areas of regulatory overlap, what, if any, actions should the agencies take to minimize this overlap? How can further duplication be avoided?</w:t>
      </w:r>
    </w:p>
    <w:p w:rsidR="00023D75" w:rsidRPr="00023D75" w:rsidRDefault="00023D75" w:rsidP="001142EC">
      <w:pPr>
        <w:spacing w:after="0" w:line="240" w:lineRule="auto"/>
        <w:rPr>
          <w:rFonts w:ascii="Times New Roman" w:eastAsia="Arial Unicode MS" w:hAnsi="Times New Roman" w:cs="Times New Roman"/>
          <w:b/>
          <w:color w:val="0000FF"/>
          <w:sz w:val="8"/>
          <w:szCs w:val="8"/>
        </w:rPr>
      </w:pPr>
    </w:p>
    <w:p w:rsidR="00023D75" w:rsidRPr="00023D75" w:rsidRDefault="00023D75" w:rsidP="00023D75">
      <w:pPr>
        <w:spacing w:after="0" w:line="240" w:lineRule="auto"/>
        <w:rPr>
          <w:rFonts w:ascii="Times New Roman" w:eastAsia="Arial Unicode MS" w:hAnsi="Times New Roman" w:cs="Times New Roman"/>
          <w:b/>
          <w:color w:val="FF0000"/>
          <w:sz w:val="24"/>
          <w:szCs w:val="24"/>
        </w:rPr>
      </w:pPr>
      <w:r w:rsidRPr="00023D75">
        <w:rPr>
          <w:rFonts w:ascii="Times New Roman" w:eastAsia="Arial Unicode MS" w:hAnsi="Times New Roman" w:cs="Times New Roman"/>
          <w:b/>
          <w:color w:val="FF0000"/>
          <w:sz w:val="24"/>
          <w:szCs w:val="24"/>
        </w:rPr>
        <w:t>Clarify agency roles and avoid overlap</w:t>
      </w:r>
    </w:p>
    <w:p w:rsidR="00023D75" w:rsidRDefault="00023D75" w:rsidP="001142EC">
      <w:pPr>
        <w:spacing w:after="0" w:line="240" w:lineRule="auto"/>
        <w:rPr>
          <w:rFonts w:ascii="Times New Roman" w:eastAsia="Arial Unicode MS" w:hAnsi="Times New Roman" w:cs="Times New Roman"/>
          <w:sz w:val="24"/>
          <w:szCs w:val="24"/>
        </w:rPr>
      </w:pPr>
      <w:r w:rsidRPr="00023D75">
        <w:rPr>
          <w:rFonts w:ascii="Times New Roman" w:eastAsia="Arial Unicode MS" w:hAnsi="Times New Roman" w:cs="Times New Roman"/>
          <w:sz w:val="24"/>
          <w:szCs w:val="24"/>
        </w:rPr>
        <w:t xml:space="preserve">Supported by: </w:t>
      </w:r>
      <w:r>
        <w:rPr>
          <w:rFonts w:ascii="Times New Roman" w:eastAsia="Arial Unicode MS" w:hAnsi="Times New Roman" w:cs="Times New Roman"/>
          <w:sz w:val="24"/>
          <w:szCs w:val="24"/>
        </w:rPr>
        <w:t xml:space="preserve">EHRA, </w:t>
      </w:r>
      <w:r w:rsidRPr="00023D75">
        <w:rPr>
          <w:rFonts w:ascii="Times New Roman" w:eastAsia="Arial Unicode MS" w:hAnsi="Times New Roman" w:cs="Times New Roman"/>
          <w:sz w:val="24"/>
          <w:szCs w:val="24"/>
        </w:rPr>
        <w:t>Greenway Medical Technologies</w:t>
      </w:r>
      <w:r>
        <w:rPr>
          <w:rFonts w:ascii="Times New Roman" w:eastAsia="Arial Unicode MS" w:hAnsi="Times New Roman" w:cs="Times New Roman"/>
          <w:sz w:val="24"/>
          <w:szCs w:val="24"/>
        </w:rPr>
        <w:t>,</w:t>
      </w:r>
      <w:r w:rsidR="00F15024" w:rsidRPr="00F15024">
        <w:rPr>
          <w:rFonts w:ascii="Times New Roman" w:hAnsi="Times New Roman" w:cs="Times New Roman"/>
          <w:sz w:val="24"/>
          <w:szCs w:val="24"/>
        </w:rPr>
        <w:t xml:space="preserve"> </w:t>
      </w:r>
      <w:r w:rsidR="000B7BE8">
        <w:rPr>
          <w:rFonts w:ascii="Times New Roman" w:hAnsi="Times New Roman" w:cs="Times New Roman"/>
          <w:sz w:val="24"/>
          <w:szCs w:val="24"/>
        </w:rPr>
        <w:t xml:space="preserve">AHA, </w:t>
      </w:r>
      <w:r w:rsidR="00F15024" w:rsidRPr="001142EC">
        <w:rPr>
          <w:rFonts w:ascii="Times New Roman" w:hAnsi="Times New Roman" w:cs="Times New Roman"/>
          <w:sz w:val="24"/>
          <w:szCs w:val="24"/>
        </w:rPr>
        <w:t>AMIA</w:t>
      </w:r>
      <w:r w:rsidR="00F15024">
        <w:rPr>
          <w:rFonts w:ascii="Times New Roman" w:hAnsi="Times New Roman" w:cs="Times New Roman"/>
          <w:sz w:val="24"/>
          <w:szCs w:val="24"/>
        </w:rPr>
        <w:t>,</w:t>
      </w:r>
      <w:r w:rsidR="00F15024" w:rsidRPr="001142EC">
        <w:rPr>
          <w:rFonts w:ascii="Times New Roman" w:hAnsi="Times New Roman" w:cs="Times New Roman"/>
          <w:sz w:val="24"/>
          <w:szCs w:val="24"/>
        </w:rPr>
        <w:t xml:space="preserve"> MITA</w:t>
      </w:r>
      <w:r>
        <w:rPr>
          <w:rFonts w:ascii="Times New Roman" w:eastAsia="Arial Unicode MS" w:hAnsi="Times New Roman" w:cs="Times New Roman"/>
          <w:sz w:val="24"/>
          <w:szCs w:val="24"/>
        </w:rPr>
        <w:t xml:space="preserve"> </w:t>
      </w:r>
      <w:r w:rsidR="00E62DA0">
        <w:rPr>
          <w:rFonts w:ascii="Times New Roman" w:eastAsia="Arial Unicode MS" w:hAnsi="Times New Roman" w:cs="Times New Roman"/>
          <w:sz w:val="24"/>
          <w:szCs w:val="24"/>
        </w:rPr>
        <w:t xml:space="preserve">and </w:t>
      </w:r>
      <w:r>
        <w:rPr>
          <w:rFonts w:ascii="Times New Roman" w:eastAsia="Arial Unicode MS" w:hAnsi="Times New Roman" w:cs="Times New Roman"/>
          <w:sz w:val="24"/>
          <w:szCs w:val="24"/>
        </w:rPr>
        <w:t>Ver</w:t>
      </w:r>
      <w:r w:rsidR="00E62DA0">
        <w:rPr>
          <w:rFonts w:ascii="Times New Roman" w:eastAsia="Arial Unicode MS" w:hAnsi="Times New Roman" w:cs="Times New Roman"/>
          <w:sz w:val="24"/>
          <w:szCs w:val="24"/>
        </w:rPr>
        <w:t>i</w:t>
      </w:r>
      <w:r>
        <w:rPr>
          <w:rFonts w:ascii="Times New Roman" w:eastAsia="Arial Unicode MS" w:hAnsi="Times New Roman" w:cs="Times New Roman"/>
          <w:sz w:val="24"/>
          <w:szCs w:val="24"/>
        </w:rPr>
        <w:t>zon.</w:t>
      </w:r>
    </w:p>
    <w:p w:rsidR="00023D75" w:rsidRDefault="00023D75" w:rsidP="00E62DA0">
      <w:pPr>
        <w:pStyle w:val="ListParagraph"/>
        <w:numPr>
          <w:ilvl w:val="0"/>
          <w:numId w:val="26"/>
        </w:numPr>
        <w:spacing w:after="0" w:line="240" w:lineRule="auto"/>
        <w:rPr>
          <w:rFonts w:ascii="Times New Roman" w:eastAsia="Arial Unicode MS" w:hAnsi="Times New Roman" w:cs="Times New Roman"/>
          <w:b/>
          <w:color w:val="0000FF"/>
          <w:sz w:val="24"/>
          <w:szCs w:val="24"/>
        </w:rPr>
      </w:pPr>
      <w:r w:rsidRPr="00E62DA0">
        <w:rPr>
          <w:rFonts w:ascii="Times New Roman" w:hAnsi="Times New Roman" w:cs="Times New Roman"/>
          <w:sz w:val="24"/>
          <w:szCs w:val="24"/>
        </w:rPr>
        <w:t xml:space="preserve">Multiple federal regulatory agencies (e.g., FDA, ONC, FCC, CMS, OCR, etc.) have overlapping, complementary, parallel, or similar health IT regulations, for example, the CMS and ONC meaningful use regulations. There also needs to be an effective “single source of truth” across all regulatory agencies to ensure that regulations are clear, unambiguous, and which do not collide or conflict with other regulations or reporting requirements. We therefore recommend that agencies develop a consistent format for the industry to access (via the Web) the current laws, regulations, and guidance, including FAQs. Each of these agencies now has its unique design, navigation, and search capabilities for their websites which hinders industry access and makes the task of locating and understanding the latest information more difficult and subject to error. </w:t>
      </w:r>
      <w:r w:rsidR="00E62DA0" w:rsidRPr="00E62DA0">
        <w:rPr>
          <w:rFonts w:ascii="Times New Roman" w:eastAsia="Arial Unicode MS" w:hAnsi="Times New Roman" w:cs="Times New Roman"/>
          <w:b/>
          <w:color w:val="0000FF"/>
          <w:sz w:val="24"/>
          <w:szCs w:val="24"/>
        </w:rPr>
        <w:t>E</w:t>
      </w:r>
      <w:r w:rsidRPr="00E62DA0">
        <w:rPr>
          <w:rFonts w:ascii="Times New Roman" w:eastAsia="Arial Unicode MS" w:hAnsi="Times New Roman" w:cs="Times New Roman"/>
          <w:b/>
          <w:color w:val="0000FF"/>
          <w:sz w:val="24"/>
          <w:szCs w:val="24"/>
        </w:rPr>
        <w:t>HRA, Greenway Medical Technologies</w:t>
      </w:r>
    </w:p>
    <w:p w:rsidR="00E62DA0" w:rsidRDefault="00E62DA0" w:rsidP="00E62DA0">
      <w:pPr>
        <w:pStyle w:val="ListParagraph"/>
        <w:numPr>
          <w:ilvl w:val="0"/>
          <w:numId w:val="26"/>
        </w:numPr>
        <w:spacing w:after="0" w:line="240" w:lineRule="auto"/>
        <w:rPr>
          <w:rFonts w:ascii="Times New Roman" w:eastAsia="Arial Unicode MS" w:hAnsi="Times New Roman" w:cs="Times New Roman"/>
          <w:b/>
          <w:color w:val="0000FF"/>
          <w:sz w:val="24"/>
          <w:szCs w:val="24"/>
        </w:rPr>
      </w:pPr>
      <w:r>
        <w:rPr>
          <w:rFonts w:ascii="Times New Roman" w:eastAsia="Arial Unicode MS" w:hAnsi="Times New Roman" w:cs="Times New Roman"/>
          <w:color w:val="000000"/>
          <w:sz w:val="24"/>
          <w:szCs w:val="24"/>
        </w:rPr>
        <w:t>D</w:t>
      </w:r>
      <w:r w:rsidRPr="001142EC">
        <w:rPr>
          <w:rFonts w:ascii="Times New Roman" w:eastAsia="Arial Unicode MS" w:hAnsi="Times New Roman" w:cs="Times New Roman"/>
          <w:color w:val="000000"/>
          <w:sz w:val="24"/>
          <w:szCs w:val="24"/>
        </w:rPr>
        <w:t>elineate and maintain separate focuses of agencies (ONC on p</w:t>
      </w:r>
      <w:r>
        <w:rPr>
          <w:rFonts w:ascii="Times New Roman" w:eastAsia="Arial Unicode MS" w:hAnsi="Times New Roman" w:cs="Times New Roman"/>
          <w:color w:val="000000"/>
          <w:sz w:val="24"/>
          <w:szCs w:val="24"/>
        </w:rPr>
        <w:t>rivacy and security</w:t>
      </w:r>
      <w:r w:rsidRPr="001142EC">
        <w:rPr>
          <w:rFonts w:ascii="Times New Roman" w:eastAsia="Arial Unicode MS" w:hAnsi="Times New Roman" w:cs="Times New Roman"/>
          <w:color w:val="000000"/>
          <w:sz w:val="24"/>
          <w:szCs w:val="24"/>
        </w:rPr>
        <w:t xml:space="preserve"> and infrastructure</w:t>
      </w:r>
      <w:r>
        <w:rPr>
          <w:rFonts w:ascii="Times New Roman" w:eastAsia="Arial Unicode MS" w:hAnsi="Times New Roman" w:cs="Times New Roman"/>
          <w:color w:val="000000"/>
          <w:sz w:val="24"/>
          <w:szCs w:val="24"/>
        </w:rPr>
        <w:t xml:space="preserve"> and</w:t>
      </w:r>
      <w:r w:rsidRPr="001142EC">
        <w:rPr>
          <w:rFonts w:ascii="Times New Roman" w:eastAsia="Arial Unicode MS" w:hAnsi="Times New Roman" w:cs="Times New Roman"/>
          <w:color w:val="000000"/>
          <w:sz w:val="24"/>
          <w:szCs w:val="24"/>
        </w:rPr>
        <w:t xml:space="preserve"> FDA on public health and safety)</w:t>
      </w:r>
      <w:r>
        <w:rPr>
          <w:rFonts w:ascii="Times New Roman" w:eastAsia="Arial Unicode MS" w:hAnsi="Times New Roman" w:cs="Times New Roman"/>
          <w:color w:val="000000"/>
          <w:sz w:val="24"/>
          <w:szCs w:val="24"/>
        </w:rPr>
        <w:t xml:space="preserve"> </w:t>
      </w:r>
      <w:r w:rsidRPr="00E62DA0">
        <w:rPr>
          <w:rFonts w:ascii="Times New Roman" w:eastAsia="Arial Unicode MS" w:hAnsi="Times New Roman" w:cs="Times New Roman"/>
          <w:b/>
          <w:color w:val="0000FF"/>
          <w:sz w:val="24"/>
          <w:szCs w:val="24"/>
        </w:rPr>
        <w:t>PhRMA</w:t>
      </w:r>
    </w:p>
    <w:p w:rsidR="00F15024" w:rsidRDefault="00F15024" w:rsidP="00F15024">
      <w:pPr>
        <w:pStyle w:val="ListParagraph"/>
        <w:numPr>
          <w:ilvl w:val="0"/>
          <w:numId w:val="26"/>
        </w:numPr>
        <w:spacing w:after="0" w:line="240" w:lineRule="auto"/>
        <w:rPr>
          <w:rFonts w:ascii="Times New Roman" w:hAnsi="Times New Roman" w:cs="Times New Roman"/>
          <w:b/>
          <w:color w:val="0000FF"/>
          <w:sz w:val="24"/>
          <w:szCs w:val="24"/>
        </w:rPr>
      </w:pPr>
      <w:r>
        <w:rPr>
          <w:rFonts w:ascii="Times New Roman" w:hAnsi="Times New Roman" w:cs="Times New Roman"/>
          <w:sz w:val="24"/>
          <w:szCs w:val="24"/>
        </w:rPr>
        <w:t>S</w:t>
      </w:r>
      <w:r w:rsidRPr="00F15024">
        <w:rPr>
          <w:rFonts w:ascii="Times New Roman" w:hAnsi="Times New Roman" w:cs="Times New Roman"/>
          <w:sz w:val="24"/>
          <w:szCs w:val="24"/>
        </w:rPr>
        <w:t xml:space="preserve">everal key issues need to be considered, such as: If there are safety aspects of certification, should FDA take that over? For example, in the 2014 Certification Criteria, there are usability requirements. Such requirements are likely to grow over time; however it is not clear the extent to which FDA or ONC should be responsible for assessing those requirements. Although AMIA believes that in the near term, it would make sense for ONC to keep responsibility for the safety aspects/components of EHR certification criteria; </w:t>
      </w:r>
      <w:r>
        <w:rPr>
          <w:rFonts w:ascii="Times New Roman" w:hAnsi="Times New Roman" w:cs="Times New Roman"/>
          <w:sz w:val="24"/>
          <w:szCs w:val="24"/>
        </w:rPr>
        <w:t>t</w:t>
      </w:r>
      <w:r w:rsidRPr="00F15024">
        <w:rPr>
          <w:rFonts w:ascii="Times New Roman" w:hAnsi="Times New Roman" w:cs="Times New Roman"/>
          <w:sz w:val="24"/>
          <w:szCs w:val="24"/>
        </w:rPr>
        <w:t>his may need to be reassessed in the future.</w:t>
      </w:r>
      <w:r>
        <w:rPr>
          <w:rFonts w:ascii="Times New Roman" w:hAnsi="Times New Roman" w:cs="Times New Roman"/>
          <w:sz w:val="24"/>
          <w:szCs w:val="24"/>
        </w:rPr>
        <w:t xml:space="preserve"> </w:t>
      </w:r>
      <w:r w:rsidRPr="00F15024">
        <w:rPr>
          <w:rFonts w:ascii="Times New Roman" w:hAnsi="Times New Roman" w:cs="Times New Roman"/>
          <w:b/>
          <w:color w:val="0000FF"/>
          <w:sz w:val="24"/>
          <w:szCs w:val="24"/>
        </w:rPr>
        <w:t>AMIA</w:t>
      </w:r>
    </w:p>
    <w:p w:rsidR="00023D75" w:rsidRPr="00023D75" w:rsidRDefault="00023D75" w:rsidP="00023D75">
      <w:pPr>
        <w:spacing w:after="0" w:line="240" w:lineRule="auto"/>
        <w:rPr>
          <w:rFonts w:ascii="Times New Roman" w:eastAsia="Arial Unicode MS" w:hAnsi="Times New Roman" w:cs="Times New Roman"/>
          <w:color w:val="000000"/>
          <w:sz w:val="8"/>
          <w:szCs w:val="8"/>
        </w:rPr>
      </w:pPr>
    </w:p>
    <w:p w:rsidR="001649EF" w:rsidRPr="001649EF" w:rsidRDefault="001649EF" w:rsidP="001142EC">
      <w:pPr>
        <w:spacing w:after="0" w:line="240" w:lineRule="auto"/>
        <w:rPr>
          <w:rFonts w:ascii="Times New Roman" w:eastAsia="Arial Unicode MS" w:hAnsi="Times New Roman" w:cs="Times New Roman"/>
          <w:b/>
          <w:color w:val="FF0000"/>
          <w:sz w:val="24"/>
          <w:szCs w:val="24"/>
        </w:rPr>
      </w:pPr>
      <w:r w:rsidRPr="001649EF">
        <w:rPr>
          <w:rFonts w:ascii="Times New Roman" w:eastAsia="Arial Unicode MS" w:hAnsi="Times New Roman" w:cs="Times New Roman"/>
          <w:b/>
          <w:color w:val="FF0000"/>
          <w:sz w:val="24"/>
          <w:szCs w:val="24"/>
        </w:rPr>
        <w:t>Quality</w:t>
      </w:r>
      <w:r w:rsidR="00C124B6">
        <w:rPr>
          <w:rFonts w:ascii="Times New Roman" w:eastAsia="Arial Unicode MS" w:hAnsi="Times New Roman" w:cs="Times New Roman"/>
          <w:b/>
          <w:color w:val="FF0000"/>
          <w:sz w:val="24"/>
          <w:szCs w:val="24"/>
        </w:rPr>
        <w:t xml:space="preserve"> Management</w:t>
      </w:r>
      <w:r w:rsidRPr="001649EF">
        <w:rPr>
          <w:rFonts w:ascii="Times New Roman" w:eastAsia="Arial Unicode MS" w:hAnsi="Times New Roman" w:cs="Times New Roman"/>
          <w:b/>
          <w:color w:val="FF0000"/>
          <w:sz w:val="24"/>
          <w:szCs w:val="24"/>
        </w:rPr>
        <w:t xml:space="preserve"> Systems - S</w:t>
      </w:r>
      <w:r w:rsidRPr="001649EF">
        <w:rPr>
          <w:rFonts w:ascii="Times New Roman" w:hAnsi="Times New Roman" w:cs="Times New Roman"/>
          <w:b/>
          <w:color w:val="FF0000"/>
          <w:sz w:val="24"/>
          <w:szCs w:val="24"/>
        </w:rPr>
        <w:t>hould allow manufacturers to apply a single process that satisfies the requirements of all agencies.</w:t>
      </w:r>
    </w:p>
    <w:p w:rsidR="001649EF" w:rsidRDefault="001649EF" w:rsidP="001649EF">
      <w:pPr>
        <w:spacing w:after="0" w:line="240" w:lineRule="auto"/>
        <w:rPr>
          <w:rFonts w:ascii="Times New Roman" w:eastAsia="Arial Unicode MS" w:hAnsi="Times New Roman" w:cs="Times New Roman"/>
          <w:sz w:val="24"/>
          <w:szCs w:val="24"/>
        </w:rPr>
      </w:pPr>
      <w:r w:rsidRPr="00023D75">
        <w:rPr>
          <w:rFonts w:ascii="Times New Roman" w:eastAsia="Arial Unicode MS" w:hAnsi="Times New Roman" w:cs="Times New Roman"/>
          <w:sz w:val="24"/>
          <w:szCs w:val="24"/>
        </w:rPr>
        <w:t xml:space="preserve">Supported by: </w:t>
      </w:r>
      <w:r>
        <w:rPr>
          <w:rFonts w:ascii="Times New Roman" w:eastAsia="Arial Unicode MS" w:hAnsi="Times New Roman" w:cs="Times New Roman"/>
          <w:sz w:val="24"/>
          <w:szCs w:val="24"/>
        </w:rPr>
        <w:t xml:space="preserve">MITA, </w:t>
      </w:r>
      <w:r w:rsidRPr="001649EF">
        <w:rPr>
          <w:rFonts w:ascii="Times New Roman" w:hAnsi="Times New Roman" w:cs="Times New Roman"/>
          <w:sz w:val="24"/>
          <w:szCs w:val="24"/>
        </w:rPr>
        <w:t>eHealth Initiative (eHI)</w:t>
      </w:r>
      <w:r>
        <w:rPr>
          <w:rFonts w:ascii="Times New Roman" w:eastAsia="Arial Unicode MS" w:hAnsi="Times New Roman" w:cs="Times New Roman"/>
          <w:sz w:val="24"/>
          <w:szCs w:val="24"/>
        </w:rPr>
        <w:t>, and AMIA.</w:t>
      </w:r>
    </w:p>
    <w:p w:rsidR="000B7BE8" w:rsidRPr="000B7BE8" w:rsidRDefault="000B7BE8" w:rsidP="001649EF">
      <w:pPr>
        <w:spacing w:after="0" w:line="240" w:lineRule="auto"/>
        <w:rPr>
          <w:rFonts w:ascii="Times New Roman" w:eastAsia="Arial Unicode MS" w:hAnsi="Times New Roman" w:cs="Times New Roman"/>
          <w:sz w:val="8"/>
          <w:szCs w:val="8"/>
        </w:rPr>
      </w:pPr>
    </w:p>
    <w:p w:rsidR="000B7BE8" w:rsidRPr="00E62DA0" w:rsidRDefault="000B7BE8" w:rsidP="000B7BE8">
      <w:pPr>
        <w:spacing w:after="0" w:line="240" w:lineRule="auto"/>
        <w:rPr>
          <w:rFonts w:ascii="Times New Roman" w:eastAsia="Arial Unicode MS" w:hAnsi="Times New Roman" w:cs="Times New Roman"/>
          <w:b/>
          <w:color w:val="FF0000"/>
          <w:sz w:val="24"/>
          <w:szCs w:val="24"/>
        </w:rPr>
      </w:pPr>
      <w:r w:rsidRPr="00E62DA0">
        <w:rPr>
          <w:rFonts w:ascii="Times New Roman" w:eastAsia="Arial Unicode MS" w:hAnsi="Times New Roman" w:cs="Times New Roman"/>
          <w:b/>
          <w:color w:val="FF0000"/>
          <w:sz w:val="24"/>
          <w:szCs w:val="24"/>
        </w:rPr>
        <w:lastRenderedPageBreak/>
        <w:t xml:space="preserve">Conduct </w:t>
      </w:r>
      <w:r>
        <w:rPr>
          <w:rFonts w:ascii="Times New Roman" w:eastAsia="Arial Unicode MS" w:hAnsi="Times New Roman" w:cs="Times New Roman"/>
          <w:b/>
          <w:color w:val="FF0000"/>
          <w:sz w:val="24"/>
          <w:szCs w:val="24"/>
        </w:rPr>
        <w:t>o</w:t>
      </w:r>
      <w:r w:rsidRPr="00E62DA0">
        <w:rPr>
          <w:rFonts w:ascii="Times New Roman" w:eastAsia="Arial Unicode MS" w:hAnsi="Times New Roman" w:cs="Times New Roman"/>
          <w:b/>
          <w:color w:val="FF0000"/>
          <w:sz w:val="24"/>
          <w:szCs w:val="24"/>
        </w:rPr>
        <w:t>utreach</w:t>
      </w:r>
    </w:p>
    <w:p w:rsidR="000B7BE8" w:rsidRDefault="000B7BE8" w:rsidP="000B7BE8">
      <w:pPr>
        <w:spacing w:after="0" w:line="240" w:lineRule="auto"/>
        <w:rPr>
          <w:rFonts w:ascii="Times New Roman" w:eastAsia="Arial Unicode MS" w:hAnsi="Times New Roman" w:cs="Times New Roman"/>
          <w:sz w:val="24"/>
          <w:szCs w:val="24"/>
        </w:rPr>
      </w:pPr>
      <w:r w:rsidRPr="00023D75">
        <w:rPr>
          <w:rFonts w:ascii="Times New Roman" w:eastAsia="Arial Unicode MS" w:hAnsi="Times New Roman" w:cs="Times New Roman"/>
          <w:sz w:val="24"/>
          <w:szCs w:val="24"/>
        </w:rPr>
        <w:t xml:space="preserve">Supported by: </w:t>
      </w:r>
      <w:r>
        <w:rPr>
          <w:rFonts w:ascii="Times New Roman" w:eastAsia="Arial Unicode MS" w:hAnsi="Times New Roman" w:cs="Times New Roman"/>
          <w:sz w:val="24"/>
          <w:szCs w:val="24"/>
        </w:rPr>
        <w:t xml:space="preserve">AHA, MITA, </w:t>
      </w:r>
      <w:r w:rsidR="00744D78" w:rsidRPr="00744D78">
        <w:rPr>
          <w:rFonts w:ascii="Times New Roman" w:hAnsi="Times New Roman" w:cs="Times New Roman"/>
          <w:sz w:val="24"/>
          <w:szCs w:val="24"/>
        </w:rPr>
        <w:t>eHealth Initiative (eHI)</w:t>
      </w:r>
      <w:r w:rsidR="00996092">
        <w:rPr>
          <w:rFonts w:ascii="Times New Roman" w:hAnsi="Times New Roman" w:cs="Times New Roman"/>
          <w:sz w:val="24"/>
          <w:szCs w:val="24"/>
        </w:rPr>
        <w:t>,</w:t>
      </w:r>
      <w:r w:rsidR="00744D7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and AMIA.</w:t>
      </w:r>
    </w:p>
    <w:p w:rsidR="000B7BE8" w:rsidRPr="00744D78" w:rsidRDefault="000B7BE8" w:rsidP="000B7BE8">
      <w:pPr>
        <w:pStyle w:val="ListParagraph"/>
        <w:numPr>
          <w:ilvl w:val="0"/>
          <w:numId w:val="8"/>
        </w:numPr>
        <w:spacing w:after="0" w:line="240" w:lineRule="auto"/>
        <w:rPr>
          <w:rFonts w:ascii="Times New Roman" w:eastAsia="Arial Unicode MS" w:hAnsi="Times New Roman" w:cs="Times New Roman"/>
          <w:color w:val="000000"/>
          <w:sz w:val="24"/>
          <w:szCs w:val="24"/>
        </w:rPr>
      </w:pPr>
      <w:r w:rsidRPr="001142EC">
        <w:rPr>
          <w:rFonts w:ascii="Times New Roman" w:hAnsi="Times New Roman" w:cs="Times New Roman"/>
          <w:sz w:val="24"/>
          <w:szCs w:val="24"/>
        </w:rPr>
        <w:t>Ongoing development and dissemination of best practices in the safe design, development, deployment and use of EHRs would be helpful</w:t>
      </w:r>
      <w:r>
        <w:rPr>
          <w:rFonts w:ascii="Times New Roman" w:hAnsi="Times New Roman" w:cs="Times New Roman"/>
          <w:sz w:val="24"/>
          <w:szCs w:val="24"/>
        </w:rPr>
        <w:t>.</w:t>
      </w:r>
      <w:r w:rsidRPr="00E62DA0">
        <w:rPr>
          <w:rFonts w:ascii="Times New Roman" w:eastAsia="Arial Unicode MS" w:hAnsi="Times New Roman" w:cs="Times New Roman"/>
          <w:b/>
          <w:color w:val="0000FF"/>
          <w:sz w:val="24"/>
          <w:szCs w:val="24"/>
        </w:rPr>
        <w:t xml:space="preserve"> </w:t>
      </w:r>
      <w:r w:rsidRPr="00C11608">
        <w:rPr>
          <w:rFonts w:ascii="Times New Roman" w:eastAsia="Arial Unicode MS" w:hAnsi="Times New Roman" w:cs="Times New Roman"/>
          <w:b/>
          <w:color w:val="0000FF"/>
          <w:sz w:val="24"/>
          <w:szCs w:val="24"/>
        </w:rPr>
        <w:t>AHA</w:t>
      </w:r>
      <w:r>
        <w:rPr>
          <w:rFonts w:ascii="Times New Roman" w:eastAsia="Arial Unicode MS" w:hAnsi="Times New Roman" w:cs="Times New Roman"/>
          <w:b/>
          <w:color w:val="0000FF"/>
          <w:sz w:val="24"/>
          <w:szCs w:val="24"/>
        </w:rPr>
        <w:t xml:space="preserve"> and AMIA</w:t>
      </w:r>
      <w:r>
        <w:rPr>
          <w:rFonts w:ascii="Times New Roman" w:hAnsi="Times New Roman" w:cs="Times New Roman"/>
          <w:sz w:val="24"/>
          <w:szCs w:val="24"/>
        </w:rPr>
        <w:t xml:space="preserve"> </w:t>
      </w:r>
    </w:p>
    <w:p w:rsidR="00744D78" w:rsidRPr="00C11608" w:rsidRDefault="00744D78" w:rsidP="000B7BE8">
      <w:pPr>
        <w:pStyle w:val="ListParagraph"/>
        <w:numPr>
          <w:ilvl w:val="0"/>
          <w:numId w:val="8"/>
        </w:numPr>
        <w:spacing w:after="0" w:line="240" w:lineRule="auto"/>
        <w:rPr>
          <w:rFonts w:ascii="Times New Roman" w:eastAsia="Arial Unicode MS" w:hAnsi="Times New Roman" w:cs="Times New Roman"/>
          <w:color w:val="000000"/>
          <w:sz w:val="24"/>
          <w:szCs w:val="24"/>
        </w:rPr>
      </w:pPr>
      <w:r w:rsidRPr="00744D78">
        <w:rPr>
          <w:rFonts w:ascii="Times New Roman" w:hAnsi="Times New Roman" w:cs="Times New Roman"/>
          <w:sz w:val="24"/>
          <w:szCs w:val="24"/>
        </w:rPr>
        <w:t>Conduct</w:t>
      </w:r>
      <w:r w:rsidRPr="00744D78">
        <w:t xml:space="preserve"> </w:t>
      </w:r>
      <w:r w:rsidRPr="00744D78">
        <w:rPr>
          <w:rFonts w:ascii="Times New Roman" w:hAnsi="Times New Roman" w:cs="Times New Roman"/>
          <w:sz w:val="24"/>
          <w:szCs w:val="24"/>
        </w:rPr>
        <w:t>town hall meetings and forums for more public input.</w:t>
      </w:r>
      <w:r>
        <w:rPr>
          <w:rFonts w:ascii="Times New Roman" w:hAnsi="Times New Roman" w:cs="Times New Roman"/>
          <w:b/>
          <w:color w:val="0000FF"/>
          <w:sz w:val="24"/>
          <w:szCs w:val="24"/>
        </w:rPr>
        <w:t xml:space="preserve"> </w:t>
      </w:r>
      <w:r w:rsidRPr="00EE71BB">
        <w:rPr>
          <w:rFonts w:ascii="Times New Roman" w:hAnsi="Times New Roman" w:cs="Times New Roman"/>
          <w:b/>
          <w:color w:val="0000FF"/>
          <w:sz w:val="24"/>
          <w:szCs w:val="24"/>
        </w:rPr>
        <w:t>eHealth Initiative (eHI)</w:t>
      </w:r>
    </w:p>
    <w:p w:rsidR="0058702E" w:rsidRPr="001649EF" w:rsidRDefault="0058702E" w:rsidP="001142EC">
      <w:pPr>
        <w:spacing w:after="0" w:line="240" w:lineRule="auto"/>
        <w:rPr>
          <w:rFonts w:ascii="Times New Roman" w:eastAsia="Arial Unicode MS" w:hAnsi="Times New Roman" w:cs="Times New Roman"/>
          <w:color w:val="000000"/>
          <w:sz w:val="8"/>
          <w:szCs w:val="8"/>
        </w:rPr>
      </w:pPr>
    </w:p>
    <w:p w:rsidR="00C124B6" w:rsidRPr="00E62DA0" w:rsidRDefault="00C124B6" w:rsidP="00C124B6">
      <w:pPr>
        <w:spacing w:after="0" w:line="240" w:lineRule="auto"/>
        <w:rPr>
          <w:rFonts w:ascii="Times New Roman" w:eastAsia="Arial Unicode MS" w:hAnsi="Times New Roman" w:cs="Times New Roman"/>
          <w:b/>
          <w:color w:val="0000FF"/>
          <w:sz w:val="24"/>
          <w:szCs w:val="24"/>
        </w:rPr>
      </w:pPr>
      <w:r w:rsidRPr="00E62DA0">
        <w:rPr>
          <w:rFonts w:ascii="Times New Roman" w:eastAsia="Arial Unicode MS" w:hAnsi="Times New Roman" w:cs="Times New Roman"/>
          <w:b/>
          <w:color w:val="0000FF"/>
          <w:sz w:val="24"/>
          <w:szCs w:val="24"/>
        </w:rPr>
        <w:t>PhRMA</w:t>
      </w:r>
    </w:p>
    <w:p w:rsidR="00C124B6" w:rsidRDefault="00C124B6" w:rsidP="00C124B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w:t>
      </w:r>
      <w:r w:rsidRPr="001142EC">
        <w:rPr>
          <w:rFonts w:ascii="Times New Roman" w:eastAsia="Arial Unicode MS" w:hAnsi="Times New Roman" w:cs="Times New Roman"/>
          <w:color w:val="000000"/>
          <w:sz w:val="24"/>
          <w:szCs w:val="24"/>
        </w:rPr>
        <w:t>void impeding the EHR Incentive Programs which are leading to the adoption of HIT that can improve patient safety</w:t>
      </w:r>
      <w:r>
        <w:rPr>
          <w:rFonts w:ascii="Times New Roman" w:eastAsia="Arial Unicode MS" w:hAnsi="Times New Roman" w:cs="Times New Roman"/>
          <w:color w:val="000000"/>
          <w:sz w:val="24"/>
          <w:szCs w:val="24"/>
        </w:rPr>
        <w:t>.</w:t>
      </w:r>
    </w:p>
    <w:p w:rsidR="00E62DA0" w:rsidRPr="00E62DA0" w:rsidRDefault="00E62DA0" w:rsidP="001142EC">
      <w:pPr>
        <w:spacing w:after="0" w:line="240" w:lineRule="auto"/>
        <w:rPr>
          <w:rFonts w:ascii="Times New Roman" w:eastAsia="Arial Unicode MS" w:hAnsi="Times New Roman" w:cs="Times New Roman"/>
          <w:color w:val="000000"/>
          <w:sz w:val="8"/>
          <w:szCs w:val="8"/>
        </w:rPr>
      </w:pPr>
    </w:p>
    <w:p w:rsidR="004F061D" w:rsidRPr="006B24FF" w:rsidRDefault="004F061D" w:rsidP="004F061D">
      <w:pPr>
        <w:spacing w:after="0" w:line="240" w:lineRule="auto"/>
        <w:rPr>
          <w:rFonts w:ascii="Times New Roman" w:hAnsi="Times New Roman" w:cs="Times New Roman"/>
          <w:b/>
          <w:color w:val="0000FF"/>
          <w:sz w:val="24"/>
          <w:szCs w:val="24"/>
        </w:rPr>
      </w:pPr>
      <w:r w:rsidRPr="006B24FF">
        <w:rPr>
          <w:rFonts w:ascii="Times New Roman" w:hAnsi="Times New Roman" w:cs="Times New Roman"/>
          <w:b/>
          <w:color w:val="0000FF"/>
          <w:sz w:val="24"/>
          <w:szCs w:val="24"/>
        </w:rPr>
        <w:t>AMIA</w:t>
      </w:r>
    </w:p>
    <w:p w:rsidR="004F061D" w:rsidRDefault="004F061D" w:rsidP="004F061D">
      <w:pPr>
        <w:pStyle w:val="ListParagraph"/>
        <w:numPr>
          <w:ilvl w:val="0"/>
          <w:numId w:val="27"/>
        </w:numPr>
        <w:spacing w:after="0" w:line="240" w:lineRule="auto"/>
        <w:rPr>
          <w:rFonts w:ascii="Times New Roman" w:hAnsi="Times New Roman" w:cs="Times New Roman"/>
          <w:sz w:val="24"/>
          <w:szCs w:val="24"/>
        </w:rPr>
      </w:pPr>
      <w:r w:rsidRPr="001649EF">
        <w:rPr>
          <w:rFonts w:ascii="Times New Roman" w:hAnsi="Times New Roman" w:cs="Times New Roman"/>
          <w:sz w:val="24"/>
          <w:szCs w:val="24"/>
        </w:rPr>
        <w:t xml:space="preserve">FDA, ONC and FCC </w:t>
      </w:r>
      <w:r>
        <w:rPr>
          <w:rFonts w:ascii="Times New Roman" w:hAnsi="Times New Roman" w:cs="Times New Roman"/>
          <w:sz w:val="24"/>
          <w:szCs w:val="24"/>
        </w:rPr>
        <w:t xml:space="preserve">should </w:t>
      </w:r>
      <w:r w:rsidRPr="001649EF">
        <w:rPr>
          <w:rFonts w:ascii="Times New Roman" w:hAnsi="Times New Roman" w:cs="Times New Roman"/>
          <w:sz w:val="24"/>
          <w:szCs w:val="24"/>
        </w:rPr>
        <w:t>consider establishing a standing working group that includes personnel from each of these and other agencies, as well as subject matter</w:t>
      </w:r>
      <w:r>
        <w:rPr>
          <w:rFonts w:ascii="Times New Roman" w:hAnsi="Times New Roman" w:cs="Times New Roman"/>
          <w:sz w:val="24"/>
          <w:szCs w:val="24"/>
        </w:rPr>
        <w:t xml:space="preserve"> </w:t>
      </w:r>
      <w:r w:rsidRPr="001649EF">
        <w:rPr>
          <w:rFonts w:ascii="Times New Roman" w:hAnsi="Times New Roman" w:cs="Times New Roman"/>
          <w:sz w:val="24"/>
          <w:szCs w:val="24"/>
        </w:rPr>
        <w:t>experts from the private sector in technology, informatics, computer sciences, consumer</w:t>
      </w:r>
      <w:r>
        <w:rPr>
          <w:rFonts w:ascii="Times New Roman" w:hAnsi="Times New Roman" w:cs="Times New Roman"/>
          <w:sz w:val="24"/>
          <w:szCs w:val="24"/>
        </w:rPr>
        <w:t xml:space="preserve"> </w:t>
      </w:r>
      <w:r w:rsidRPr="001649EF">
        <w:rPr>
          <w:rFonts w:ascii="Times New Roman" w:hAnsi="Times New Roman" w:cs="Times New Roman"/>
          <w:sz w:val="24"/>
          <w:szCs w:val="24"/>
        </w:rPr>
        <w:t xml:space="preserve">protection, and other disciplines, to provide continuing input to a regulatory framework that </w:t>
      </w:r>
      <w:r>
        <w:rPr>
          <w:rFonts w:ascii="Times New Roman" w:hAnsi="Times New Roman" w:cs="Times New Roman"/>
          <w:sz w:val="24"/>
          <w:szCs w:val="24"/>
        </w:rPr>
        <w:t>w</w:t>
      </w:r>
      <w:r w:rsidRPr="001649EF">
        <w:rPr>
          <w:rFonts w:ascii="Times New Roman" w:hAnsi="Times New Roman" w:cs="Times New Roman"/>
          <w:sz w:val="24"/>
          <w:szCs w:val="24"/>
        </w:rPr>
        <w:t>ill evolve</w:t>
      </w:r>
      <w:r>
        <w:rPr>
          <w:rFonts w:ascii="Times New Roman" w:hAnsi="Times New Roman" w:cs="Times New Roman"/>
          <w:sz w:val="24"/>
          <w:szCs w:val="24"/>
        </w:rPr>
        <w:t>.</w:t>
      </w:r>
    </w:p>
    <w:p w:rsidR="004F061D" w:rsidRPr="004F061D" w:rsidRDefault="004F061D" w:rsidP="001142EC">
      <w:pPr>
        <w:spacing w:after="0" w:line="240" w:lineRule="auto"/>
        <w:rPr>
          <w:rFonts w:ascii="Times New Roman" w:eastAsia="Arial Unicode MS" w:hAnsi="Times New Roman" w:cs="Times New Roman"/>
          <w:b/>
          <w:color w:val="0000FF"/>
          <w:sz w:val="8"/>
          <w:szCs w:val="8"/>
        </w:rPr>
      </w:pPr>
    </w:p>
    <w:p w:rsidR="00C76F45" w:rsidRPr="00E62DA0" w:rsidRDefault="00C76F45" w:rsidP="001142EC">
      <w:pPr>
        <w:spacing w:after="0" w:line="240" w:lineRule="auto"/>
        <w:rPr>
          <w:rFonts w:ascii="Times New Roman" w:hAnsi="Times New Roman" w:cs="Times New Roman"/>
          <w:b/>
          <w:color w:val="0000FF"/>
          <w:sz w:val="24"/>
          <w:szCs w:val="24"/>
        </w:rPr>
      </w:pPr>
      <w:r w:rsidRPr="00E62DA0">
        <w:rPr>
          <w:rFonts w:ascii="Times New Roman" w:eastAsia="Arial Unicode MS" w:hAnsi="Times New Roman" w:cs="Times New Roman"/>
          <w:b/>
          <w:color w:val="0000FF"/>
          <w:sz w:val="24"/>
          <w:szCs w:val="24"/>
        </w:rPr>
        <w:t>McKesson Corp</w:t>
      </w:r>
      <w:r w:rsidR="00E62DA0">
        <w:rPr>
          <w:rFonts w:ascii="Times New Roman" w:eastAsia="Arial Unicode MS" w:hAnsi="Times New Roman" w:cs="Times New Roman"/>
          <w:b/>
          <w:color w:val="0000FF"/>
          <w:sz w:val="24"/>
          <w:szCs w:val="24"/>
        </w:rPr>
        <w:t>.</w:t>
      </w:r>
      <w:r w:rsidRPr="00E62DA0">
        <w:rPr>
          <w:rFonts w:ascii="Times New Roman" w:hAnsi="Times New Roman" w:cs="Times New Roman"/>
          <w:b/>
          <w:color w:val="0000FF"/>
          <w:sz w:val="24"/>
          <w:szCs w:val="24"/>
        </w:rPr>
        <w:t xml:space="preserve"> </w:t>
      </w:r>
    </w:p>
    <w:p w:rsidR="00C124B6" w:rsidRPr="00C124B6" w:rsidRDefault="00C76F45" w:rsidP="00C124B6">
      <w:pPr>
        <w:pStyle w:val="ListParagraph"/>
        <w:numPr>
          <w:ilvl w:val="0"/>
          <w:numId w:val="28"/>
        </w:numPr>
        <w:spacing w:after="0" w:line="240" w:lineRule="auto"/>
        <w:rPr>
          <w:rFonts w:ascii="Times New Roman" w:hAnsi="Times New Roman" w:cs="Times New Roman"/>
          <w:sz w:val="24"/>
          <w:szCs w:val="24"/>
        </w:rPr>
      </w:pPr>
      <w:r w:rsidRPr="00C124B6">
        <w:rPr>
          <w:rFonts w:ascii="Times New Roman" w:hAnsi="Times New Roman" w:cs="Times New Roman"/>
          <w:sz w:val="24"/>
          <w:szCs w:val="24"/>
        </w:rPr>
        <w:t>ONC is well positioned to oversee and promote health IT safety.</w:t>
      </w:r>
    </w:p>
    <w:p w:rsidR="00C124B6" w:rsidRPr="00C124B6" w:rsidRDefault="00C124B6" w:rsidP="00C124B6">
      <w:pPr>
        <w:pStyle w:val="ListParagraph"/>
        <w:numPr>
          <w:ilvl w:val="0"/>
          <w:numId w:val="28"/>
        </w:numPr>
        <w:spacing w:after="0" w:line="240" w:lineRule="auto"/>
        <w:rPr>
          <w:rFonts w:ascii="Times New Roman" w:hAnsi="Times New Roman" w:cs="Times New Roman"/>
          <w:sz w:val="24"/>
          <w:szCs w:val="24"/>
        </w:rPr>
      </w:pPr>
      <w:r w:rsidRPr="00C124B6">
        <w:rPr>
          <w:rFonts w:ascii="Times New Roman" w:hAnsi="Times New Roman" w:cs="Times New Roman"/>
          <w:sz w:val="24"/>
          <w:szCs w:val="24"/>
        </w:rPr>
        <w:t>A</w:t>
      </w:r>
      <w:r w:rsidR="00C76F45" w:rsidRPr="00C124B6">
        <w:rPr>
          <w:rFonts w:ascii="Times New Roman" w:hAnsi="Times New Roman" w:cs="Times New Roman"/>
          <w:sz w:val="24"/>
          <w:szCs w:val="24"/>
        </w:rPr>
        <w:t xml:space="preserve"> new framework is needed to promote both continuous quality improvements in patient safety as well as ongoing innovation in the development of health IT.</w:t>
      </w:r>
    </w:p>
    <w:p w:rsidR="00C76F45" w:rsidRPr="004F061D" w:rsidRDefault="0049516D" w:rsidP="00C124B6">
      <w:pPr>
        <w:pStyle w:val="ListParagraph"/>
        <w:numPr>
          <w:ilvl w:val="0"/>
          <w:numId w:val="28"/>
        </w:numPr>
        <w:spacing w:after="0" w:line="240" w:lineRule="auto"/>
        <w:rPr>
          <w:rFonts w:ascii="Times New Roman" w:eastAsia="Arial Unicode MS" w:hAnsi="Times New Roman" w:cs="Times New Roman"/>
          <w:color w:val="000000"/>
          <w:sz w:val="24"/>
          <w:szCs w:val="24"/>
        </w:rPr>
      </w:pPr>
      <w:r w:rsidRPr="00C124B6">
        <w:rPr>
          <w:rFonts w:ascii="Times New Roman" w:hAnsi="Times New Roman" w:cs="Times New Roman"/>
          <w:sz w:val="24"/>
          <w:szCs w:val="24"/>
        </w:rPr>
        <w:t>See also BPC Report</w:t>
      </w:r>
      <w:r w:rsidR="001649EF" w:rsidRPr="00C124B6">
        <w:rPr>
          <w:rFonts w:ascii="Times New Roman" w:hAnsi="Times New Roman" w:cs="Times New Roman"/>
          <w:sz w:val="24"/>
          <w:szCs w:val="24"/>
        </w:rPr>
        <w:t>.</w:t>
      </w:r>
    </w:p>
    <w:p w:rsidR="004F061D" w:rsidRPr="004F061D" w:rsidRDefault="004F061D" w:rsidP="004F061D">
      <w:pPr>
        <w:spacing w:after="0" w:line="240" w:lineRule="auto"/>
        <w:rPr>
          <w:rFonts w:ascii="Times New Roman" w:eastAsia="Arial Unicode MS" w:hAnsi="Times New Roman" w:cs="Times New Roman"/>
          <w:color w:val="000000"/>
          <w:sz w:val="8"/>
          <w:szCs w:val="8"/>
        </w:rPr>
      </w:pPr>
    </w:p>
    <w:p w:rsidR="004F061D" w:rsidRPr="00023D75" w:rsidRDefault="004F061D" w:rsidP="004F061D">
      <w:pPr>
        <w:spacing w:after="0" w:line="240" w:lineRule="auto"/>
        <w:rPr>
          <w:rFonts w:ascii="Times New Roman" w:eastAsia="Arial Unicode MS" w:hAnsi="Times New Roman" w:cs="Times New Roman"/>
          <w:b/>
          <w:color w:val="0000FF"/>
          <w:sz w:val="24"/>
          <w:szCs w:val="24"/>
        </w:rPr>
      </w:pPr>
      <w:r w:rsidRPr="00023D75">
        <w:rPr>
          <w:rFonts w:ascii="Times New Roman" w:eastAsia="Arial Unicode MS" w:hAnsi="Times New Roman" w:cs="Times New Roman"/>
          <w:b/>
          <w:color w:val="0000FF"/>
          <w:sz w:val="24"/>
          <w:szCs w:val="24"/>
        </w:rPr>
        <w:t>Verizon</w:t>
      </w:r>
    </w:p>
    <w:p w:rsidR="004F061D" w:rsidRPr="00E62DA0" w:rsidRDefault="004F061D" w:rsidP="004F061D">
      <w:pPr>
        <w:pStyle w:val="ListParagraph"/>
        <w:numPr>
          <w:ilvl w:val="0"/>
          <w:numId w:val="25"/>
        </w:numPr>
        <w:spacing w:after="0" w:line="240" w:lineRule="auto"/>
        <w:rPr>
          <w:rFonts w:ascii="Times New Roman" w:eastAsia="Arial Unicode MS" w:hAnsi="Times New Roman" w:cs="Times New Roman"/>
          <w:color w:val="000000"/>
          <w:sz w:val="24"/>
          <w:szCs w:val="24"/>
        </w:rPr>
      </w:pPr>
      <w:r w:rsidRPr="00E62DA0">
        <w:rPr>
          <w:rFonts w:ascii="Times New Roman" w:eastAsia="Arial Unicode MS" w:hAnsi="Times New Roman" w:cs="Times New Roman"/>
          <w:color w:val="000000"/>
          <w:sz w:val="24"/>
          <w:szCs w:val="24"/>
        </w:rPr>
        <w:t>Recommends coordination among agencies, including issues connected to the Universal Service Rural Health Care Fund</w:t>
      </w:r>
    </w:p>
    <w:p w:rsidR="004F061D" w:rsidRPr="00E62DA0" w:rsidRDefault="004F061D" w:rsidP="004F061D">
      <w:pPr>
        <w:pStyle w:val="ListParagraph"/>
        <w:numPr>
          <w:ilvl w:val="0"/>
          <w:numId w:val="25"/>
        </w:numPr>
        <w:spacing w:after="0" w:line="240" w:lineRule="auto"/>
        <w:rPr>
          <w:rFonts w:ascii="Times New Roman" w:eastAsia="Arial Unicode MS" w:hAnsi="Times New Roman" w:cs="Times New Roman"/>
          <w:color w:val="000000"/>
          <w:sz w:val="24"/>
          <w:szCs w:val="24"/>
        </w:rPr>
      </w:pPr>
      <w:r w:rsidRPr="00E62DA0">
        <w:rPr>
          <w:rFonts w:ascii="Times New Roman" w:eastAsia="Arial Unicode MS" w:hAnsi="Times New Roman" w:cs="Times New Roman"/>
          <w:color w:val="000000"/>
          <w:sz w:val="24"/>
          <w:szCs w:val="24"/>
        </w:rPr>
        <w:t>Adopt a series of MOU</w:t>
      </w:r>
      <w:r>
        <w:rPr>
          <w:rFonts w:ascii="Times New Roman" w:eastAsia="Arial Unicode MS" w:hAnsi="Times New Roman" w:cs="Times New Roman"/>
          <w:color w:val="000000"/>
          <w:sz w:val="24"/>
          <w:szCs w:val="24"/>
        </w:rPr>
        <w:t>s</w:t>
      </w:r>
      <w:r w:rsidRPr="00E62DA0">
        <w:rPr>
          <w:rFonts w:ascii="Times New Roman" w:eastAsia="Arial Unicode MS" w:hAnsi="Times New Roman" w:cs="Times New Roman"/>
          <w:color w:val="000000"/>
          <w:sz w:val="24"/>
          <w:szCs w:val="24"/>
        </w:rPr>
        <w:t xml:space="preserve"> on minimizing and/or eliminating regulatory overlap.</w:t>
      </w:r>
    </w:p>
    <w:p w:rsidR="004F061D" w:rsidRPr="00E62DA0" w:rsidRDefault="004F061D" w:rsidP="004F061D">
      <w:pPr>
        <w:pStyle w:val="ListParagraph"/>
        <w:numPr>
          <w:ilvl w:val="0"/>
          <w:numId w:val="25"/>
        </w:numPr>
        <w:spacing w:after="0" w:line="240" w:lineRule="auto"/>
        <w:rPr>
          <w:rFonts w:ascii="Times New Roman" w:eastAsia="Arial Unicode MS" w:hAnsi="Times New Roman" w:cs="Times New Roman"/>
          <w:color w:val="000000"/>
          <w:sz w:val="24"/>
          <w:szCs w:val="24"/>
        </w:rPr>
      </w:pPr>
      <w:r w:rsidRPr="00E62DA0">
        <w:rPr>
          <w:rFonts w:ascii="Times New Roman" w:eastAsia="Arial Unicode MS" w:hAnsi="Times New Roman" w:cs="Times New Roman"/>
          <w:color w:val="000000"/>
          <w:sz w:val="24"/>
          <w:szCs w:val="24"/>
        </w:rPr>
        <w:t>Create an FDA office, working group</w:t>
      </w:r>
      <w:r>
        <w:rPr>
          <w:rFonts w:ascii="Times New Roman" w:eastAsia="Arial Unicode MS" w:hAnsi="Times New Roman" w:cs="Times New Roman"/>
          <w:color w:val="000000"/>
          <w:sz w:val="24"/>
          <w:szCs w:val="24"/>
        </w:rPr>
        <w:t>,</w:t>
      </w:r>
      <w:r w:rsidRPr="00E62DA0">
        <w:rPr>
          <w:rFonts w:ascii="Times New Roman" w:eastAsia="Arial Unicode MS" w:hAnsi="Times New Roman" w:cs="Times New Roman"/>
          <w:color w:val="000000"/>
          <w:sz w:val="24"/>
          <w:szCs w:val="24"/>
        </w:rPr>
        <w:t xml:space="preserve"> or task force for mobile health</w:t>
      </w:r>
      <w:r>
        <w:rPr>
          <w:rFonts w:ascii="Times New Roman" w:eastAsia="Arial Unicode MS" w:hAnsi="Times New Roman" w:cs="Times New Roman"/>
          <w:color w:val="000000"/>
          <w:sz w:val="24"/>
          <w:szCs w:val="24"/>
        </w:rPr>
        <w:t>.</w:t>
      </w:r>
    </w:p>
    <w:p w:rsidR="004F061D" w:rsidRPr="004F061D" w:rsidRDefault="004F061D" w:rsidP="004F061D">
      <w:pPr>
        <w:spacing w:after="0" w:line="240" w:lineRule="auto"/>
        <w:rPr>
          <w:rFonts w:ascii="Times New Roman" w:eastAsia="Arial Unicode MS" w:hAnsi="Times New Roman" w:cs="Times New Roman"/>
          <w:color w:val="000000"/>
          <w:sz w:val="24"/>
          <w:szCs w:val="24"/>
        </w:rPr>
      </w:pPr>
    </w:p>
    <w:p w:rsidR="00C76F45" w:rsidRPr="00E62DA0" w:rsidRDefault="00C76F45" w:rsidP="001142EC">
      <w:pPr>
        <w:spacing w:after="0" w:line="240" w:lineRule="auto"/>
        <w:rPr>
          <w:rFonts w:ascii="Times New Roman" w:eastAsia="Arial Unicode MS" w:hAnsi="Times New Roman" w:cs="Times New Roman"/>
          <w:color w:val="000000"/>
          <w:sz w:val="8"/>
          <w:szCs w:val="8"/>
        </w:rPr>
      </w:pPr>
    </w:p>
    <w:p w:rsidR="00C124B6" w:rsidRPr="006B24FF" w:rsidRDefault="00C124B6" w:rsidP="001142EC">
      <w:pPr>
        <w:spacing w:after="0" w:line="240" w:lineRule="auto"/>
        <w:rPr>
          <w:rFonts w:ascii="Times New Roman" w:hAnsi="Times New Roman" w:cs="Times New Roman"/>
          <w:sz w:val="8"/>
          <w:szCs w:val="8"/>
        </w:rPr>
      </w:pPr>
    </w:p>
    <w:sectPr w:rsidR="00C124B6" w:rsidRPr="006B24FF" w:rsidSect="00DD3E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66" w:rsidRDefault="00455466" w:rsidP="00962CD1">
      <w:pPr>
        <w:spacing w:after="0" w:line="240" w:lineRule="auto"/>
      </w:pPr>
      <w:r>
        <w:separator/>
      </w:r>
    </w:p>
  </w:endnote>
  <w:endnote w:type="continuationSeparator" w:id="0">
    <w:p w:rsidR="00455466" w:rsidRDefault="00455466" w:rsidP="00962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9570594"/>
      <w:docPartObj>
        <w:docPartGallery w:val="Page Numbers (Bottom of Page)"/>
        <w:docPartUnique/>
      </w:docPartObj>
    </w:sdtPr>
    <w:sdtContent>
      <w:sdt>
        <w:sdtPr>
          <w:rPr>
            <w:rFonts w:ascii="Times New Roman" w:hAnsi="Times New Roman" w:cs="Times New Roman"/>
          </w:rPr>
          <w:id w:val="565050477"/>
          <w:docPartObj>
            <w:docPartGallery w:val="Page Numbers (Top of Page)"/>
            <w:docPartUnique/>
          </w:docPartObj>
        </w:sdtPr>
        <w:sdtContent>
          <w:p w:rsidR="00C124B6" w:rsidRPr="00962CD1" w:rsidRDefault="00C124B6">
            <w:pPr>
              <w:pStyle w:val="Footer"/>
              <w:jc w:val="center"/>
              <w:rPr>
                <w:rFonts w:ascii="Times New Roman" w:hAnsi="Times New Roman" w:cs="Times New Roman"/>
              </w:rPr>
            </w:pPr>
            <w:r w:rsidRPr="00962CD1">
              <w:rPr>
                <w:rFonts w:ascii="Times New Roman" w:hAnsi="Times New Roman" w:cs="Times New Roman"/>
              </w:rPr>
              <w:t xml:space="preserve">Page </w:t>
            </w:r>
            <w:r w:rsidRPr="00962CD1">
              <w:rPr>
                <w:rFonts w:ascii="Times New Roman" w:hAnsi="Times New Roman" w:cs="Times New Roman"/>
                <w:b/>
              </w:rPr>
              <w:fldChar w:fldCharType="begin"/>
            </w:r>
            <w:r w:rsidRPr="00962CD1">
              <w:rPr>
                <w:rFonts w:ascii="Times New Roman" w:hAnsi="Times New Roman" w:cs="Times New Roman"/>
                <w:b/>
              </w:rPr>
              <w:instrText xml:space="preserve"> PAGE </w:instrText>
            </w:r>
            <w:r w:rsidRPr="00962CD1">
              <w:rPr>
                <w:rFonts w:ascii="Times New Roman" w:hAnsi="Times New Roman" w:cs="Times New Roman"/>
                <w:b/>
              </w:rPr>
              <w:fldChar w:fldCharType="separate"/>
            </w:r>
            <w:r w:rsidR="0061513E">
              <w:rPr>
                <w:rFonts w:ascii="Times New Roman" w:hAnsi="Times New Roman" w:cs="Times New Roman"/>
                <w:b/>
                <w:noProof/>
              </w:rPr>
              <w:t>1</w:t>
            </w:r>
            <w:r w:rsidRPr="00962CD1">
              <w:rPr>
                <w:rFonts w:ascii="Times New Roman" w:hAnsi="Times New Roman" w:cs="Times New Roman"/>
                <w:b/>
              </w:rPr>
              <w:fldChar w:fldCharType="end"/>
            </w:r>
            <w:r w:rsidRPr="00962CD1">
              <w:rPr>
                <w:rFonts w:ascii="Times New Roman" w:hAnsi="Times New Roman" w:cs="Times New Roman"/>
              </w:rPr>
              <w:t xml:space="preserve"> of </w:t>
            </w:r>
            <w:r w:rsidRPr="00962CD1">
              <w:rPr>
                <w:rFonts w:ascii="Times New Roman" w:hAnsi="Times New Roman" w:cs="Times New Roman"/>
                <w:b/>
              </w:rPr>
              <w:fldChar w:fldCharType="begin"/>
            </w:r>
            <w:r w:rsidRPr="00962CD1">
              <w:rPr>
                <w:rFonts w:ascii="Times New Roman" w:hAnsi="Times New Roman" w:cs="Times New Roman"/>
                <w:b/>
              </w:rPr>
              <w:instrText xml:space="preserve"> NUMPAGES  </w:instrText>
            </w:r>
            <w:r w:rsidRPr="00962CD1">
              <w:rPr>
                <w:rFonts w:ascii="Times New Roman" w:hAnsi="Times New Roman" w:cs="Times New Roman"/>
                <w:b/>
              </w:rPr>
              <w:fldChar w:fldCharType="separate"/>
            </w:r>
            <w:r w:rsidR="0061513E">
              <w:rPr>
                <w:rFonts w:ascii="Times New Roman" w:hAnsi="Times New Roman" w:cs="Times New Roman"/>
                <w:b/>
                <w:noProof/>
              </w:rPr>
              <w:t>8</w:t>
            </w:r>
            <w:r w:rsidRPr="00962CD1">
              <w:rPr>
                <w:rFonts w:ascii="Times New Roman" w:hAnsi="Times New Roman" w:cs="Times New Roman"/>
                <w:b/>
              </w:rPr>
              <w:fldChar w:fldCharType="end"/>
            </w:r>
          </w:p>
        </w:sdtContent>
      </w:sdt>
    </w:sdtContent>
  </w:sdt>
  <w:p w:rsidR="00C124B6" w:rsidRDefault="00C12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66" w:rsidRDefault="00455466" w:rsidP="00962CD1">
      <w:pPr>
        <w:spacing w:after="0" w:line="240" w:lineRule="auto"/>
      </w:pPr>
      <w:r>
        <w:separator/>
      </w:r>
    </w:p>
  </w:footnote>
  <w:footnote w:type="continuationSeparator" w:id="0">
    <w:p w:rsidR="00455466" w:rsidRDefault="00455466" w:rsidP="00962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26F"/>
    <w:multiLevelType w:val="hybridMultilevel"/>
    <w:tmpl w:val="FDCAC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E72E92"/>
    <w:multiLevelType w:val="hybridMultilevel"/>
    <w:tmpl w:val="ADC4DAFC"/>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2268B"/>
    <w:multiLevelType w:val="hybridMultilevel"/>
    <w:tmpl w:val="B4F6E978"/>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11F13"/>
    <w:multiLevelType w:val="hybridMultilevel"/>
    <w:tmpl w:val="AB60F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106BF"/>
    <w:multiLevelType w:val="hybridMultilevel"/>
    <w:tmpl w:val="AF92E73E"/>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F38C7"/>
    <w:multiLevelType w:val="hybridMultilevel"/>
    <w:tmpl w:val="BD6EB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06BC8"/>
    <w:multiLevelType w:val="hybridMultilevel"/>
    <w:tmpl w:val="8A0EDECA"/>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71F8C"/>
    <w:multiLevelType w:val="hybridMultilevel"/>
    <w:tmpl w:val="A748E788"/>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715067"/>
    <w:multiLevelType w:val="hybridMultilevel"/>
    <w:tmpl w:val="69684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A93E82"/>
    <w:multiLevelType w:val="hybridMultilevel"/>
    <w:tmpl w:val="72A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F4A1F"/>
    <w:multiLevelType w:val="hybridMultilevel"/>
    <w:tmpl w:val="BD307BAE"/>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4504A"/>
    <w:multiLevelType w:val="hybridMultilevel"/>
    <w:tmpl w:val="C2A4A136"/>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A1318"/>
    <w:multiLevelType w:val="hybridMultilevel"/>
    <w:tmpl w:val="6FC67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D2605E"/>
    <w:multiLevelType w:val="hybridMultilevel"/>
    <w:tmpl w:val="8DD6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A456F"/>
    <w:multiLevelType w:val="hybridMultilevel"/>
    <w:tmpl w:val="FB20C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2A0325"/>
    <w:multiLevelType w:val="hybridMultilevel"/>
    <w:tmpl w:val="284C4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144D32"/>
    <w:multiLevelType w:val="hybridMultilevel"/>
    <w:tmpl w:val="66425C32"/>
    <w:lvl w:ilvl="0" w:tplc="0478E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C3CF3"/>
    <w:multiLevelType w:val="hybridMultilevel"/>
    <w:tmpl w:val="CB36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BF6FC0"/>
    <w:multiLevelType w:val="hybridMultilevel"/>
    <w:tmpl w:val="EDDEFA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CB0A19"/>
    <w:multiLevelType w:val="hybridMultilevel"/>
    <w:tmpl w:val="5AE8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D002FD"/>
    <w:multiLevelType w:val="hybridMultilevel"/>
    <w:tmpl w:val="82FA2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5F04D7"/>
    <w:multiLevelType w:val="hybridMultilevel"/>
    <w:tmpl w:val="C09E0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71624C"/>
    <w:multiLevelType w:val="hybridMultilevel"/>
    <w:tmpl w:val="99AE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B91701"/>
    <w:multiLevelType w:val="hybridMultilevel"/>
    <w:tmpl w:val="6E5A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676E19"/>
    <w:multiLevelType w:val="hybridMultilevel"/>
    <w:tmpl w:val="7E82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E15B2"/>
    <w:multiLevelType w:val="hybridMultilevel"/>
    <w:tmpl w:val="21062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9F49A0"/>
    <w:multiLevelType w:val="hybridMultilevel"/>
    <w:tmpl w:val="64BAB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8E2DB4"/>
    <w:multiLevelType w:val="hybridMultilevel"/>
    <w:tmpl w:val="35FC9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DA79E1"/>
    <w:multiLevelType w:val="hybridMultilevel"/>
    <w:tmpl w:val="1FFC7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42368A"/>
    <w:multiLevelType w:val="hybridMultilevel"/>
    <w:tmpl w:val="E902B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BC0287"/>
    <w:multiLevelType w:val="hybridMultilevel"/>
    <w:tmpl w:val="429CC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455FBC"/>
    <w:multiLevelType w:val="hybridMultilevel"/>
    <w:tmpl w:val="C09CD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B001A9"/>
    <w:multiLevelType w:val="hybridMultilevel"/>
    <w:tmpl w:val="9F86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4"/>
  </w:num>
  <w:num w:numId="4">
    <w:abstractNumId w:val="20"/>
  </w:num>
  <w:num w:numId="5">
    <w:abstractNumId w:val="8"/>
  </w:num>
  <w:num w:numId="6">
    <w:abstractNumId w:val="30"/>
  </w:num>
  <w:num w:numId="7">
    <w:abstractNumId w:val="17"/>
  </w:num>
  <w:num w:numId="8">
    <w:abstractNumId w:val="31"/>
  </w:num>
  <w:num w:numId="9">
    <w:abstractNumId w:val="29"/>
  </w:num>
  <w:num w:numId="10">
    <w:abstractNumId w:val="15"/>
  </w:num>
  <w:num w:numId="11">
    <w:abstractNumId w:val="3"/>
  </w:num>
  <w:num w:numId="12">
    <w:abstractNumId w:val="19"/>
  </w:num>
  <w:num w:numId="13">
    <w:abstractNumId w:val="25"/>
  </w:num>
  <w:num w:numId="14">
    <w:abstractNumId w:val="23"/>
  </w:num>
  <w:num w:numId="15">
    <w:abstractNumId w:val="26"/>
  </w:num>
  <w:num w:numId="16">
    <w:abstractNumId w:val="9"/>
  </w:num>
  <w:num w:numId="17">
    <w:abstractNumId w:val="27"/>
  </w:num>
  <w:num w:numId="18">
    <w:abstractNumId w:val="32"/>
  </w:num>
  <w:num w:numId="19">
    <w:abstractNumId w:val="13"/>
  </w:num>
  <w:num w:numId="20">
    <w:abstractNumId w:val="24"/>
  </w:num>
  <w:num w:numId="21">
    <w:abstractNumId w:val="12"/>
  </w:num>
  <w:num w:numId="22">
    <w:abstractNumId w:val="0"/>
  </w:num>
  <w:num w:numId="23">
    <w:abstractNumId w:val="22"/>
  </w:num>
  <w:num w:numId="24">
    <w:abstractNumId w:val="18"/>
  </w:num>
  <w:num w:numId="25">
    <w:abstractNumId w:val="5"/>
  </w:num>
  <w:num w:numId="26">
    <w:abstractNumId w:val="7"/>
  </w:num>
  <w:num w:numId="27">
    <w:abstractNumId w:val="2"/>
  </w:num>
  <w:num w:numId="28">
    <w:abstractNumId w:val="6"/>
  </w:num>
  <w:num w:numId="29">
    <w:abstractNumId w:val="16"/>
  </w:num>
  <w:num w:numId="30">
    <w:abstractNumId w:val="4"/>
  </w:num>
  <w:num w:numId="31">
    <w:abstractNumId w:val="1"/>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0E57"/>
    <w:rsid w:val="00000BF6"/>
    <w:rsid w:val="00001E96"/>
    <w:rsid w:val="00010696"/>
    <w:rsid w:val="000233C9"/>
    <w:rsid w:val="00023D75"/>
    <w:rsid w:val="00024F61"/>
    <w:rsid w:val="00046BF0"/>
    <w:rsid w:val="00062D72"/>
    <w:rsid w:val="00067C1A"/>
    <w:rsid w:val="00080E4A"/>
    <w:rsid w:val="000A235F"/>
    <w:rsid w:val="000B7BE8"/>
    <w:rsid w:val="000D5972"/>
    <w:rsid w:val="000E0004"/>
    <w:rsid w:val="000F4C69"/>
    <w:rsid w:val="000F6F46"/>
    <w:rsid w:val="00100AA9"/>
    <w:rsid w:val="00106238"/>
    <w:rsid w:val="001142EC"/>
    <w:rsid w:val="001179E1"/>
    <w:rsid w:val="001277E4"/>
    <w:rsid w:val="00152B04"/>
    <w:rsid w:val="001649EF"/>
    <w:rsid w:val="001706DB"/>
    <w:rsid w:val="001818AE"/>
    <w:rsid w:val="001916BA"/>
    <w:rsid w:val="001F65D6"/>
    <w:rsid w:val="00227808"/>
    <w:rsid w:val="002607DF"/>
    <w:rsid w:val="002713AE"/>
    <w:rsid w:val="00274A34"/>
    <w:rsid w:val="00280BF0"/>
    <w:rsid w:val="00286BE8"/>
    <w:rsid w:val="00294B4D"/>
    <w:rsid w:val="002E2D5E"/>
    <w:rsid w:val="002E4188"/>
    <w:rsid w:val="00317709"/>
    <w:rsid w:val="00367437"/>
    <w:rsid w:val="003845D0"/>
    <w:rsid w:val="003938FF"/>
    <w:rsid w:val="00396F90"/>
    <w:rsid w:val="003A784D"/>
    <w:rsid w:val="003D31A3"/>
    <w:rsid w:val="004274F8"/>
    <w:rsid w:val="00431B3A"/>
    <w:rsid w:val="0043261D"/>
    <w:rsid w:val="00455466"/>
    <w:rsid w:val="004615A7"/>
    <w:rsid w:val="00485954"/>
    <w:rsid w:val="00490E57"/>
    <w:rsid w:val="0049516D"/>
    <w:rsid w:val="004A39C6"/>
    <w:rsid w:val="004B1994"/>
    <w:rsid w:val="004B419C"/>
    <w:rsid w:val="004E24BB"/>
    <w:rsid w:val="004F061D"/>
    <w:rsid w:val="00575EDD"/>
    <w:rsid w:val="0058702E"/>
    <w:rsid w:val="005C4E0A"/>
    <w:rsid w:val="005D13DE"/>
    <w:rsid w:val="00606A6B"/>
    <w:rsid w:val="006114EE"/>
    <w:rsid w:val="0061513E"/>
    <w:rsid w:val="006234C4"/>
    <w:rsid w:val="006916B8"/>
    <w:rsid w:val="006B24FF"/>
    <w:rsid w:val="006B3BE2"/>
    <w:rsid w:val="006B6B59"/>
    <w:rsid w:val="006B7D44"/>
    <w:rsid w:val="00701913"/>
    <w:rsid w:val="00717B9B"/>
    <w:rsid w:val="0072711A"/>
    <w:rsid w:val="00744D78"/>
    <w:rsid w:val="00747D8B"/>
    <w:rsid w:val="0075548E"/>
    <w:rsid w:val="007625F0"/>
    <w:rsid w:val="007D7C24"/>
    <w:rsid w:val="007F5CA5"/>
    <w:rsid w:val="007F779A"/>
    <w:rsid w:val="00803D41"/>
    <w:rsid w:val="008137CB"/>
    <w:rsid w:val="008334B8"/>
    <w:rsid w:val="0083357C"/>
    <w:rsid w:val="00850308"/>
    <w:rsid w:val="00883826"/>
    <w:rsid w:val="0088746E"/>
    <w:rsid w:val="008E301F"/>
    <w:rsid w:val="008E46E3"/>
    <w:rsid w:val="008F232D"/>
    <w:rsid w:val="009110FE"/>
    <w:rsid w:val="00944037"/>
    <w:rsid w:val="0095585F"/>
    <w:rsid w:val="00962CD1"/>
    <w:rsid w:val="00983B86"/>
    <w:rsid w:val="00996092"/>
    <w:rsid w:val="009B2EFF"/>
    <w:rsid w:val="009B4770"/>
    <w:rsid w:val="009C33DC"/>
    <w:rsid w:val="00A143A9"/>
    <w:rsid w:val="00A21513"/>
    <w:rsid w:val="00A340FD"/>
    <w:rsid w:val="00A429E3"/>
    <w:rsid w:val="00A43C9D"/>
    <w:rsid w:val="00A60B1A"/>
    <w:rsid w:val="00A84C65"/>
    <w:rsid w:val="00A908A4"/>
    <w:rsid w:val="00A955C8"/>
    <w:rsid w:val="00AB40B6"/>
    <w:rsid w:val="00AD3149"/>
    <w:rsid w:val="00B17EBA"/>
    <w:rsid w:val="00B21195"/>
    <w:rsid w:val="00B4176B"/>
    <w:rsid w:val="00BD05FA"/>
    <w:rsid w:val="00BD7070"/>
    <w:rsid w:val="00BE1C17"/>
    <w:rsid w:val="00C11608"/>
    <w:rsid w:val="00C11DAC"/>
    <w:rsid w:val="00C124B6"/>
    <w:rsid w:val="00C27167"/>
    <w:rsid w:val="00C52098"/>
    <w:rsid w:val="00C6638A"/>
    <w:rsid w:val="00C76F45"/>
    <w:rsid w:val="00C90531"/>
    <w:rsid w:val="00C96B1B"/>
    <w:rsid w:val="00CA371B"/>
    <w:rsid w:val="00CA5D9A"/>
    <w:rsid w:val="00CD794A"/>
    <w:rsid w:val="00CE1559"/>
    <w:rsid w:val="00D140BF"/>
    <w:rsid w:val="00D17E7C"/>
    <w:rsid w:val="00D26145"/>
    <w:rsid w:val="00D66C2D"/>
    <w:rsid w:val="00D820D4"/>
    <w:rsid w:val="00D8220E"/>
    <w:rsid w:val="00DC33ED"/>
    <w:rsid w:val="00DD0C17"/>
    <w:rsid w:val="00DD3EA2"/>
    <w:rsid w:val="00DF6E34"/>
    <w:rsid w:val="00E551C6"/>
    <w:rsid w:val="00E57131"/>
    <w:rsid w:val="00E62DA0"/>
    <w:rsid w:val="00E64904"/>
    <w:rsid w:val="00EB1423"/>
    <w:rsid w:val="00EE39D4"/>
    <w:rsid w:val="00EE4A65"/>
    <w:rsid w:val="00EE71BB"/>
    <w:rsid w:val="00EF24DB"/>
    <w:rsid w:val="00EF37C8"/>
    <w:rsid w:val="00EF66A4"/>
    <w:rsid w:val="00F15024"/>
    <w:rsid w:val="00F52F28"/>
    <w:rsid w:val="00F60F67"/>
    <w:rsid w:val="00FA4E06"/>
    <w:rsid w:val="00FB0DD2"/>
    <w:rsid w:val="00FC5D2F"/>
    <w:rsid w:val="00FE1868"/>
    <w:rsid w:val="00FE47A3"/>
    <w:rsid w:val="00FE7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D8B"/>
    <w:pPr>
      <w:ind w:left="720"/>
      <w:contextualSpacing/>
    </w:pPr>
  </w:style>
  <w:style w:type="paragraph" w:customStyle="1" w:styleId="Default">
    <w:name w:val="Default"/>
    <w:rsid w:val="006B6B5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962C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CD1"/>
  </w:style>
  <w:style w:type="paragraph" w:styleId="Footer">
    <w:name w:val="footer"/>
    <w:basedOn w:val="Normal"/>
    <w:link w:val="FooterChar"/>
    <w:uiPriority w:val="99"/>
    <w:unhideWhenUsed/>
    <w:rsid w:val="00962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D1"/>
  </w:style>
</w:styles>
</file>

<file path=word/webSettings.xml><?xml version="1.0" encoding="utf-8"?>
<w:webSettings xmlns:r="http://schemas.openxmlformats.org/officeDocument/2006/relationships" xmlns:w="http://schemas.openxmlformats.org/wordprocessingml/2006/main">
  <w:divs>
    <w:div w:id="587733342">
      <w:bodyDiv w:val="1"/>
      <w:marLeft w:val="0"/>
      <w:marRight w:val="0"/>
      <w:marTop w:val="0"/>
      <w:marBottom w:val="0"/>
      <w:divBdr>
        <w:top w:val="none" w:sz="0" w:space="0" w:color="auto"/>
        <w:left w:val="none" w:sz="0" w:space="0" w:color="auto"/>
        <w:bottom w:val="none" w:sz="0" w:space="0" w:color="auto"/>
        <w:right w:val="none" w:sz="0" w:space="0" w:color="auto"/>
      </w:divBdr>
      <w:divsChild>
        <w:div w:id="1084106078">
          <w:marLeft w:val="0"/>
          <w:marRight w:val="0"/>
          <w:marTop w:val="0"/>
          <w:marBottom w:val="0"/>
          <w:divBdr>
            <w:top w:val="none" w:sz="0" w:space="0" w:color="auto"/>
            <w:left w:val="none" w:sz="0" w:space="0" w:color="auto"/>
            <w:bottom w:val="none" w:sz="0" w:space="0" w:color="auto"/>
            <w:right w:val="none" w:sz="0" w:space="0" w:color="auto"/>
          </w:divBdr>
        </w:div>
      </w:divsChild>
    </w:div>
    <w:div w:id="990249951">
      <w:bodyDiv w:val="1"/>
      <w:marLeft w:val="0"/>
      <w:marRight w:val="0"/>
      <w:marTop w:val="0"/>
      <w:marBottom w:val="0"/>
      <w:divBdr>
        <w:top w:val="none" w:sz="0" w:space="0" w:color="auto"/>
        <w:left w:val="none" w:sz="0" w:space="0" w:color="auto"/>
        <w:bottom w:val="none" w:sz="0" w:space="0" w:color="auto"/>
        <w:right w:val="none" w:sz="0" w:space="0" w:color="auto"/>
      </w:divBdr>
      <w:divsChild>
        <w:div w:id="88745438">
          <w:marLeft w:val="0"/>
          <w:marRight w:val="0"/>
          <w:marTop w:val="0"/>
          <w:marBottom w:val="0"/>
          <w:divBdr>
            <w:top w:val="none" w:sz="0" w:space="0" w:color="auto"/>
            <w:left w:val="none" w:sz="0" w:space="0" w:color="auto"/>
            <w:bottom w:val="none" w:sz="0" w:space="0" w:color="auto"/>
            <w:right w:val="none" w:sz="0" w:space="0" w:color="auto"/>
          </w:divBdr>
          <w:divsChild>
            <w:div w:id="1571696783">
              <w:marLeft w:val="0"/>
              <w:marRight w:val="0"/>
              <w:marTop w:val="0"/>
              <w:marBottom w:val="0"/>
              <w:divBdr>
                <w:top w:val="none" w:sz="0" w:space="0" w:color="auto"/>
                <w:left w:val="none" w:sz="0" w:space="0" w:color="auto"/>
                <w:bottom w:val="none" w:sz="0" w:space="0" w:color="auto"/>
                <w:right w:val="none" w:sz="0" w:space="0" w:color="auto"/>
              </w:divBdr>
              <w:divsChild>
                <w:div w:id="862669221">
                  <w:marLeft w:val="0"/>
                  <w:marRight w:val="0"/>
                  <w:marTop w:val="0"/>
                  <w:marBottom w:val="0"/>
                  <w:divBdr>
                    <w:top w:val="none" w:sz="0" w:space="0" w:color="auto"/>
                    <w:left w:val="none" w:sz="0" w:space="0" w:color="auto"/>
                    <w:bottom w:val="none" w:sz="0" w:space="0" w:color="auto"/>
                    <w:right w:val="none" w:sz="0" w:space="0" w:color="auto"/>
                  </w:divBdr>
                  <w:divsChild>
                    <w:div w:id="1438869042">
                      <w:marLeft w:val="0"/>
                      <w:marRight w:val="0"/>
                      <w:marTop w:val="0"/>
                      <w:marBottom w:val="0"/>
                      <w:divBdr>
                        <w:top w:val="none" w:sz="0" w:space="0" w:color="auto"/>
                        <w:left w:val="none" w:sz="0" w:space="0" w:color="auto"/>
                        <w:bottom w:val="none" w:sz="0" w:space="0" w:color="auto"/>
                        <w:right w:val="none" w:sz="0" w:space="0" w:color="auto"/>
                      </w:divBdr>
                      <w:divsChild>
                        <w:div w:id="879904742">
                          <w:marLeft w:val="0"/>
                          <w:marRight w:val="0"/>
                          <w:marTop w:val="0"/>
                          <w:marBottom w:val="0"/>
                          <w:divBdr>
                            <w:top w:val="none" w:sz="0" w:space="0" w:color="auto"/>
                            <w:left w:val="none" w:sz="0" w:space="0" w:color="auto"/>
                            <w:bottom w:val="none" w:sz="0" w:space="0" w:color="auto"/>
                            <w:right w:val="none" w:sz="0" w:space="0" w:color="auto"/>
                          </w:divBdr>
                          <w:divsChild>
                            <w:div w:id="785198578">
                              <w:marLeft w:val="0"/>
                              <w:marRight w:val="0"/>
                              <w:marTop w:val="0"/>
                              <w:marBottom w:val="0"/>
                              <w:divBdr>
                                <w:top w:val="none" w:sz="0" w:space="0" w:color="auto"/>
                                <w:left w:val="none" w:sz="0" w:space="0" w:color="auto"/>
                                <w:bottom w:val="none" w:sz="0" w:space="0" w:color="auto"/>
                                <w:right w:val="none" w:sz="0" w:space="0" w:color="auto"/>
                              </w:divBdr>
                              <w:divsChild>
                                <w:div w:id="1756587480">
                                  <w:marLeft w:val="0"/>
                                  <w:marRight w:val="0"/>
                                  <w:marTop w:val="0"/>
                                  <w:marBottom w:val="0"/>
                                  <w:divBdr>
                                    <w:top w:val="none" w:sz="0" w:space="0" w:color="auto"/>
                                    <w:left w:val="none" w:sz="0" w:space="0" w:color="auto"/>
                                    <w:bottom w:val="none" w:sz="0" w:space="0" w:color="auto"/>
                                    <w:right w:val="none" w:sz="0" w:space="0" w:color="auto"/>
                                  </w:divBdr>
                                  <w:divsChild>
                                    <w:div w:id="705760333">
                                      <w:marLeft w:val="0"/>
                                      <w:marRight w:val="0"/>
                                      <w:marTop w:val="525"/>
                                      <w:marBottom w:val="0"/>
                                      <w:divBdr>
                                        <w:top w:val="none" w:sz="0" w:space="0" w:color="auto"/>
                                        <w:left w:val="none" w:sz="0" w:space="0" w:color="auto"/>
                                        <w:bottom w:val="none" w:sz="0" w:space="0" w:color="auto"/>
                                        <w:right w:val="none" w:sz="0" w:space="0" w:color="auto"/>
                                      </w:divBdr>
                                      <w:divsChild>
                                        <w:div w:id="1447894126">
                                          <w:marLeft w:val="0"/>
                                          <w:marRight w:val="0"/>
                                          <w:marTop w:val="150"/>
                                          <w:marBottom w:val="0"/>
                                          <w:divBdr>
                                            <w:top w:val="none" w:sz="0" w:space="0" w:color="auto"/>
                                            <w:left w:val="none" w:sz="0" w:space="0" w:color="auto"/>
                                            <w:bottom w:val="none" w:sz="0" w:space="0" w:color="auto"/>
                                            <w:right w:val="none" w:sz="0" w:space="0" w:color="auto"/>
                                          </w:divBdr>
                                          <w:divsChild>
                                            <w:div w:id="5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719211">
      <w:bodyDiv w:val="1"/>
      <w:marLeft w:val="0"/>
      <w:marRight w:val="0"/>
      <w:marTop w:val="0"/>
      <w:marBottom w:val="0"/>
      <w:divBdr>
        <w:top w:val="none" w:sz="0" w:space="0" w:color="auto"/>
        <w:left w:val="none" w:sz="0" w:space="0" w:color="auto"/>
        <w:bottom w:val="none" w:sz="0" w:space="0" w:color="auto"/>
        <w:right w:val="none" w:sz="0" w:space="0" w:color="auto"/>
      </w:divBdr>
      <w:divsChild>
        <w:div w:id="2082410953">
          <w:marLeft w:val="0"/>
          <w:marRight w:val="0"/>
          <w:marTop w:val="0"/>
          <w:marBottom w:val="0"/>
          <w:divBdr>
            <w:top w:val="none" w:sz="0" w:space="0" w:color="auto"/>
            <w:left w:val="none" w:sz="0" w:space="0" w:color="auto"/>
            <w:bottom w:val="none" w:sz="0" w:space="0" w:color="auto"/>
            <w:right w:val="none" w:sz="0" w:space="0" w:color="auto"/>
          </w:divBdr>
        </w:div>
      </w:divsChild>
    </w:div>
    <w:div w:id="1412120455">
      <w:bodyDiv w:val="1"/>
      <w:marLeft w:val="0"/>
      <w:marRight w:val="0"/>
      <w:marTop w:val="0"/>
      <w:marBottom w:val="0"/>
      <w:divBdr>
        <w:top w:val="none" w:sz="0" w:space="0" w:color="auto"/>
        <w:left w:val="none" w:sz="0" w:space="0" w:color="auto"/>
        <w:bottom w:val="none" w:sz="0" w:space="0" w:color="auto"/>
        <w:right w:val="none" w:sz="0" w:space="0" w:color="auto"/>
      </w:divBdr>
    </w:div>
    <w:div w:id="2081126113">
      <w:bodyDiv w:val="1"/>
      <w:marLeft w:val="0"/>
      <w:marRight w:val="0"/>
      <w:marTop w:val="0"/>
      <w:marBottom w:val="0"/>
      <w:divBdr>
        <w:top w:val="none" w:sz="0" w:space="0" w:color="auto"/>
        <w:left w:val="none" w:sz="0" w:space="0" w:color="auto"/>
        <w:bottom w:val="none" w:sz="0" w:space="0" w:color="auto"/>
        <w:right w:val="none" w:sz="0" w:space="0" w:color="auto"/>
      </w:divBdr>
      <w:divsChild>
        <w:div w:id="1559777846">
          <w:marLeft w:val="0"/>
          <w:marRight w:val="0"/>
          <w:marTop w:val="0"/>
          <w:marBottom w:val="0"/>
          <w:divBdr>
            <w:top w:val="none" w:sz="0" w:space="0" w:color="auto"/>
            <w:left w:val="none" w:sz="0" w:space="0" w:color="auto"/>
            <w:bottom w:val="none" w:sz="0" w:space="0" w:color="auto"/>
            <w:right w:val="none" w:sz="0" w:space="0" w:color="auto"/>
          </w:divBdr>
          <w:divsChild>
            <w:div w:id="519440003">
              <w:marLeft w:val="0"/>
              <w:marRight w:val="0"/>
              <w:marTop w:val="0"/>
              <w:marBottom w:val="0"/>
              <w:divBdr>
                <w:top w:val="none" w:sz="0" w:space="0" w:color="auto"/>
                <w:left w:val="none" w:sz="0" w:space="0" w:color="auto"/>
                <w:bottom w:val="none" w:sz="0" w:space="0" w:color="auto"/>
                <w:right w:val="none" w:sz="0" w:space="0" w:color="auto"/>
              </w:divBdr>
              <w:divsChild>
                <w:div w:id="274941804">
                  <w:marLeft w:val="0"/>
                  <w:marRight w:val="0"/>
                  <w:marTop w:val="0"/>
                  <w:marBottom w:val="0"/>
                  <w:divBdr>
                    <w:top w:val="none" w:sz="0" w:space="0" w:color="auto"/>
                    <w:left w:val="none" w:sz="0" w:space="0" w:color="auto"/>
                    <w:bottom w:val="none" w:sz="0" w:space="0" w:color="auto"/>
                    <w:right w:val="none" w:sz="0" w:space="0" w:color="auto"/>
                  </w:divBdr>
                  <w:divsChild>
                    <w:div w:id="1219393708">
                      <w:marLeft w:val="0"/>
                      <w:marRight w:val="0"/>
                      <w:marTop w:val="0"/>
                      <w:marBottom w:val="0"/>
                      <w:divBdr>
                        <w:top w:val="none" w:sz="0" w:space="0" w:color="auto"/>
                        <w:left w:val="none" w:sz="0" w:space="0" w:color="auto"/>
                        <w:bottom w:val="none" w:sz="0" w:space="0" w:color="auto"/>
                        <w:right w:val="none" w:sz="0" w:space="0" w:color="auto"/>
                      </w:divBdr>
                      <w:divsChild>
                        <w:div w:id="813565277">
                          <w:marLeft w:val="0"/>
                          <w:marRight w:val="0"/>
                          <w:marTop w:val="0"/>
                          <w:marBottom w:val="0"/>
                          <w:divBdr>
                            <w:top w:val="none" w:sz="0" w:space="0" w:color="auto"/>
                            <w:left w:val="none" w:sz="0" w:space="0" w:color="auto"/>
                            <w:bottom w:val="none" w:sz="0" w:space="0" w:color="auto"/>
                            <w:right w:val="none" w:sz="0" w:space="0" w:color="auto"/>
                          </w:divBdr>
                          <w:divsChild>
                            <w:div w:id="102849267">
                              <w:marLeft w:val="0"/>
                              <w:marRight w:val="0"/>
                              <w:marTop w:val="0"/>
                              <w:marBottom w:val="0"/>
                              <w:divBdr>
                                <w:top w:val="none" w:sz="0" w:space="0" w:color="auto"/>
                                <w:left w:val="none" w:sz="0" w:space="0" w:color="auto"/>
                                <w:bottom w:val="none" w:sz="0" w:space="0" w:color="auto"/>
                                <w:right w:val="none" w:sz="0" w:space="0" w:color="auto"/>
                              </w:divBdr>
                              <w:divsChild>
                                <w:div w:id="1128205810">
                                  <w:marLeft w:val="0"/>
                                  <w:marRight w:val="0"/>
                                  <w:marTop w:val="0"/>
                                  <w:marBottom w:val="0"/>
                                  <w:divBdr>
                                    <w:top w:val="none" w:sz="0" w:space="0" w:color="auto"/>
                                    <w:left w:val="none" w:sz="0" w:space="0" w:color="auto"/>
                                    <w:bottom w:val="none" w:sz="0" w:space="0" w:color="auto"/>
                                    <w:right w:val="none" w:sz="0" w:space="0" w:color="auto"/>
                                  </w:divBdr>
                                  <w:divsChild>
                                    <w:div w:id="1725056620">
                                      <w:marLeft w:val="0"/>
                                      <w:marRight w:val="0"/>
                                      <w:marTop w:val="0"/>
                                      <w:marBottom w:val="0"/>
                                      <w:divBdr>
                                        <w:top w:val="none" w:sz="0" w:space="0" w:color="auto"/>
                                        <w:left w:val="none" w:sz="0" w:space="0" w:color="auto"/>
                                        <w:bottom w:val="none" w:sz="0" w:space="0" w:color="auto"/>
                                        <w:right w:val="none" w:sz="0" w:space="0" w:color="auto"/>
                                      </w:divBdr>
                                      <w:divsChild>
                                        <w:div w:id="946348477">
                                          <w:marLeft w:val="0"/>
                                          <w:marRight w:val="0"/>
                                          <w:marTop w:val="0"/>
                                          <w:marBottom w:val="0"/>
                                          <w:divBdr>
                                            <w:top w:val="none" w:sz="0" w:space="0" w:color="auto"/>
                                            <w:left w:val="none" w:sz="0" w:space="0" w:color="auto"/>
                                            <w:bottom w:val="none" w:sz="0" w:space="0" w:color="auto"/>
                                            <w:right w:val="none" w:sz="0" w:space="0" w:color="auto"/>
                                          </w:divBdr>
                                          <w:divsChild>
                                            <w:div w:id="6783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Lipinski</dc:creator>
  <cp:keywords/>
  <dc:description/>
  <cp:lastModifiedBy>Michael L Lipinski</cp:lastModifiedBy>
  <cp:revision>25</cp:revision>
  <dcterms:created xsi:type="dcterms:W3CDTF">2013-07-15T12:52:00Z</dcterms:created>
  <dcterms:modified xsi:type="dcterms:W3CDTF">2013-07-15T14:24:00Z</dcterms:modified>
</cp:coreProperties>
</file>