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B4" w:rsidRPr="008417B0" w:rsidRDefault="00DA690B">
      <w:pPr>
        <w:jc w:val="center"/>
        <w:rPr>
          <w:rFonts w:ascii="Garamond" w:hAnsi="Garamond"/>
          <w:b/>
        </w:rPr>
      </w:pPr>
      <w:r w:rsidRPr="008417B0">
        <w:rPr>
          <w:rFonts w:ascii="Garamond" w:hAnsi="Garamond"/>
          <w:b/>
        </w:rPr>
        <w:t>Health Information Technology (HIT) Policy Committee</w:t>
      </w:r>
      <w:r w:rsidRPr="008417B0">
        <w:rPr>
          <w:rFonts w:ascii="Garamond" w:hAnsi="Garamond"/>
          <w:b/>
        </w:rPr>
        <w:br/>
      </w:r>
      <w:r w:rsidR="00E237D4" w:rsidRPr="008417B0">
        <w:rPr>
          <w:rFonts w:ascii="Garamond" w:hAnsi="Garamond"/>
          <w:b/>
        </w:rPr>
        <w:t>Accountable Care</w:t>
      </w:r>
      <w:r w:rsidRPr="008417B0">
        <w:rPr>
          <w:rFonts w:ascii="Garamond" w:hAnsi="Garamond"/>
          <w:b/>
        </w:rPr>
        <w:t xml:space="preserve"> Workgroup</w:t>
      </w:r>
      <w:r w:rsidRPr="008417B0">
        <w:rPr>
          <w:rFonts w:ascii="Garamond" w:hAnsi="Garamond"/>
          <w:b/>
        </w:rPr>
        <w:br/>
      </w:r>
      <w:r w:rsidR="00337FB4" w:rsidRPr="008417B0">
        <w:rPr>
          <w:rFonts w:ascii="Garamond" w:hAnsi="Garamond"/>
          <w:b/>
        </w:rPr>
        <w:t>Office of the National Coordinator for Health Information Technology</w:t>
      </w:r>
      <w:r w:rsidRPr="008417B0">
        <w:rPr>
          <w:rFonts w:ascii="Garamond" w:hAnsi="Garamond"/>
          <w:b/>
        </w:rPr>
        <w:br/>
      </w:r>
      <w:r w:rsidRPr="008417B0">
        <w:rPr>
          <w:rFonts w:ascii="Garamond" w:hAnsi="Garamond"/>
          <w:b/>
        </w:rPr>
        <w:br/>
      </w:r>
      <w:r w:rsidR="00362769">
        <w:rPr>
          <w:rFonts w:ascii="Garamond" w:hAnsi="Garamond"/>
          <w:b/>
        </w:rPr>
        <w:t>Charter</w:t>
      </w:r>
      <w:r w:rsidR="00337FB4" w:rsidRPr="008417B0">
        <w:rPr>
          <w:rFonts w:ascii="Garamond" w:hAnsi="Garamond"/>
          <w:b/>
        </w:rPr>
        <w:br/>
      </w:r>
      <w:r w:rsidR="00362769">
        <w:rPr>
          <w:rFonts w:ascii="Garamond" w:hAnsi="Garamond"/>
          <w:b/>
        </w:rPr>
        <w:t xml:space="preserve">Updated: </w:t>
      </w:r>
      <w:r w:rsidR="00F927B5">
        <w:rPr>
          <w:rFonts w:ascii="Garamond" w:hAnsi="Garamond"/>
          <w:b/>
        </w:rPr>
        <w:t>April 18</w:t>
      </w:r>
      <w:r w:rsidR="00362769">
        <w:rPr>
          <w:rFonts w:ascii="Garamond" w:hAnsi="Garamond"/>
          <w:b/>
        </w:rPr>
        <w:t>, 2013</w:t>
      </w:r>
    </w:p>
    <w:p w:rsidR="00337FB4" w:rsidRPr="008417B0" w:rsidRDefault="00337FB4">
      <w:pPr>
        <w:jc w:val="center"/>
        <w:rPr>
          <w:rFonts w:ascii="Garamond" w:hAnsi="Garamond"/>
          <w:b/>
        </w:rPr>
      </w:pPr>
    </w:p>
    <w:p w:rsidR="00F46D7C" w:rsidRPr="008417B0" w:rsidRDefault="00F46D7C" w:rsidP="00F46D7C">
      <w:pPr>
        <w:rPr>
          <w:rFonts w:ascii="Garamond" w:hAnsi="Garamond"/>
          <w:b/>
        </w:rPr>
      </w:pPr>
      <w:bookmarkStart w:id="0" w:name="ONCHIT"/>
      <w:r w:rsidRPr="008417B0">
        <w:rPr>
          <w:rFonts w:ascii="Garamond" w:hAnsi="Garamond"/>
          <w:b/>
        </w:rPr>
        <w:t xml:space="preserve">Broad Charge for the </w:t>
      </w:r>
      <w:r w:rsidR="00F927B5">
        <w:rPr>
          <w:rFonts w:ascii="Garamond" w:hAnsi="Garamond"/>
          <w:b/>
        </w:rPr>
        <w:t>Work</w:t>
      </w:r>
      <w:r w:rsidRPr="008417B0">
        <w:rPr>
          <w:rFonts w:ascii="Garamond" w:hAnsi="Garamond"/>
          <w:b/>
        </w:rPr>
        <w:t xml:space="preserve">group: </w:t>
      </w:r>
    </w:p>
    <w:p w:rsidR="003A6F0D" w:rsidRDefault="003A6F0D" w:rsidP="00F46D7C">
      <w:pPr>
        <w:tabs>
          <w:tab w:val="num" w:pos="1620"/>
        </w:tabs>
        <w:rPr>
          <w:rFonts w:ascii="Garamond" w:hAnsi="Garamond"/>
        </w:rPr>
      </w:pPr>
    </w:p>
    <w:p w:rsidR="00062FEE" w:rsidRDefault="00F46D7C" w:rsidP="00F46D7C">
      <w:pPr>
        <w:tabs>
          <w:tab w:val="num" w:pos="1620"/>
        </w:tabs>
        <w:rPr>
          <w:rFonts w:ascii="Garamond" w:hAnsi="Garamond"/>
        </w:rPr>
      </w:pPr>
      <w:r w:rsidRPr="008417B0">
        <w:rPr>
          <w:rFonts w:ascii="Garamond" w:hAnsi="Garamond"/>
        </w:rPr>
        <w:t>Make recommendations to the He</w:t>
      </w:r>
      <w:r w:rsidR="00E237D4" w:rsidRPr="008417B0">
        <w:rPr>
          <w:rFonts w:ascii="Garamond" w:hAnsi="Garamond"/>
        </w:rPr>
        <w:t xml:space="preserve">alth IT Policy Committee </w:t>
      </w:r>
      <w:r w:rsidR="009F2248">
        <w:rPr>
          <w:rFonts w:ascii="Garamond" w:hAnsi="Garamond"/>
        </w:rPr>
        <w:t xml:space="preserve">(HITPC) </w:t>
      </w:r>
      <w:r w:rsidR="00E237D4" w:rsidRPr="008417B0">
        <w:rPr>
          <w:rFonts w:ascii="Garamond" w:hAnsi="Garamond"/>
        </w:rPr>
        <w:t xml:space="preserve">on how </w:t>
      </w:r>
      <w:r w:rsidR="00446DA2">
        <w:rPr>
          <w:rFonts w:ascii="Garamond" w:hAnsi="Garamond"/>
        </w:rPr>
        <w:t>HHS</w:t>
      </w:r>
      <w:r w:rsidR="006B41A4">
        <w:rPr>
          <w:rFonts w:ascii="Garamond" w:hAnsi="Garamond"/>
        </w:rPr>
        <w:t xml:space="preserve"> </w:t>
      </w:r>
      <w:r w:rsidR="00062FEE" w:rsidRPr="00062FEE">
        <w:rPr>
          <w:rFonts w:ascii="Garamond" w:hAnsi="Garamond"/>
        </w:rPr>
        <w:t xml:space="preserve">policies </w:t>
      </w:r>
      <w:r w:rsidR="00446DA2">
        <w:rPr>
          <w:rFonts w:ascii="Garamond" w:hAnsi="Garamond"/>
        </w:rPr>
        <w:t xml:space="preserve">and programs can advance the </w:t>
      </w:r>
      <w:r w:rsidR="00062FEE">
        <w:rPr>
          <w:rFonts w:ascii="Garamond" w:hAnsi="Garamond"/>
        </w:rPr>
        <w:t>evolution</w:t>
      </w:r>
      <w:r w:rsidR="00062FEE" w:rsidRPr="00062FEE">
        <w:rPr>
          <w:rFonts w:ascii="Garamond" w:hAnsi="Garamond"/>
        </w:rPr>
        <w:t xml:space="preserve"> of a health IT infrastructure that enables providers to improve care and population health while reducing costs in accountable care models.</w:t>
      </w:r>
    </w:p>
    <w:p w:rsidR="00062FEE" w:rsidRPr="00062FEE" w:rsidRDefault="00062FEE" w:rsidP="00F46D7C">
      <w:pPr>
        <w:tabs>
          <w:tab w:val="num" w:pos="1620"/>
        </w:tabs>
        <w:rPr>
          <w:rFonts w:ascii="Garamond" w:hAnsi="Garamond"/>
        </w:rPr>
      </w:pPr>
    </w:p>
    <w:p w:rsidR="00F46D7C" w:rsidRPr="008417B0" w:rsidRDefault="00F46D7C" w:rsidP="00F46D7C">
      <w:pPr>
        <w:rPr>
          <w:rFonts w:ascii="Garamond" w:hAnsi="Garamond"/>
          <w:b/>
        </w:rPr>
      </w:pPr>
      <w:r w:rsidRPr="008417B0">
        <w:rPr>
          <w:rFonts w:ascii="Garamond" w:hAnsi="Garamond"/>
          <w:b/>
        </w:rPr>
        <w:t xml:space="preserve">Specific Charge for the </w:t>
      </w:r>
      <w:r w:rsidR="00F927B5">
        <w:rPr>
          <w:rFonts w:ascii="Garamond" w:hAnsi="Garamond"/>
          <w:b/>
        </w:rPr>
        <w:t>Work</w:t>
      </w:r>
      <w:r w:rsidRPr="008417B0">
        <w:rPr>
          <w:rFonts w:ascii="Garamond" w:hAnsi="Garamond"/>
          <w:b/>
        </w:rPr>
        <w:t xml:space="preserve">group: </w:t>
      </w:r>
    </w:p>
    <w:p w:rsidR="003A6F0D" w:rsidRDefault="003A6F0D" w:rsidP="00F46D7C">
      <w:pPr>
        <w:rPr>
          <w:rFonts w:ascii="Garamond" w:hAnsi="Garamond"/>
        </w:rPr>
      </w:pPr>
    </w:p>
    <w:p w:rsidR="00D13716" w:rsidRDefault="006B41A4" w:rsidP="00DA690B">
      <w:pPr>
        <w:rPr>
          <w:rFonts w:ascii="Garamond" w:hAnsi="Garamond"/>
        </w:rPr>
      </w:pPr>
      <w:r>
        <w:rPr>
          <w:rFonts w:ascii="Garamond" w:hAnsi="Garamond"/>
        </w:rPr>
        <w:t xml:space="preserve">Within </w:t>
      </w:r>
      <w:r w:rsidR="00F927B5">
        <w:rPr>
          <w:rFonts w:ascii="Garamond" w:hAnsi="Garamond"/>
        </w:rPr>
        <w:t>six months</w:t>
      </w:r>
      <w:r w:rsidR="00995C0C">
        <w:rPr>
          <w:rFonts w:ascii="Garamond" w:hAnsi="Garamond"/>
        </w:rPr>
        <w:t xml:space="preserve">, </w:t>
      </w:r>
      <w:r w:rsidR="00F927B5">
        <w:rPr>
          <w:rFonts w:ascii="Garamond" w:hAnsi="Garamond"/>
        </w:rPr>
        <w:t>m</w:t>
      </w:r>
      <w:r w:rsidR="00F927B5" w:rsidRPr="00F927B5">
        <w:rPr>
          <w:rFonts w:ascii="Garamond" w:hAnsi="Garamond"/>
        </w:rPr>
        <w:t>ake recommendations to the Health IT Policy Committee on how HHS policies and programs can advance the evolution of a health IT infrastructure that enables providers to improve care and population health while reducing costs in accountable care models.</w:t>
      </w:r>
    </w:p>
    <w:p w:rsidR="00F927B5" w:rsidRPr="008417B0" w:rsidRDefault="00F927B5" w:rsidP="00DA690B">
      <w:pPr>
        <w:rPr>
          <w:rFonts w:ascii="Garamond" w:hAnsi="Garamond"/>
        </w:rPr>
      </w:pPr>
    </w:p>
    <w:p w:rsidR="00404AA7" w:rsidRDefault="000F7216" w:rsidP="000F7216">
      <w:pPr>
        <w:rPr>
          <w:rFonts w:ascii="Garamond" w:hAnsi="Garamond"/>
          <w:b/>
        </w:rPr>
      </w:pPr>
      <w:r>
        <w:rPr>
          <w:rFonts w:ascii="Garamond" w:hAnsi="Garamond"/>
          <w:b/>
        </w:rPr>
        <w:t>Rationale</w:t>
      </w:r>
      <w:r w:rsidR="00D13716" w:rsidRPr="008417B0">
        <w:rPr>
          <w:rFonts w:ascii="Garamond" w:hAnsi="Garamond"/>
          <w:b/>
        </w:rPr>
        <w:t>:</w:t>
      </w:r>
    </w:p>
    <w:p w:rsidR="003A6F0D" w:rsidRDefault="003A6F0D" w:rsidP="000F7216">
      <w:pPr>
        <w:rPr>
          <w:rFonts w:ascii="Garamond" w:hAnsi="Garamond"/>
        </w:rPr>
      </w:pPr>
    </w:p>
    <w:p w:rsidR="009E7A20" w:rsidRDefault="009F2248" w:rsidP="000F7216">
      <w:pPr>
        <w:rPr>
          <w:rFonts w:ascii="Garamond" w:hAnsi="Garamond"/>
        </w:rPr>
      </w:pPr>
      <w:r>
        <w:rPr>
          <w:rFonts w:ascii="Garamond" w:hAnsi="Garamond"/>
        </w:rPr>
        <w:t>The spread of</w:t>
      </w:r>
      <w:r w:rsidR="009E7A20">
        <w:rPr>
          <w:rFonts w:ascii="Garamond" w:hAnsi="Garamond"/>
        </w:rPr>
        <w:t xml:space="preserve"> successful, scalable models of accountable care </w:t>
      </w:r>
      <w:r w:rsidR="00740536">
        <w:rPr>
          <w:rFonts w:ascii="Garamond" w:hAnsi="Garamond"/>
        </w:rPr>
        <w:t>will be contingent</w:t>
      </w:r>
      <w:r w:rsidR="00341E1F">
        <w:rPr>
          <w:rFonts w:ascii="Garamond" w:hAnsi="Garamond"/>
        </w:rPr>
        <w:t xml:space="preserve"> up</w:t>
      </w:r>
      <w:r w:rsidR="00740536">
        <w:rPr>
          <w:rFonts w:ascii="Garamond" w:hAnsi="Garamond"/>
        </w:rPr>
        <w:t xml:space="preserve">on </w:t>
      </w:r>
      <w:r w:rsidR="0086171C">
        <w:rPr>
          <w:rFonts w:ascii="Garamond" w:hAnsi="Garamond"/>
        </w:rPr>
        <w:t xml:space="preserve">access to </w:t>
      </w:r>
      <w:r w:rsidR="009E7A20">
        <w:rPr>
          <w:rFonts w:ascii="Garamond" w:hAnsi="Garamond"/>
        </w:rPr>
        <w:t xml:space="preserve">health </w:t>
      </w:r>
      <w:r w:rsidR="006B41A4" w:rsidRPr="008417B0">
        <w:rPr>
          <w:rFonts w:ascii="Garamond" w:hAnsi="Garamond"/>
        </w:rPr>
        <w:t xml:space="preserve">IT </w:t>
      </w:r>
      <w:r w:rsidR="009E7A20">
        <w:rPr>
          <w:rFonts w:ascii="Garamond" w:hAnsi="Garamond"/>
        </w:rPr>
        <w:t>infrastructure</w:t>
      </w:r>
      <w:r w:rsidR="00341E1F">
        <w:rPr>
          <w:rFonts w:ascii="Garamond" w:hAnsi="Garamond"/>
        </w:rPr>
        <w:t xml:space="preserve"> </w:t>
      </w:r>
      <w:r w:rsidR="00775B86">
        <w:rPr>
          <w:rFonts w:ascii="Garamond" w:hAnsi="Garamond"/>
        </w:rPr>
        <w:t>that seamlessly and efficiently facilitates</w:t>
      </w:r>
      <w:r w:rsidR="00740536">
        <w:rPr>
          <w:rFonts w:ascii="Garamond" w:hAnsi="Garamond"/>
        </w:rPr>
        <w:t xml:space="preserve"> </w:t>
      </w:r>
      <w:r w:rsidR="006D7E23">
        <w:rPr>
          <w:rFonts w:ascii="Garamond" w:hAnsi="Garamond"/>
        </w:rPr>
        <w:t>stakeholder</w:t>
      </w:r>
      <w:r w:rsidR="00775B86">
        <w:rPr>
          <w:rFonts w:ascii="Garamond" w:hAnsi="Garamond"/>
        </w:rPr>
        <w:t xml:space="preserve"> </w:t>
      </w:r>
      <w:r w:rsidR="009E7A20">
        <w:rPr>
          <w:rFonts w:ascii="Garamond" w:hAnsi="Garamond"/>
        </w:rPr>
        <w:t>efforts to reduce the total cost of care for the po</w:t>
      </w:r>
      <w:r>
        <w:rPr>
          <w:rFonts w:ascii="Garamond" w:hAnsi="Garamond"/>
        </w:rPr>
        <w:t xml:space="preserve">pulations they manage. </w:t>
      </w:r>
      <w:r w:rsidR="00C65261">
        <w:rPr>
          <w:rFonts w:ascii="Garamond" w:hAnsi="Garamond"/>
        </w:rPr>
        <w:t xml:space="preserve">While </w:t>
      </w:r>
      <w:r w:rsidR="005A15EE">
        <w:rPr>
          <w:rFonts w:ascii="Garamond" w:hAnsi="Garamond"/>
        </w:rPr>
        <w:t xml:space="preserve">the </w:t>
      </w:r>
      <w:r w:rsidR="00C65261">
        <w:rPr>
          <w:rFonts w:ascii="Garamond" w:hAnsi="Garamond"/>
        </w:rPr>
        <w:t>HITPC’</w:t>
      </w:r>
      <w:r w:rsidR="0075402D">
        <w:rPr>
          <w:rFonts w:ascii="Garamond" w:hAnsi="Garamond"/>
        </w:rPr>
        <w:t xml:space="preserve">s work </w:t>
      </w:r>
      <w:r w:rsidR="005A15EE">
        <w:rPr>
          <w:rFonts w:ascii="Garamond" w:hAnsi="Garamond"/>
        </w:rPr>
        <w:t xml:space="preserve">in areas such as electronic </w:t>
      </w:r>
      <w:r w:rsidR="000179CD">
        <w:rPr>
          <w:rFonts w:ascii="Garamond" w:hAnsi="Garamond"/>
        </w:rPr>
        <w:t xml:space="preserve">quality measurement and </w:t>
      </w:r>
      <w:r w:rsidR="005A15EE">
        <w:rPr>
          <w:rFonts w:ascii="Garamond" w:hAnsi="Garamond"/>
        </w:rPr>
        <w:t>reporting</w:t>
      </w:r>
      <w:r w:rsidR="000179CD">
        <w:rPr>
          <w:rFonts w:ascii="Garamond" w:hAnsi="Garamond"/>
        </w:rPr>
        <w:t>,</w:t>
      </w:r>
      <w:r w:rsidR="005A15EE">
        <w:rPr>
          <w:rFonts w:ascii="Garamond" w:hAnsi="Garamond"/>
        </w:rPr>
        <w:t xml:space="preserve"> requirements for standards based exchange, and privacy and security polic</w:t>
      </w:r>
      <w:r w:rsidR="00775B86">
        <w:rPr>
          <w:rFonts w:ascii="Garamond" w:hAnsi="Garamond"/>
        </w:rPr>
        <w:t>y</w:t>
      </w:r>
      <w:r w:rsidR="005A15EE">
        <w:rPr>
          <w:rFonts w:ascii="Garamond" w:hAnsi="Garamond"/>
        </w:rPr>
        <w:t xml:space="preserve"> is broadly aligned with accountable care </w:t>
      </w:r>
      <w:r w:rsidR="006D7E23">
        <w:rPr>
          <w:rFonts w:ascii="Garamond" w:hAnsi="Garamond"/>
        </w:rPr>
        <w:t>imperatives</w:t>
      </w:r>
      <w:r w:rsidR="0075402D">
        <w:rPr>
          <w:rFonts w:ascii="Garamond" w:hAnsi="Garamond"/>
        </w:rPr>
        <w:t xml:space="preserve">, </w:t>
      </w:r>
      <w:r w:rsidR="007165C1">
        <w:rPr>
          <w:rFonts w:ascii="Garamond" w:hAnsi="Garamond"/>
        </w:rPr>
        <w:t>the</w:t>
      </w:r>
      <w:r w:rsidR="00740536">
        <w:rPr>
          <w:rFonts w:ascii="Garamond" w:hAnsi="Garamond"/>
        </w:rPr>
        <w:t xml:space="preserve"> </w:t>
      </w:r>
      <w:r w:rsidR="00C65261">
        <w:rPr>
          <w:rFonts w:ascii="Garamond" w:hAnsi="Garamond"/>
        </w:rPr>
        <w:t xml:space="preserve">HITPC </w:t>
      </w:r>
      <w:r w:rsidR="005A15EE">
        <w:rPr>
          <w:rFonts w:ascii="Garamond" w:hAnsi="Garamond"/>
        </w:rPr>
        <w:t>has no</w:t>
      </w:r>
      <w:r w:rsidR="00231A76">
        <w:rPr>
          <w:rFonts w:ascii="Garamond" w:hAnsi="Garamond"/>
        </w:rPr>
        <w:t xml:space="preserve"> </w:t>
      </w:r>
      <w:r w:rsidR="0086564E">
        <w:rPr>
          <w:rFonts w:ascii="Garamond" w:hAnsi="Garamond"/>
        </w:rPr>
        <w:t>dedicated resource to understand</w:t>
      </w:r>
      <w:r w:rsidR="005A15EE">
        <w:rPr>
          <w:rFonts w:ascii="Garamond" w:hAnsi="Garamond"/>
        </w:rPr>
        <w:t xml:space="preserve"> how </w:t>
      </w:r>
      <w:r w:rsidR="000179CD">
        <w:rPr>
          <w:rFonts w:ascii="Garamond" w:hAnsi="Garamond"/>
        </w:rPr>
        <w:t xml:space="preserve">emerging </w:t>
      </w:r>
      <w:r w:rsidR="005A15EE">
        <w:rPr>
          <w:rFonts w:ascii="Garamond" w:hAnsi="Garamond"/>
        </w:rPr>
        <w:t xml:space="preserve">business priorities </w:t>
      </w:r>
      <w:r w:rsidR="00775B86">
        <w:rPr>
          <w:rFonts w:ascii="Garamond" w:hAnsi="Garamond"/>
        </w:rPr>
        <w:t>explicitly map to these initiatives</w:t>
      </w:r>
      <w:r w:rsidR="005A15EE">
        <w:rPr>
          <w:rFonts w:ascii="Garamond" w:hAnsi="Garamond"/>
        </w:rPr>
        <w:t>.</w:t>
      </w:r>
      <w:r w:rsidR="0075402D">
        <w:rPr>
          <w:rFonts w:ascii="Garamond" w:hAnsi="Garamond"/>
        </w:rPr>
        <w:t xml:space="preserve"> </w:t>
      </w:r>
      <w:r w:rsidR="00E464F7">
        <w:rPr>
          <w:rFonts w:ascii="Garamond" w:hAnsi="Garamond"/>
        </w:rPr>
        <w:t xml:space="preserve">Given the </w:t>
      </w:r>
      <w:r w:rsidR="00C65261">
        <w:rPr>
          <w:rFonts w:ascii="Garamond" w:hAnsi="Garamond"/>
        </w:rPr>
        <w:t xml:space="preserve">proliferation of </w:t>
      </w:r>
      <w:r w:rsidR="0075402D">
        <w:rPr>
          <w:rFonts w:ascii="Garamond" w:hAnsi="Garamond"/>
        </w:rPr>
        <w:t xml:space="preserve">entities exploring </w:t>
      </w:r>
      <w:r w:rsidR="0086171C">
        <w:rPr>
          <w:rFonts w:ascii="Garamond" w:hAnsi="Garamond"/>
        </w:rPr>
        <w:t>accountable care</w:t>
      </w:r>
      <w:r w:rsidR="0075402D">
        <w:rPr>
          <w:rFonts w:ascii="Garamond" w:hAnsi="Garamond"/>
        </w:rPr>
        <w:t xml:space="preserve"> models</w:t>
      </w:r>
      <w:r w:rsidR="00C65261">
        <w:rPr>
          <w:rFonts w:ascii="Garamond" w:hAnsi="Garamond"/>
        </w:rPr>
        <w:t xml:space="preserve">, rapidly emerging </w:t>
      </w:r>
      <w:r w:rsidR="0075402D">
        <w:rPr>
          <w:rFonts w:ascii="Garamond" w:hAnsi="Garamond"/>
        </w:rPr>
        <w:t xml:space="preserve">lessons about </w:t>
      </w:r>
      <w:r w:rsidR="00ED7314">
        <w:rPr>
          <w:rFonts w:ascii="Garamond" w:hAnsi="Garamond"/>
        </w:rPr>
        <w:t>the</w:t>
      </w:r>
      <w:r w:rsidR="0075402D">
        <w:rPr>
          <w:rFonts w:ascii="Garamond" w:hAnsi="Garamond"/>
        </w:rPr>
        <w:t xml:space="preserve"> </w:t>
      </w:r>
      <w:r w:rsidR="00C65261">
        <w:rPr>
          <w:rFonts w:ascii="Garamond" w:hAnsi="Garamond"/>
        </w:rPr>
        <w:t xml:space="preserve">factors critical to their </w:t>
      </w:r>
      <w:r w:rsidR="0075402D">
        <w:rPr>
          <w:rFonts w:ascii="Garamond" w:hAnsi="Garamond"/>
        </w:rPr>
        <w:t>success,</w:t>
      </w:r>
      <w:r w:rsidR="00C65261">
        <w:rPr>
          <w:rFonts w:ascii="Garamond" w:hAnsi="Garamond"/>
        </w:rPr>
        <w:t xml:space="preserve"> and </w:t>
      </w:r>
      <w:r w:rsidR="0075402D">
        <w:rPr>
          <w:rFonts w:ascii="Garamond" w:hAnsi="Garamond"/>
        </w:rPr>
        <w:t xml:space="preserve">the </w:t>
      </w:r>
      <w:r w:rsidR="00C65261">
        <w:rPr>
          <w:rFonts w:ascii="Garamond" w:hAnsi="Garamond"/>
        </w:rPr>
        <w:t xml:space="preserve">importance of </w:t>
      </w:r>
      <w:r w:rsidR="0075402D">
        <w:rPr>
          <w:rFonts w:ascii="Garamond" w:hAnsi="Garamond"/>
        </w:rPr>
        <w:t>t</w:t>
      </w:r>
      <w:r w:rsidR="00ED7314">
        <w:rPr>
          <w:rFonts w:ascii="Garamond" w:hAnsi="Garamond"/>
        </w:rPr>
        <w:t xml:space="preserve">hese models </w:t>
      </w:r>
      <w:r w:rsidR="00C65261">
        <w:rPr>
          <w:rFonts w:ascii="Garamond" w:hAnsi="Garamond"/>
        </w:rPr>
        <w:t xml:space="preserve">to national </w:t>
      </w:r>
      <w:r w:rsidR="0075402D">
        <w:rPr>
          <w:rFonts w:ascii="Garamond" w:hAnsi="Garamond"/>
        </w:rPr>
        <w:t xml:space="preserve">delivery system reform </w:t>
      </w:r>
      <w:r w:rsidR="00C65261">
        <w:rPr>
          <w:rFonts w:ascii="Garamond" w:hAnsi="Garamond"/>
        </w:rPr>
        <w:t xml:space="preserve">efforts, </w:t>
      </w:r>
      <w:r w:rsidR="00ED7314">
        <w:rPr>
          <w:rFonts w:ascii="Garamond" w:hAnsi="Garamond"/>
        </w:rPr>
        <w:t>t</w:t>
      </w:r>
      <w:r w:rsidR="00775B86">
        <w:rPr>
          <w:rFonts w:ascii="Garamond" w:hAnsi="Garamond"/>
        </w:rPr>
        <w:t>he HITPC would benefit from expert input on how policy recommendations can support and accelerate accountable care objectives.</w:t>
      </w:r>
    </w:p>
    <w:p w:rsidR="009E7A20" w:rsidRDefault="009E7A20" w:rsidP="00FE3F73">
      <w:pPr>
        <w:rPr>
          <w:rFonts w:ascii="Garamond" w:hAnsi="Garamond"/>
        </w:rPr>
      </w:pPr>
    </w:p>
    <w:p w:rsidR="009E7A20" w:rsidRPr="000F7216" w:rsidRDefault="000F7216" w:rsidP="00FE3F73">
      <w:pPr>
        <w:rPr>
          <w:rFonts w:ascii="Garamond" w:hAnsi="Garamond"/>
          <w:b/>
        </w:rPr>
      </w:pPr>
      <w:r w:rsidRPr="000F7216">
        <w:rPr>
          <w:rFonts w:ascii="Garamond" w:hAnsi="Garamond"/>
          <w:b/>
        </w:rPr>
        <w:t>Background:</w:t>
      </w:r>
    </w:p>
    <w:p w:rsidR="003A6F0D" w:rsidRDefault="003A6F0D" w:rsidP="00FE3F73">
      <w:pPr>
        <w:rPr>
          <w:rFonts w:ascii="Garamond" w:hAnsi="Garamond"/>
        </w:rPr>
      </w:pPr>
    </w:p>
    <w:p w:rsidR="008417B0" w:rsidRPr="008417B0" w:rsidRDefault="006F4C26" w:rsidP="00FE3F73">
      <w:pPr>
        <w:rPr>
          <w:rFonts w:ascii="Garamond" w:hAnsi="Garamond"/>
        </w:rPr>
      </w:pPr>
      <w:r w:rsidRPr="008417B0">
        <w:rPr>
          <w:rFonts w:ascii="Garamond" w:hAnsi="Garamond"/>
        </w:rPr>
        <w:t xml:space="preserve">Accountable </w:t>
      </w:r>
      <w:r w:rsidR="005D1CAB">
        <w:rPr>
          <w:rFonts w:ascii="Garamond" w:hAnsi="Garamond"/>
        </w:rPr>
        <w:t xml:space="preserve">care models </w:t>
      </w:r>
      <w:r w:rsidR="008265C0" w:rsidRPr="008417B0">
        <w:rPr>
          <w:rFonts w:ascii="Garamond" w:hAnsi="Garamond"/>
        </w:rPr>
        <w:t xml:space="preserve">must be able to </w:t>
      </w:r>
      <w:r w:rsidRPr="008417B0">
        <w:rPr>
          <w:rFonts w:ascii="Garamond" w:hAnsi="Garamond"/>
        </w:rPr>
        <w:t xml:space="preserve">aggregate clinical data across disparate groups of providers </w:t>
      </w:r>
      <w:r w:rsidR="008265C0" w:rsidRPr="008417B0">
        <w:rPr>
          <w:rFonts w:ascii="Garamond" w:hAnsi="Garamond"/>
        </w:rPr>
        <w:t xml:space="preserve">in order to carry </w:t>
      </w:r>
      <w:r w:rsidR="00DF5D9B">
        <w:rPr>
          <w:rFonts w:ascii="Garamond" w:hAnsi="Garamond"/>
        </w:rPr>
        <w:t>co</w:t>
      </w:r>
      <w:r w:rsidR="005D1CAB">
        <w:rPr>
          <w:rFonts w:ascii="Garamond" w:hAnsi="Garamond"/>
        </w:rPr>
        <w:t>re business functions</w:t>
      </w:r>
      <w:r w:rsidR="008265C0" w:rsidRPr="008417B0">
        <w:rPr>
          <w:rFonts w:ascii="Garamond" w:hAnsi="Garamond"/>
        </w:rPr>
        <w:t xml:space="preserve">, including: </w:t>
      </w:r>
    </w:p>
    <w:p w:rsidR="008417B0" w:rsidRPr="008417B0" w:rsidRDefault="008417B0" w:rsidP="00DF5D9B">
      <w:pPr>
        <w:ind w:firstLine="720"/>
        <w:rPr>
          <w:rFonts w:ascii="Garamond" w:hAnsi="Garamond"/>
        </w:rPr>
      </w:pPr>
    </w:p>
    <w:p w:rsidR="008417B0" w:rsidRDefault="000179CD" w:rsidP="008417B0">
      <w:pPr>
        <w:pStyle w:val="ListParagraph"/>
        <w:numPr>
          <w:ilvl w:val="0"/>
          <w:numId w:val="23"/>
        </w:numPr>
        <w:spacing w:line="240" w:lineRule="auto"/>
        <w:rPr>
          <w:rFonts w:ascii="Garamond" w:hAnsi="Garamond"/>
          <w:sz w:val="24"/>
          <w:szCs w:val="24"/>
        </w:rPr>
      </w:pPr>
      <w:r>
        <w:rPr>
          <w:rFonts w:ascii="Garamond" w:hAnsi="Garamond"/>
          <w:sz w:val="24"/>
          <w:szCs w:val="24"/>
        </w:rPr>
        <w:t>measuring</w:t>
      </w:r>
      <w:r w:rsidRPr="008417B0">
        <w:rPr>
          <w:rFonts w:ascii="Garamond" w:hAnsi="Garamond"/>
          <w:sz w:val="24"/>
          <w:szCs w:val="24"/>
        </w:rPr>
        <w:t xml:space="preserve"> </w:t>
      </w:r>
      <w:r w:rsidR="008265C0" w:rsidRPr="008417B0">
        <w:rPr>
          <w:rFonts w:ascii="Garamond" w:hAnsi="Garamond"/>
          <w:sz w:val="24"/>
          <w:szCs w:val="24"/>
        </w:rPr>
        <w:t xml:space="preserve">and reporting on quality indicators; </w:t>
      </w:r>
    </w:p>
    <w:p w:rsidR="008417B0" w:rsidRDefault="008265C0" w:rsidP="008417B0">
      <w:pPr>
        <w:pStyle w:val="ListParagraph"/>
        <w:numPr>
          <w:ilvl w:val="0"/>
          <w:numId w:val="23"/>
        </w:numPr>
        <w:spacing w:line="240" w:lineRule="auto"/>
        <w:rPr>
          <w:rFonts w:ascii="Garamond" w:hAnsi="Garamond"/>
          <w:sz w:val="24"/>
          <w:szCs w:val="24"/>
        </w:rPr>
      </w:pPr>
      <w:r w:rsidRPr="008417B0">
        <w:rPr>
          <w:rFonts w:ascii="Garamond" w:hAnsi="Garamond"/>
          <w:sz w:val="24"/>
          <w:szCs w:val="24"/>
        </w:rPr>
        <w:t xml:space="preserve">tying clinical data to payer data in order to track utilization; </w:t>
      </w:r>
    </w:p>
    <w:p w:rsidR="00A65658" w:rsidRDefault="00A65658" w:rsidP="00A65658">
      <w:pPr>
        <w:pStyle w:val="ListParagraph"/>
        <w:numPr>
          <w:ilvl w:val="0"/>
          <w:numId w:val="23"/>
        </w:numPr>
        <w:spacing w:line="240" w:lineRule="auto"/>
        <w:rPr>
          <w:rFonts w:ascii="Garamond" w:hAnsi="Garamond"/>
          <w:sz w:val="24"/>
          <w:szCs w:val="24"/>
        </w:rPr>
      </w:pPr>
      <w:r w:rsidRPr="008417B0">
        <w:rPr>
          <w:rFonts w:ascii="Garamond" w:hAnsi="Garamond"/>
          <w:sz w:val="24"/>
          <w:szCs w:val="24"/>
        </w:rPr>
        <w:t xml:space="preserve">identifying at-risk patient populations that offer opportunities for improvement and savings; </w:t>
      </w:r>
      <w:r>
        <w:rPr>
          <w:rFonts w:ascii="Garamond" w:hAnsi="Garamond"/>
          <w:sz w:val="24"/>
          <w:szCs w:val="24"/>
        </w:rPr>
        <w:t>and</w:t>
      </w:r>
    </w:p>
    <w:p w:rsidR="00A04496" w:rsidRDefault="00A04496" w:rsidP="008417B0">
      <w:pPr>
        <w:pStyle w:val="ListParagraph"/>
        <w:numPr>
          <w:ilvl w:val="0"/>
          <w:numId w:val="23"/>
        </w:numPr>
        <w:spacing w:line="240" w:lineRule="auto"/>
        <w:rPr>
          <w:rFonts w:ascii="Garamond" w:hAnsi="Garamond"/>
          <w:sz w:val="24"/>
          <w:szCs w:val="24"/>
        </w:rPr>
      </w:pPr>
      <w:r>
        <w:rPr>
          <w:rFonts w:ascii="Garamond" w:hAnsi="Garamond"/>
          <w:sz w:val="24"/>
          <w:szCs w:val="24"/>
        </w:rPr>
        <w:t>ensuring patient data used within the organization is afforded appropriate privacy protections, and is available in deidentified form for secondary</w:t>
      </w:r>
      <w:r w:rsidR="00A65658">
        <w:rPr>
          <w:rFonts w:ascii="Garamond" w:hAnsi="Garamond"/>
          <w:sz w:val="24"/>
          <w:szCs w:val="24"/>
        </w:rPr>
        <w:t xml:space="preserve"> business and research purposes.</w:t>
      </w:r>
    </w:p>
    <w:p w:rsidR="001F7CC5" w:rsidRDefault="00DF5D9B" w:rsidP="00DF5D9B">
      <w:pPr>
        <w:rPr>
          <w:rFonts w:ascii="Garamond" w:hAnsi="Garamond"/>
        </w:rPr>
      </w:pPr>
      <w:r>
        <w:rPr>
          <w:rFonts w:ascii="Garamond" w:hAnsi="Garamond"/>
        </w:rPr>
        <w:lastRenderedPageBreak/>
        <w:t xml:space="preserve">In addition, health IT </w:t>
      </w:r>
      <w:r w:rsidR="00A65658">
        <w:rPr>
          <w:rFonts w:ascii="Garamond" w:hAnsi="Garamond"/>
        </w:rPr>
        <w:t xml:space="preserve">infrastructure is a </w:t>
      </w:r>
      <w:r>
        <w:rPr>
          <w:rFonts w:ascii="Garamond" w:hAnsi="Garamond"/>
        </w:rPr>
        <w:t xml:space="preserve">critical </w:t>
      </w:r>
      <w:r w:rsidR="001F7CC5">
        <w:rPr>
          <w:rFonts w:ascii="Garamond" w:hAnsi="Garamond"/>
        </w:rPr>
        <w:t xml:space="preserve">component of </w:t>
      </w:r>
      <w:r w:rsidR="00A65658">
        <w:rPr>
          <w:rFonts w:ascii="Garamond" w:hAnsi="Garamond"/>
        </w:rPr>
        <w:t xml:space="preserve">many of </w:t>
      </w:r>
      <w:r w:rsidR="001F7CC5">
        <w:rPr>
          <w:rFonts w:ascii="Garamond" w:hAnsi="Garamond"/>
        </w:rPr>
        <w:t>the i</w:t>
      </w:r>
      <w:r w:rsidR="005D1CAB">
        <w:rPr>
          <w:rFonts w:ascii="Garamond" w:hAnsi="Garamond"/>
        </w:rPr>
        <w:t>nterventions that will help accountable care models</w:t>
      </w:r>
      <w:r w:rsidR="001F7CC5">
        <w:rPr>
          <w:rFonts w:ascii="Garamond" w:hAnsi="Garamond"/>
        </w:rPr>
        <w:t xml:space="preserve"> realize cost savings across the continuum of care, including:</w:t>
      </w:r>
    </w:p>
    <w:p w:rsidR="001F7CC5" w:rsidRPr="00DF5D9B" w:rsidRDefault="001F7CC5" w:rsidP="00DF5D9B">
      <w:pPr>
        <w:rPr>
          <w:rFonts w:ascii="Garamond" w:hAnsi="Garamond"/>
        </w:rPr>
      </w:pPr>
    </w:p>
    <w:p w:rsidR="001F7CC5" w:rsidRPr="008417B0" w:rsidRDefault="001F7CC5" w:rsidP="001F7CC5">
      <w:pPr>
        <w:pStyle w:val="ListParagraph"/>
        <w:numPr>
          <w:ilvl w:val="0"/>
          <w:numId w:val="23"/>
        </w:numPr>
        <w:spacing w:line="240" w:lineRule="auto"/>
        <w:rPr>
          <w:rFonts w:ascii="Garamond" w:hAnsi="Garamond"/>
          <w:sz w:val="24"/>
          <w:szCs w:val="24"/>
        </w:rPr>
      </w:pPr>
      <w:r w:rsidRPr="008417B0">
        <w:rPr>
          <w:rFonts w:ascii="Garamond" w:hAnsi="Garamond"/>
          <w:sz w:val="24"/>
          <w:szCs w:val="24"/>
        </w:rPr>
        <w:t xml:space="preserve">enabling the exchange of health information </w:t>
      </w:r>
      <w:r>
        <w:rPr>
          <w:rFonts w:ascii="Garamond" w:hAnsi="Garamond"/>
          <w:sz w:val="24"/>
          <w:szCs w:val="24"/>
        </w:rPr>
        <w:t xml:space="preserve">between primary care physicians, specialists, hospitals, </w:t>
      </w:r>
      <w:r w:rsidR="0086564E">
        <w:rPr>
          <w:rFonts w:ascii="Garamond" w:hAnsi="Garamond"/>
          <w:sz w:val="24"/>
          <w:szCs w:val="24"/>
        </w:rPr>
        <w:t xml:space="preserve">FQHCs and critical access hospitals, </w:t>
      </w:r>
      <w:r>
        <w:rPr>
          <w:rFonts w:ascii="Garamond" w:hAnsi="Garamond"/>
          <w:sz w:val="24"/>
          <w:szCs w:val="24"/>
        </w:rPr>
        <w:t xml:space="preserve">health plans, patients, and other members of the care team </w:t>
      </w:r>
      <w:r w:rsidRPr="008417B0">
        <w:rPr>
          <w:rFonts w:ascii="Garamond" w:hAnsi="Garamond"/>
          <w:sz w:val="24"/>
          <w:szCs w:val="24"/>
        </w:rPr>
        <w:t xml:space="preserve">to support </w:t>
      </w:r>
      <w:r>
        <w:rPr>
          <w:rFonts w:ascii="Garamond" w:hAnsi="Garamond"/>
          <w:sz w:val="24"/>
          <w:szCs w:val="24"/>
        </w:rPr>
        <w:t>care coordination;</w:t>
      </w:r>
    </w:p>
    <w:p w:rsidR="00A65658" w:rsidRDefault="008417B0" w:rsidP="008417B0">
      <w:pPr>
        <w:pStyle w:val="ListParagraph"/>
        <w:numPr>
          <w:ilvl w:val="0"/>
          <w:numId w:val="23"/>
        </w:numPr>
        <w:spacing w:line="240" w:lineRule="auto"/>
        <w:rPr>
          <w:rFonts w:ascii="Garamond" w:hAnsi="Garamond"/>
          <w:sz w:val="24"/>
          <w:szCs w:val="24"/>
        </w:rPr>
      </w:pPr>
      <w:r w:rsidRPr="008417B0">
        <w:rPr>
          <w:rFonts w:ascii="Garamond" w:hAnsi="Garamond"/>
          <w:sz w:val="24"/>
          <w:szCs w:val="24"/>
        </w:rPr>
        <w:t xml:space="preserve">supporting widespread standardization of care around evidence-based guidelines; </w:t>
      </w:r>
    </w:p>
    <w:p w:rsidR="00DF5D9B" w:rsidRDefault="00A65658" w:rsidP="008417B0">
      <w:pPr>
        <w:pStyle w:val="ListParagraph"/>
        <w:numPr>
          <w:ilvl w:val="0"/>
          <w:numId w:val="23"/>
        </w:numPr>
        <w:spacing w:line="240" w:lineRule="auto"/>
        <w:rPr>
          <w:rFonts w:ascii="Garamond" w:hAnsi="Garamond"/>
          <w:sz w:val="24"/>
          <w:szCs w:val="24"/>
        </w:rPr>
      </w:pPr>
      <w:r>
        <w:rPr>
          <w:rFonts w:ascii="Garamond" w:hAnsi="Garamond"/>
          <w:sz w:val="24"/>
          <w:szCs w:val="24"/>
        </w:rPr>
        <w:t xml:space="preserve">delivering business intelligence tools to providers; and </w:t>
      </w:r>
    </w:p>
    <w:p w:rsidR="008417B0" w:rsidRDefault="00A65658" w:rsidP="008417B0">
      <w:pPr>
        <w:pStyle w:val="ListParagraph"/>
        <w:numPr>
          <w:ilvl w:val="0"/>
          <w:numId w:val="23"/>
        </w:numPr>
        <w:spacing w:line="240" w:lineRule="auto"/>
        <w:rPr>
          <w:rFonts w:ascii="Garamond" w:hAnsi="Garamond"/>
          <w:sz w:val="24"/>
          <w:szCs w:val="24"/>
        </w:rPr>
      </w:pPr>
      <w:r>
        <w:rPr>
          <w:rFonts w:ascii="Garamond" w:hAnsi="Garamond"/>
          <w:sz w:val="24"/>
          <w:szCs w:val="24"/>
        </w:rPr>
        <w:t xml:space="preserve">supporting applications </w:t>
      </w:r>
      <w:r w:rsidR="00DF5D9B">
        <w:rPr>
          <w:rFonts w:ascii="Garamond" w:hAnsi="Garamond"/>
          <w:sz w:val="24"/>
          <w:szCs w:val="24"/>
        </w:rPr>
        <w:t xml:space="preserve">that engage patients </w:t>
      </w:r>
      <w:r w:rsidR="005D1CAB">
        <w:rPr>
          <w:rFonts w:ascii="Garamond" w:hAnsi="Garamond"/>
          <w:sz w:val="24"/>
          <w:szCs w:val="24"/>
        </w:rPr>
        <w:t>in their</w:t>
      </w:r>
      <w:r>
        <w:rPr>
          <w:rFonts w:ascii="Garamond" w:hAnsi="Garamond"/>
          <w:sz w:val="24"/>
          <w:szCs w:val="24"/>
        </w:rPr>
        <w:t xml:space="preserve"> care, allow patients to access their own health information, and increase patient capacity to self-manage chronic conditions</w:t>
      </w:r>
      <w:r w:rsidR="001F7CC5">
        <w:rPr>
          <w:rFonts w:ascii="Garamond" w:hAnsi="Garamond"/>
          <w:sz w:val="24"/>
          <w:szCs w:val="24"/>
        </w:rPr>
        <w:t>.</w:t>
      </w:r>
    </w:p>
    <w:p w:rsidR="00A96F39" w:rsidRDefault="00A96F39" w:rsidP="00D13716">
      <w:pPr>
        <w:rPr>
          <w:rFonts w:ascii="Garamond" w:hAnsi="Garamond"/>
        </w:rPr>
      </w:pPr>
      <w:r>
        <w:rPr>
          <w:rFonts w:ascii="Garamond" w:hAnsi="Garamond"/>
        </w:rPr>
        <w:t xml:space="preserve">A wide variety of stakeholders across the government, private industry, and the nonprofit sector have been working to understand how technology can enable successful execution of these functions. </w:t>
      </w:r>
      <w:r w:rsidR="00B37980">
        <w:rPr>
          <w:rFonts w:ascii="Garamond" w:hAnsi="Garamond"/>
        </w:rPr>
        <w:t xml:space="preserve">An existing </w:t>
      </w:r>
      <w:r>
        <w:rPr>
          <w:rFonts w:ascii="Garamond" w:hAnsi="Garamond"/>
        </w:rPr>
        <w:t xml:space="preserve">workgroup on </w:t>
      </w:r>
      <w:r w:rsidR="00F927B5">
        <w:rPr>
          <w:rFonts w:ascii="Garamond" w:hAnsi="Garamond"/>
        </w:rPr>
        <w:t>accountable care</w:t>
      </w:r>
      <w:r>
        <w:rPr>
          <w:rFonts w:ascii="Garamond" w:hAnsi="Garamond"/>
        </w:rPr>
        <w:t xml:space="preserve"> and technology comprised of representatives from ONC and the Center for Medicare and Medicaid Innovation (CMMI) has developed an extensive inventory of current initiatives looking at this intersection. Groups outside the government, </w:t>
      </w:r>
      <w:r w:rsidR="0086171C">
        <w:rPr>
          <w:rFonts w:ascii="Garamond" w:hAnsi="Garamond"/>
        </w:rPr>
        <w:t xml:space="preserve">including </w:t>
      </w:r>
      <w:r w:rsidR="00BD6806">
        <w:rPr>
          <w:rFonts w:ascii="Garamond" w:hAnsi="Garamond"/>
        </w:rPr>
        <w:t xml:space="preserve">the </w:t>
      </w:r>
      <w:r w:rsidR="0086564E">
        <w:rPr>
          <w:rFonts w:ascii="Garamond" w:hAnsi="Garamond"/>
        </w:rPr>
        <w:t xml:space="preserve">Certification Commission on Health IT, the </w:t>
      </w:r>
      <w:r w:rsidR="00BD6806">
        <w:rPr>
          <w:rFonts w:ascii="Garamond" w:hAnsi="Garamond"/>
        </w:rPr>
        <w:t xml:space="preserve">Dartmouth Collaborative, Premier, </w:t>
      </w:r>
      <w:r>
        <w:rPr>
          <w:rFonts w:ascii="Garamond" w:hAnsi="Garamond"/>
        </w:rPr>
        <w:t xml:space="preserve">Avalere Health, the eHealth Initiative, </w:t>
      </w:r>
      <w:r w:rsidR="00B37980">
        <w:rPr>
          <w:rFonts w:ascii="Garamond" w:hAnsi="Garamond"/>
        </w:rPr>
        <w:t>and the Brookings Institution</w:t>
      </w:r>
      <w:r w:rsidR="0086171C">
        <w:rPr>
          <w:rFonts w:ascii="Garamond" w:hAnsi="Garamond"/>
        </w:rPr>
        <w:t>, among others,</w:t>
      </w:r>
      <w:r w:rsidR="0086564E">
        <w:rPr>
          <w:rFonts w:ascii="Garamond" w:hAnsi="Garamond"/>
        </w:rPr>
        <w:t xml:space="preserve"> are all devoting</w:t>
      </w:r>
      <w:r w:rsidR="00B37980">
        <w:rPr>
          <w:rFonts w:ascii="Garamond" w:hAnsi="Garamond"/>
        </w:rPr>
        <w:t xml:space="preserve"> substantial at</w:t>
      </w:r>
      <w:r w:rsidR="005A0A79">
        <w:rPr>
          <w:rFonts w:ascii="Garamond" w:hAnsi="Garamond"/>
        </w:rPr>
        <w:t xml:space="preserve">tention to this issue, and have begun to identify </w:t>
      </w:r>
      <w:r w:rsidR="00B37980">
        <w:rPr>
          <w:rFonts w:ascii="Garamond" w:hAnsi="Garamond"/>
        </w:rPr>
        <w:t>lessons from existing ACO-type models. The Accountable Care Workgroup’s task will be to translate this existing body of work into feasible, high-priority action steps for the HIT Policy Committee.</w:t>
      </w:r>
    </w:p>
    <w:p w:rsidR="00A96F39" w:rsidRDefault="00A96F39" w:rsidP="00D13716">
      <w:pPr>
        <w:rPr>
          <w:rFonts w:ascii="Garamond" w:hAnsi="Garamond"/>
        </w:rPr>
      </w:pPr>
    </w:p>
    <w:p w:rsidR="00A96F39" w:rsidRPr="00A96F39" w:rsidRDefault="00A96F39" w:rsidP="00D13716">
      <w:pPr>
        <w:rPr>
          <w:rFonts w:ascii="Garamond" w:hAnsi="Garamond"/>
          <w:b/>
        </w:rPr>
      </w:pPr>
      <w:r w:rsidRPr="00A96F39">
        <w:rPr>
          <w:rFonts w:ascii="Garamond" w:hAnsi="Garamond"/>
          <w:b/>
        </w:rPr>
        <w:t>Scope of Work:</w:t>
      </w:r>
    </w:p>
    <w:p w:rsidR="003A6F0D" w:rsidRDefault="003A6F0D" w:rsidP="00203664">
      <w:pPr>
        <w:rPr>
          <w:rFonts w:ascii="Garamond" w:hAnsi="Garamond"/>
        </w:rPr>
      </w:pPr>
    </w:p>
    <w:p w:rsidR="00203664" w:rsidRDefault="00062FEE" w:rsidP="00203664">
      <w:pPr>
        <w:rPr>
          <w:rFonts w:ascii="Garamond" w:hAnsi="Garamond"/>
        </w:rPr>
      </w:pPr>
      <w:r w:rsidRPr="00062FEE">
        <w:rPr>
          <w:rFonts w:ascii="Garamond" w:hAnsi="Garamond"/>
        </w:rPr>
        <w:t xml:space="preserve">The workgroup will focus on specific high priority areas where programs and policies can shape the availability and use of health IT infrastructure necessary for </w:t>
      </w:r>
      <w:r w:rsidR="006D7E23">
        <w:rPr>
          <w:rFonts w:ascii="Garamond" w:hAnsi="Garamond"/>
        </w:rPr>
        <w:t xml:space="preserve">accountable care models </w:t>
      </w:r>
      <w:r w:rsidRPr="00062FEE">
        <w:rPr>
          <w:rFonts w:ascii="Garamond" w:hAnsi="Garamond"/>
        </w:rPr>
        <w:t>to realize the three</w:t>
      </w:r>
      <w:r w:rsidR="00827438">
        <w:rPr>
          <w:rFonts w:ascii="Garamond" w:hAnsi="Garamond"/>
        </w:rPr>
        <w:t>-</w:t>
      </w:r>
      <w:r w:rsidRPr="00062FEE">
        <w:rPr>
          <w:rFonts w:ascii="Garamond" w:hAnsi="Garamond"/>
        </w:rPr>
        <w:t>part aim.</w:t>
      </w:r>
      <w:r>
        <w:rPr>
          <w:rFonts w:ascii="Garamond" w:hAnsi="Garamond"/>
        </w:rPr>
        <w:t xml:space="preserve"> </w:t>
      </w:r>
      <w:r w:rsidR="008018D1">
        <w:rPr>
          <w:rFonts w:ascii="Garamond" w:hAnsi="Garamond"/>
        </w:rPr>
        <w:t>Likely areas of focus include</w:t>
      </w:r>
      <w:r w:rsidR="00203664">
        <w:rPr>
          <w:rFonts w:ascii="Garamond" w:hAnsi="Garamond"/>
        </w:rPr>
        <w:t xml:space="preserve">: </w:t>
      </w:r>
    </w:p>
    <w:p w:rsidR="00203664" w:rsidRDefault="00203664" w:rsidP="00203664">
      <w:pPr>
        <w:rPr>
          <w:rFonts w:ascii="Garamond" w:hAnsi="Garamond"/>
        </w:rPr>
      </w:pPr>
    </w:p>
    <w:p w:rsidR="00F927B5" w:rsidRPr="00F927B5" w:rsidRDefault="00F927B5" w:rsidP="00F927B5">
      <w:pPr>
        <w:pStyle w:val="ListParagraph"/>
        <w:numPr>
          <w:ilvl w:val="0"/>
          <w:numId w:val="35"/>
        </w:numPr>
        <w:rPr>
          <w:rFonts w:ascii="Garamond" w:hAnsi="Garamond"/>
          <w:sz w:val="24"/>
          <w:szCs w:val="24"/>
        </w:rPr>
      </w:pPr>
      <w:r w:rsidRPr="00F927B5">
        <w:rPr>
          <w:rFonts w:ascii="Garamond" w:hAnsi="Garamond"/>
          <w:sz w:val="24"/>
          <w:szCs w:val="24"/>
        </w:rPr>
        <w:t>Supporting the evolution of data aggregation and analytics capabilities that are scalable and accessible across disparate providers for ACO success.</w:t>
      </w:r>
    </w:p>
    <w:p w:rsidR="00F927B5" w:rsidRPr="00F927B5" w:rsidRDefault="00F927B5" w:rsidP="00F927B5">
      <w:pPr>
        <w:pStyle w:val="ListParagraph"/>
        <w:numPr>
          <w:ilvl w:val="0"/>
          <w:numId w:val="35"/>
        </w:numPr>
        <w:rPr>
          <w:rFonts w:ascii="Garamond" w:hAnsi="Garamond"/>
          <w:sz w:val="24"/>
          <w:szCs w:val="24"/>
        </w:rPr>
      </w:pPr>
      <w:r w:rsidRPr="00F927B5">
        <w:rPr>
          <w:rFonts w:ascii="Garamond" w:hAnsi="Garamond"/>
          <w:sz w:val="24"/>
          <w:szCs w:val="24"/>
        </w:rPr>
        <w:t xml:space="preserve">Enabling and encouraging information exchange to support care coordination across providers, including non-core care and wellness providers that have a significant impact on readmissions rates and total cost of care for a patient, including long-term care facilities, home health providers, long term support services providers and other community-based organizations. </w:t>
      </w:r>
    </w:p>
    <w:p w:rsidR="00F927B5" w:rsidRPr="00F927B5" w:rsidRDefault="00F927B5" w:rsidP="00F927B5">
      <w:pPr>
        <w:pStyle w:val="ListParagraph"/>
        <w:numPr>
          <w:ilvl w:val="0"/>
          <w:numId w:val="35"/>
        </w:numPr>
        <w:rPr>
          <w:rFonts w:ascii="Garamond" w:hAnsi="Garamond"/>
          <w:sz w:val="24"/>
          <w:szCs w:val="24"/>
        </w:rPr>
      </w:pPr>
      <w:r w:rsidRPr="00F927B5">
        <w:rPr>
          <w:rFonts w:ascii="Garamond" w:hAnsi="Garamond"/>
          <w:sz w:val="24"/>
          <w:szCs w:val="24"/>
        </w:rPr>
        <w:t>Increasing patient activation as a member of a defined care team, engaging patients in assessments of their health, and using technology to deliver care to patients outside of traditional care settings.</w:t>
      </w:r>
    </w:p>
    <w:p w:rsidR="00F927B5" w:rsidRPr="00F927B5" w:rsidRDefault="00F927B5" w:rsidP="00F927B5">
      <w:pPr>
        <w:pStyle w:val="ListParagraph"/>
        <w:numPr>
          <w:ilvl w:val="0"/>
          <w:numId w:val="35"/>
        </w:numPr>
        <w:rPr>
          <w:rFonts w:ascii="Garamond" w:hAnsi="Garamond"/>
          <w:sz w:val="24"/>
          <w:szCs w:val="24"/>
        </w:rPr>
      </w:pPr>
      <w:r w:rsidRPr="00F927B5">
        <w:rPr>
          <w:rFonts w:ascii="Garamond" w:hAnsi="Garamond"/>
          <w:sz w:val="24"/>
          <w:szCs w:val="24"/>
        </w:rPr>
        <w:t>Aligning payment policy &amp; health information exchange for sustainable ACO success.</w:t>
      </w:r>
    </w:p>
    <w:p w:rsidR="00F927B5" w:rsidRPr="00F927B5" w:rsidRDefault="00F927B5" w:rsidP="00F927B5">
      <w:pPr>
        <w:pStyle w:val="ListParagraph"/>
        <w:numPr>
          <w:ilvl w:val="0"/>
          <w:numId w:val="35"/>
        </w:numPr>
        <w:rPr>
          <w:rFonts w:ascii="Garamond" w:hAnsi="Garamond"/>
          <w:sz w:val="24"/>
          <w:szCs w:val="24"/>
        </w:rPr>
      </w:pPr>
      <w:r w:rsidRPr="00F927B5">
        <w:rPr>
          <w:rFonts w:ascii="Garamond" w:hAnsi="Garamond"/>
          <w:sz w:val="24"/>
          <w:szCs w:val="24"/>
        </w:rPr>
        <w:t>Improving the linkage between functionality and value creation.</w:t>
      </w:r>
    </w:p>
    <w:p w:rsidR="00BD6806" w:rsidRDefault="00F927B5" w:rsidP="00F927B5">
      <w:pPr>
        <w:rPr>
          <w:rFonts w:ascii="Garamond" w:hAnsi="Garamond"/>
        </w:rPr>
      </w:pPr>
      <w:r>
        <w:rPr>
          <w:rFonts w:ascii="Garamond" w:hAnsi="Garamond"/>
        </w:rPr>
        <w:lastRenderedPageBreak/>
        <w:t>T</w:t>
      </w:r>
      <w:r w:rsidR="006F1EA9" w:rsidRPr="008417B0">
        <w:rPr>
          <w:rFonts w:ascii="Garamond" w:hAnsi="Garamond"/>
        </w:rPr>
        <w:t>he Accountable Care Workgrou</w:t>
      </w:r>
      <w:r w:rsidR="0038604E" w:rsidRPr="008417B0">
        <w:rPr>
          <w:rFonts w:ascii="Garamond" w:hAnsi="Garamond"/>
        </w:rPr>
        <w:t xml:space="preserve">p will </w:t>
      </w:r>
      <w:r w:rsidR="008018D1">
        <w:rPr>
          <w:rFonts w:ascii="Garamond" w:hAnsi="Garamond"/>
        </w:rPr>
        <w:t xml:space="preserve">then </w:t>
      </w:r>
      <w:r w:rsidR="0038604E" w:rsidRPr="008417B0">
        <w:rPr>
          <w:rFonts w:ascii="Garamond" w:hAnsi="Garamond"/>
        </w:rPr>
        <w:t>make recommendations to the HIT Policy Committ</w:t>
      </w:r>
      <w:r w:rsidR="002E3573" w:rsidRPr="008417B0">
        <w:rPr>
          <w:rFonts w:ascii="Garamond" w:hAnsi="Garamond"/>
        </w:rPr>
        <w:t xml:space="preserve">ee </w:t>
      </w:r>
      <w:r w:rsidR="009F3AAE">
        <w:rPr>
          <w:rFonts w:ascii="Garamond" w:hAnsi="Garamond"/>
        </w:rPr>
        <w:t xml:space="preserve">about how ONC and other </w:t>
      </w:r>
      <w:r w:rsidR="00155E40">
        <w:rPr>
          <w:rFonts w:ascii="Garamond" w:hAnsi="Garamond"/>
        </w:rPr>
        <w:t>partners</w:t>
      </w:r>
      <w:r w:rsidR="009F3AAE">
        <w:rPr>
          <w:rFonts w:ascii="Garamond" w:hAnsi="Garamond"/>
        </w:rPr>
        <w:t xml:space="preserve"> across HHS can use </w:t>
      </w:r>
      <w:r w:rsidR="00203664">
        <w:rPr>
          <w:rFonts w:ascii="Garamond" w:hAnsi="Garamond"/>
        </w:rPr>
        <w:t xml:space="preserve">available </w:t>
      </w:r>
      <w:r w:rsidR="000C27C9">
        <w:rPr>
          <w:rFonts w:ascii="Garamond" w:hAnsi="Garamond"/>
        </w:rPr>
        <w:t xml:space="preserve">programs and policy tools </w:t>
      </w:r>
      <w:r w:rsidR="005F014B">
        <w:rPr>
          <w:rFonts w:ascii="Garamond" w:hAnsi="Garamond"/>
        </w:rPr>
        <w:t>to accelerate progress in these areas</w:t>
      </w:r>
      <w:r w:rsidR="000C27C9">
        <w:rPr>
          <w:rFonts w:ascii="Garamond" w:hAnsi="Garamond"/>
        </w:rPr>
        <w:t xml:space="preserve">. </w:t>
      </w:r>
    </w:p>
    <w:p w:rsidR="00BD6806" w:rsidRDefault="00BD6806" w:rsidP="00BD6806">
      <w:pPr>
        <w:rPr>
          <w:rFonts w:ascii="Garamond" w:hAnsi="Garamond"/>
        </w:rPr>
      </w:pPr>
    </w:p>
    <w:p w:rsidR="00A800A1" w:rsidRPr="009F3AAE" w:rsidRDefault="00620D55" w:rsidP="009F3AAE">
      <w:pPr>
        <w:pStyle w:val="ListParagraph"/>
        <w:numPr>
          <w:ilvl w:val="0"/>
          <w:numId w:val="28"/>
        </w:numPr>
        <w:rPr>
          <w:rFonts w:ascii="Garamond" w:eastAsia="Times New Roman" w:hAnsi="Garamond"/>
          <w:sz w:val="24"/>
          <w:szCs w:val="24"/>
        </w:rPr>
      </w:pPr>
      <w:r w:rsidRPr="00A94B21">
        <w:rPr>
          <w:rFonts w:ascii="Garamond" w:eastAsia="Times New Roman" w:hAnsi="Garamond"/>
          <w:sz w:val="24"/>
          <w:szCs w:val="24"/>
          <w:u w:val="single"/>
        </w:rPr>
        <w:t xml:space="preserve">Uptake of </w:t>
      </w:r>
      <w:r w:rsidR="009F3AAE" w:rsidRPr="00A94B21">
        <w:rPr>
          <w:rFonts w:ascii="Garamond" w:eastAsia="Times New Roman" w:hAnsi="Garamond"/>
          <w:sz w:val="24"/>
          <w:szCs w:val="24"/>
          <w:u w:val="single"/>
        </w:rPr>
        <w:t>Meaningful Use and c</w:t>
      </w:r>
      <w:r w:rsidR="00187EB0" w:rsidRPr="00A94B21">
        <w:rPr>
          <w:rFonts w:ascii="Garamond" w:eastAsia="Times New Roman" w:hAnsi="Garamond"/>
          <w:sz w:val="24"/>
          <w:szCs w:val="24"/>
          <w:u w:val="single"/>
        </w:rPr>
        <w:t>ertification</w:t>
      </w:r>
      <w:r w:rsidR="006A648B" w:rsidRPr="00A94B21">
        <w:rPr>
          <w:rFonts w:ascii="Garamond" w:eastAsia="Times New Roman" w:hAnsi="Garamond"/>
          <w:sz w:val="24"/>
          <w:szCs w:val="24"/>
          <w:u w:val="single"/>
        </w:rPr>
        <w:t xml:space="preserve"> </w:t>
      </w:r>
      <w:r w:rsidR="00A65658" w:rsidRPr="00A94B21">
        <w:rPr>
          <w:rFonts w:ascii="Garamond" w:eastAsia="Times New Roman" w:hAnsi="Garamond"/>
          <w:sz w:val="24"/>
          <w:szCs w:val="24"/>
          <w:u w:val="single"/>
        </w:rPr>
        <w:t>of electronic h</w:t>
      </w:r>
      <w:r w:rsidR="00A800A1" w:rsidRPr="00A94B21">
        <w:rPr>
          <w:rFonts w:ascii="Garamond" w:eastAsia="Times New Roman" w:hAnsi="Garamond"/>
          <w:sz w:val="24"/>
          <w:szCs w:val="24"/>
          <w:u w:val="single"/>
        </w:rPr>
        <w:t>ealth record systems (EHRs)</w:t>
      </w:r>
      <w:r w:rsidR="000C27C9">
        <w:rPr>
          <w:rFonts w:ascii="Garamond" w:eastAsia="Times New Roman" w:hAnsi="Garamond"/>
          <w:sz w:val="24"/>
          <w:szCs w:val="24"/>
        </w:rPr>
        <w:t xml:space="preserve">, </w:t>
      </w:r>
      <w:r w:rsidR="0028365C">
        <w:rPr>
          <w:rFonts w:ascii="Garamond" w:eastAsia="Times New Roman" w:hAnsi="Garamond"/>
          <w:sz w:val="24"/>
          <w:szCs w:val="24"/>
        </w:rPr>
        <w:t>for instance</w:t>
      </w:r>
      <w:r w:rsidR="000C27C9">
        <w:rPr>
          <w:rFonts w:ascii="Garamond" w:eastAsia="Times New Roman" w:hAnsi="Garamond"/>
          <w:sz w:val="24"/>
          <w:szCs w:val="24"/>
        </w:rPr>
        <w:t xml:space="preserve">, </w:t>
      </w:r>
      <w:r w:rsidR="0028365C">
        <w:rPr>
          <w:rFonts w:ascii="Garamond" w:eastAsia="Times New Roman" w:hAnsi="Garamond"/>
          <w:sz w:val="24"/>
          <w:szCs w:val="24"/>
        </w:rPr>
        <w:t>recommending</w:t>
      </w:r>
      <w:r w:rsidR="000C27C9">
        <w:rPr>
          <w:rFonts w:ascii="Garamond" w:eastAsia="Times New Roman" w:hAnsi="Garamond"/>
          <w:sz w:val="24"/>
          <w:szCs w:val="24"/>
        </w:rPr>
        <w:t xml:space="preserve"> inclusion of quality measures critical to ACOs </w:t>
      </w:r>
      <w:r w:rsidR="004156EA">
        <w:rPr>
          <w:rFonts w:ascii="Garamond" w:eastAsia="Times New Roman" w:hAnsi="Garamond"/>
          <w:sz w:val="24"/>
          <w:szCs w:val="24"/>
        </w:rPr>
        <w:t>in certification guidance and considering certification o</w:t>
      </w:r>
      <w:r w:rsidR="005D1CAB">
        <w:rPr>
          <w:rFonts w:ascii="Garamond" w:eastAsia="Times New Roman" w:hAnsi="Garamond"/>
          <w:sz w:val="24"/>
          <w:szCs w:val="24"/>
        </w:rPr>
        <w:t>f technology components for accountable care objectives</w:t>
      </w:r>
      <w:r w:rsidR="00203664">
        <w:rPr>
          <w:rFonts w:ascii="Garamond" w:eastAsia="Times New Roman" w:hAnsi="Garamond"/>
          <w:sz w:val="24"/>
          <w:szCs w:val="24"/>
        </w:rPr>
        <w:t>;</w:t>
      </w:r>
    </w:p>
    <w:p w:rsidR="00BD6806" w:rsidRDefault="00A800A1" w:rsidP="00BD6806">
      <w:pPr>
        <w:pStyle w:val="ListParagraph"/>
        <w:numPr>
          <w:ilvl w:val="0"/>
          <w:numId w:val="28"/>
        </w:numPr>
        <w:rPr>
          <w:rFonts w:ascii="Garamond" w:eastAsia="Times New Roman" w:hAnsi="Garamond"/>
          <w:sz w:val="24"/>
          <w:szCs w:val="24"/>
        </w:rPr>
      </w:pPr>
      <w:r w:rsidRPr="00A94B21">
        <w:rPr>
          <w:rFonts w:ascii="Garamond" w:eastAsia="Times New Roman" w:hAnsi="Garamond"/>
          <w:sz w:val="24"/>
          <w:szCs w:val="24"/>
          <w:u w:val="single"/>
        </w:rPr>
        <w:t>S</w:t>
      </w:r>
      <w:r w:rsidR="00187EB0" w:rsidRPr="00A94B21">
        <w:rPr>
          <w:rFonts w:ascii="Garamond" w:eastAsia="Times New Roman" w:hAnsi="Garamond"/>
          <w:sz w:val="24"/>
          <w:szCs w:val="24"/>
          <w:u w:val="single"/>
        </w:rPr>
        <w:t>tandards</w:t>
      </w:r>
      <w:r w:rsidR="00EF35EA" w:rsidRPr="00A94B21">
        <w:rPr>
          <w:rFonts w:ascii="Garamond" w:eastAsia="Times New Roman" w:hAnsi="Garamond"/>
          <w:sz w:val="24"/>
          <w:szCs w:val="24"/>
          <w:u w:val="single"/>
        </w:rPr>
        <w:t xml:space="preserve"> and interoperability </w:t>
      </w:r>
      <w:r w:rsidR="00F543B0" w:rsidRPr="00A94B21">
        <w:rPr>
          <w:rFonts w:ascii="Garamond" w:eastAsia="Times New Roman" w:hAnsi="Garamond"/>
          <w:sz w:val="24"/>
          <w:szCs w:val="24"/>
          <w:u w:val="single"/>
        </w:rPr>
        <w:t>activities</w:t>
      </w:r>
      <w:r w:rsidR="00017B50">
        <w:rPr>
          <w:rFonts w:ascii="Garamond" w:eastAsia="Times New Roman" w:hAnsi="Garamond"/>
          <w:sz w:val="24"/>
          <w:szCs w:val="24"/>
        </w:rPr>
        <w:t>, for instance</w:t>
      </w:r>
      <w:r w:rsidR="0028365C">
        <w:rPr>
          <w:rFonts w:ascii="Garamond" w:eastAsia="Times New Roman" w:hAnsi="Garamond"/>
          <w:sz w:val="24"/>
          <w:szCs w:val="24"/>
        </w:rPr>
        <w:t xml:space="preserve">, </w:t>
      </w:r>
      <w:r w:rsidR="00017B50">
        <w:rPr>
          <w:rFonts w:ascii="Garamond" w:eastAsia="Times New Roman" w:hAnsi="Garamond"/>
          <w:sz w:val="24"/>
          <w:szCs w:val="24"/>
        </w:rPr>
        <w:t>providing input on work around developing standards for exchanging data with long term care facilities and incorporating data from remote monitoring devices used to manage chronic disease and prevent avoidable readmissions;</w:t>
      </w:r>
    </w:p>
    <w:p w:rsidR="00A800A1" w:rsidRPr="005F014B" w:rsidRDefault="009F3AAE" w:rsidP="005F014B">
      <w:pPr>
        <w:pStyle w:val="ListParagraph"/>
        <w:numPr>
          <w:ilvl w:val="0"/>
          <w:numId w:val="28"/>
        </w:numPr>
        <w:rPr>
          <w:rFonts w:ascii="Garamond" w:eastAsia="Times New Roman" w:hAnsi="Garamond"/>
          <w:sz w:val="24"/>
          <w:szCs w:val="24"/>
        </w:rPr>
      </w:pPr>
      <w:r w:rsidRPr="00A94B21">
        <w:rPr>
          <w:rFonts w:ascii="Garamond" w:eastAsia="Times New Roman" w:hAnsi="Garamond"/>
          <w:sz w:val="24"/>
          <w:szCs w:val="24"/>
          <w:u w:val="single"/>
        </w:rPr>
        <w:t>Medicare Shared Saving Program</w:t>
      </w:r>
      <w:r w:rsidR="00BE55DB" w:rsidRPr="00A94B21">
        <w:rPr>
          <w:rFonts w:ascii="Garamond" w:eastAsia="Times New Roman" w:hAnsi="Garamond"/>
          <w:sz w:val="24"/>
          <w:szCs w:val="24"/>
          <w:u w:val="single"/>
        </w:rPr>
        <w:t xml:space="preserve"> guidance</w:t>
      </w:r>
      <w:r w:rsidR="00BE55DB">
        <w:rPr>
          <w:rFonts w:ascii="Garamond" w:eastAsia="Times New Roman" w:hAnsi="Garamond"/>
          <w:sz w:val="24"/>
          <w:szCs w:val="24"/>
        </w:rPr>
        <w:t xml:space="preserve">, for instance, provisions that would </w:t>
      </w:r>
      <w:r w:rsidR="00BE55DB" w:rsidRPr="003B7338">
        <w:rPr>
          <w:rFonts w:ascii="Times New Roman" w:hAnsi="Times New Roman"/>
        </w:rPr>
        <w:t xml:space="preserve">require or encourage </w:t>
      </w:r>
      <w:r w:rsidR="00BE55DB">
        <w:rPr>
          <w:rFonts w:ascii="Times New Roman" w:hAnsi="Times New Roman"/>
        </w:rPr>
        <w:t xml:space="preserve">Medicare </w:t>
      </w:r>
      <w:r w:rsidR="00BE55DB" w:rsidRPr="003B7338">
        <w:rPr>
          <w:rFonts w:ascii="Times New Roman" w:hAnsi="Times New Roman"/>
        </w:rPr>
        <w:t xml:space="preserve">ACOs to exchange health information as a part of their </w:t>
      </w:r>
      <w:r w:rsidR="00BE55DB">
        <w:rPr>
          <w:rFonts w:ascii="Times New Roman" w:hAnsi="Times New Roman"/>
        </w:rPr>
        <w:t xml:space="preserve">care coordination </w:t>
      </w:r>
      <w:r w:rsidR="00BE55DB" w:rsidRPr="003B7338">
        <w:rPr>
          <w:rFonts w:ascii="Times New Roman" w:hAnsi="Times New Roman"/>
        </w:rPr>
        <w:t>strategies</w:t>
      </w:r>
      <w:r w:rsidR="00203664">
        <w:rPr>
          <w:rFonts w:ascii="Garamond" w:eastAsia="Times New Roman" w:hAnsi="Garamond"/>
          <w:sz w:val="24"/>
          <w:szCs w:val="24"/>
        </w:rPr>
        <w:t xml:space="preserve">; </w:t>
      </w:r>
      <w:r w:rsidR="00203664" w:rsidRPr="005F014B">
        <w:rPr>
          <w:rFonts w:ascii="Garamond" w:eastAsia="Times New Roman" w:hAnsi="Garamond"/>
          <w:sz w:val="24"/>
          <w:szCs w:val="24"/>
        </w:rPr>
        <w:t>and</w:t>
      </w:r>
    </w:p>
    <w:p w:rsidR="00A96F39" w:rsidRPr="00BD6806" w:rsidRDefault="00203664" w:rsidP="00BD6806">
      <w:pPr>
        <w:pStyle w:val="ListParagraph"/>
        <w:numPr>
          <w:ilvl w:val="0"/>
          <w:numId w:val="28"/>
        </w:numPr>
        <w:rPr>
          <w:rFonts w:ascii="Garamond" w:eastAsia="Times New Roman" w:hAnsi="Garamond"/>
          <w:sz w:val="24"/>
          <w:szCs w:val="24"/>
        </w:rPr>
      </w:pPr>
      <w:r w:rsidRPr="00A94B21">
        <w:rPr>
          <w:rFonts w:ascii="Garamond" w:eastAsia="Times New Roman" w:hAnsi="Garamond"/>
          <w:sz w:val="24"/>
          <w:szCs w:val="24"/>
          <w:u w:val="single"/>
        </w:rPr>
        <w:t>Coordination o</w:t>
      </w:r>
      <w:r w:rsidR="00F0750F" w:rsidRPr="00A94B21">
        <w:rPr>
          <w:rFonts w:ascii="Garamond" w:eastAsia="Times New Roman" w:hAnsi="Garamond"/>
          <w:sz w:val="24"/>
          <w:szCs w:val="24"/>
          <w:u w:val="single"/>
        </w:rPr>
        <w:t>pportunities across f</w:t>
      </w:r>
      <w:r w:rsidR="00187EB0" w:rsidRPr="00A94B21">
        <w:rPr>
          <w:rFonts w:ascii="Garamond" w:eastAsia="Times New Roman" w:hAnsi="Garamond"/>
          <w:sz w:val="24"/>
          <w:szCs w:val="24"/>
          <w:u w:val="single"/>
        </w:rPr>
        <w:t>ederal partners</w:t>
      </w:r>
      <w:r w:rsidR="00F0750F" w:rsidRPr="00BD6806">
        <w:rPr>
          <w:rFonts w:ascii="Garamond" w:eastAsia="Times New Roman" w:hAnsi="Garamond"/>
          <w:sz w:val="24"/>
          <w:szCs w:val="24"/>
        </w:rPr>
        <w:t xml:space="preserve"> such as </w:t>
      </w:r>
      <w:r>
        <w:rPr>
          <w:rFonts w:ascii="Garamond" w:eastAsia="Times New Roman" w:hAnsi="Garamond"/>
          <w:sz w:val="24"/>
          <w:szCs w:val="24"/>
        </w:rPr>
        <w:t xml:space="preserve">ONC, </w:t>
      </w:r>
      <w:r w:rsidR="00F0750F" w:rsidRPr="00BD6806">
        <w:rPr>
          <w:rFonts w:ascii="Garamond" w:eastAsia="Times New Roman" w:hAnsi="Garamond"/>
          <w:sz w:val="24"/>
          <w:szCs w:val="24"/>
        </w:rPr>
        <w:t xml:space="preserve">CMS, AHRQ, </w:t>
      </w:r>
      <w:r w:rsidR="00426B34">
        <w:rPr>
          <w:rFonts w:ascii="Garamond" w:eastAsia="Times New Roman" w:hAnsi="Garamond"/>
          <w:sz w:val="24"/>
          <w:szCs w:val="24"/>
        </w:rPr>
        <w:t xml:space="preserve">HRSA, </w:t>
      </w:r>
      <w:r w:rsidR="00F0750F" w:rsidRPr="00BD6806">
        <w:rPr>
          <w:rFonts w:ascii="Garamond" w:eastAsia="Times New Roman" w:hAnsi="Garamond"/>
          <w:sz w:val="24"/>
          <w:szCs w:val="24"/>
        </w:rPr>
        <w:t>and NLM</w:t>
      </w:r>
      <w:r w:rsidR="00017B50">
        <w:rPr>
          <w:rFonts w:ascii="Garamond" w:eastAsia="Times New Roman" w:hAnsi="Garamond"/>
          <w:sz w:val="24"/>
          <w:szCs w:val="24"/>
        </w:rPr>
        <w:t>, for instance, reconciling measure requirements between ACO and MU programs.</w:t>
      </w:r>
    </w:p>
    <w:bookmarkEnd w:id="0"/>
    <w:p w:rsidR="00337FB4" w:rsidRPr="002F498F" w:rsidRDefault="00337FB4">
      <w:pPr>
        <w:rPr>
          <w:rFonts w:ascii="Garamond" w:hAnsi="Garamond"/>
        </w:rPr>
      </w:pPr>
      <w:r w:rsidRPr="008417B0">
        <w:rPr>
          <w:rFonts w:ascii="Garamond" w:hAnsi="Garamond" w:cs="Arial"/>
        </w:rPr>
        <w:t xml:space="preserve">The meetings of this </w:t>
      </w:r>
      <w:r w:rsidR="00995C0C">
        <w:rPr>
          <w:rFonts w:ascii="Garamond" w:hAnsi="Garamond" w:cs="Arial"/>
        </w:rPr>
        <w:t>work</w:t>
      </w:r>
      <w:r w:rsidRPr="008417B0">
        <w:rPr>
          <w:rFonts w:ascii="Garamond" w:hAnsi="Garamond" w:cs="Arial"/>
        </w:rPr>
        <w:t>group will be public and all documents discussed will be made available to the public.</w:t>
      </w:r>
      <w:r w:rsidR="002F498F" w:rsidRPr="008417B0">
        <w:rPr>
          <w:rFonts w:ascii="Garamond" w:hAnsi="Garamond" w:cs="Arial"/>
        </w:rPr>
        <w:t xml:space="preserve"> </w:t>
      </w:r>
      <w:r w:rsidR="00BD042F" w:rsidRPr="008417B0">
        <w:rPr>
          <w:rFonts w:ascii="Garamond" w:hAnsi="Garamond" w:cs="Arial"/>
        </w:rPr>
        <w:br/>
      </w:r>
    </w:p>
    <w:p w:rsidR="00A96F39" w:rsidRDefault="005917F0" w:rsidP="00EA109D">
      <w:pPr>
        <w:rPr>
          <w:rFonts w:ascii="Garamond" w:hAnsi="Garamond"/>
          <w:b/>
        </w:rPr>
      </w:pPr>
      <w:bookmarkStart w:id="1" w:name="OLE_LINK1"/>
      <w:bookmarkStart w:id="2" w:name="OLE_LINK2"/>
      <w:r>
        <w:rPr>
          <w:rFonts w:ascii="Garamond" w:hAnsi="Garamond"/>
          <w:b/>
        </w:rPr>
        <w:t>Workgroup</w:t>
      </w:r>
      <w:r w:rsidR="00F46D7C" w:rsidRPr="008417B0">
        <w:rPr>
          <w:rFonts w:ascii="Garamond" w:hAnsi="Garamond"/>
          <w:b/>
        </w:rPr>
        <w:t xml:space="preserve"> </w:t>
      </w:r>
      <w:r w:rsidR="00337FB4" w:rsidRPr="008417B0">
        <w:rPr>
          <w:rFonts w:ascii="Garamond" w:hAnsi="Garamond"/>
          <w:b/>
        </w:rPr>
        <w:t>Members:</w:t>
      </w:r>
      <w:r w:rsidR="00606A6C" w:rsidRPr="008417B0">
        <w:rPr>
          <w:rFonts w:ascii="Garamond" w:hAnsi="Garamond"/>
          <w:b/>
        </w:rPr>
        <w:br/>
      </w:r>
    </w:p>
    <w:p w:rsidR="00A96F39" w:rsidRDefault="005D1CAB" w:rsidP="00E464F7">
      <w:pPr>
        <w:tabs>
          <w:tab w:val="left" w:pos="6812"/>
        </w:tabs>
        <w:rPr>
          <w:rFonts w:ascii="Garamond" w:hAnsi="Garamond"/>
        </w:rPr>
      </w:pPr>
      <w:r>
        <w:rPr>
          <w:rFonts w:ascii="Garamond" w:hAnsi="Garamond"/>
        </w:rPr>
        <w:t>The workgroup</w:t>
      </w:r>
      <w:r w:rsidR="00E464F7">
        <w:rPr>
          <w:rFonts w:ascii="Garamond" w:hAnsi="Garamond"/>
        </w:rPr>
        <w:t xml:space="preserve"> emphasize</w:t>
      </w:r>
      <w:r>
        <w:rPr>
          <w:rFonts w:ascii="Garamond" w:hAnsi="Garamond"/>
        </w:rPr>
        <w:t>s</w:t>
      </w:r>
      <w:r w:rsidR="00E464F7">
        <w:rPr>
          <w:rFonts w:ascii="Garamond" w:hAnsi="Garamond"/>
        </w:rPr>
        <w:t xml:space="preserve"> members with e</w:t>
      </w:r>
      <w:r w:rsidR="00117D9A">
        <w:rPr>
          <w:rFonts w:ascii="Garamond" w:hAnsi="Garamond"/>
        </w:rPr>
        <w:t>xpertise in business aspects of</w:t>
      </w:r>
      <w:r w:rsidR="00E464F7">
        <w:rPr>
          <w:rFonts w:ascii="Garamond" w:hAnsi="Garamond"/>
        </w:rPr>
        <w:t xml:space="preserve"> </w:t>
      </w:r>
      <w:r w:rsidR="00117D9A">
        <w:rPr>
          <w:rFonts w:ascii="Garamond" w:hAnsi="Garamond"/>
        </w:rPr>
        <w:t>accountable care models</w:t>
      </w:r>
      <w:r w:rsidR="00E464F7">
        <w:rPr>
          <w:rFonts w:ascii="Garamond" w:hAnsi="Garamond"/>
        </w:rPr>
        <w:t>, which may include health system</w:t>
      </w:r>
      <w:r w:rsidR="0070398D">
        <w:rPr>
          <w:rFonts w:ascii="Garamond" w:hAnsi="Garamond"/>
        </w:rPr>
        <w:t xml:space="preserve"> leaders</w:t>
      </w:r>
      <w:r w:rsidR="00E464F7">
        <w:rPr>
          <w:rFonts w:ascii="Garamond" w:hAnsi="Garamond"/>
        </w:rPr>
        <w:t xml:space="preserve">, providers, and researchers. In addition, the workgroup </w:t>
      </w:r>
      <w:r w:rsidR="0070398D">
        <w:rPr>
          <w:rFonts w:ascii="Garamond" w:hAnsi="Garamond"/>
        </w:rPr>
        <w:t>will</w:t>
      </w:r>
      <w:r w:rsidR="00E464F7">
        <w:rPr>
          <w:rFonts w:ascii="Garamond" w:hAnsi="Garamond"/>
        </w:rPr>
        <w:t xml:space="preserve"> include representatives from federal partners. </w:t>
      </w:r>
    </w:p>
    <w:p w:rsidR="009645E1" w:rsidRDefault="009645E1" w:rsidP="00E464F7">
      <w:pPr>
        <w:tabs>
          <w:tab w:val="left" w:pos="6812"/>
        </w:tabs>
        <w:rPr>
          <w:rFonts w:ascii="Garamond" w:hAnsi="Garamond"/>
        </w:rPr>
      </w:pPr>
    </w:p>
    <w:p w:rsidR="00EA109D" w:rsidRPr="00F927B5" w:rsidRDefault="00CC7190" w:rsidP="00EA109D">
      <w:pPr>
        <w:rPr>
          <w:rFonts w:ascii="Garamond" w:eastAsiaTheme="minorHAnsi" w:hAnsi="Garamond"/>
          <w:color w:val="000000"/>
        </w:rPr>
      </w:pPr>
      <w:r w:rsidRPr="008417B0">
        <w:rPr>
          <w:rFonts w:ascii="Garamond" w:hAnsi="Garamond"/>
          <w:b/>
        </w:rPr>
        <w:t>Chair</w:t>
      </w:r>
      <w:r w:rsidRPr="008417B0">
        <w:rPr>
          <w:rFonts w:ascii="Garamond" w:hAnsi="Garamond"/>
        </w:rPr>
        <w:t xml:space="preserve">: </w:t>
      </w:r>
      <w:r w:rsidR="00F927B5">
        <w:rPr>
          <w:rFonts w:ascii="Garamond" w:eastAsiaTheme="minorHAnsi" w:hAnsi="Garamond"/>
          <w:color w:val="000000"/>
        </w:rPr>
        <w:t>Charles Kennedy, Aetna</w:t>
      </w:r>
      <w:r w:rsidR="0054675D" w:rsidRPr="008417B0">
        <w:rPr>
          <w:rFonts w:ascii="Garamond" w:hAnsi="Garamond"/>
        </w:rPr>
        <w:br/>
      </w:r>
    </w:p>
    <w:p w:rsidR="0054675D" w:rsidRPr="008417B0" w:rsidRDefault="009645E1" w:rsidP="00EA109D">
      <w:pPr>
        <w:rPr>
          <w:rFonts w:ascii="Garamond" w:hAnsi="Garamond"/>
          <w:b/>
        </w:rPr>
      </w:pPr>
      <w:r>
        <w:rPr>
          <w:rFonts w:ascii="Garamond" w:hAnsi="Garamond"/>
          <w:b/>
        </w:rPr>
        <w:t xml:space="preserve">Workgroup </w:t>
      </w:r>
      <w:r w:rsidR="0054675D" w:rsidRPr="008417B0">
        <w:rPr>
          <w:rFonts w:ascii="Garamond" w:hAnsi="Garamond"/>
          <w:b/>
        </w:rPr>
        <w:t>Members:</w:t>
      </w:r>
      <w:r w:rsidR="004D4A24">
        <w:rPr>
          <w:rFonts w:ascii="Garamond" w:hAnsi="Garamond"/>
          <w:b/>
        </w:rPr>
        <w:t xml:space="preserve"> </w:t>
      </w:r>
    </w:p>
    <w:p w:rsidR="0054675D" w:rsidRPr="008417B0" w:rsidRDefault="0054675D" w:rsidP="00EA109D">
      <w:pPr>
        <w:rPr>
          <w:rFonts w:ascii="Garamond" w:hAnsi="Garamond"/>
        </w:rPr>
      </w:pPr>
    </w:p>
    <w:tbl>
      <w:tblPr>
        <w:tblW w:w="6899" w:type="dxa"/>
        <w:tblInd w:w="95" w:type="dxa"/>
        <w:tblLook w:val="04A0"/>
      </w:tblPr>
      <w:tblGrid>
        <w:gridCol w:w="2111"/>
        <w:gridCol w:w="4788"/>
      </w:tblGrid>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Shaun Alfreds</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HealthInfoNet</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Richard (Hal) Baker</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Wellspan</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Karen Bell</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CCHIT</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Karen Davis</w:t>
            </w:r>
          </w:p>
        </w:tc>
        <w:tc>
          <w:tcPr>
            <w:tcW w:w="4788" w:type="dxa"/>
            <w:shd w:val="clear" w:color="auto" w:fill="auto"/>
            <w:noWrap/>
            <w:hideMark/>
          </w:tcPr>
          <w:p w:rsidR="00F927B5" w:rsidRPr="005D1CAB" w:rsidRDefault="00F927B5">
            <w:pPr>
              <w:rPr>
                <w:rFonts w:ascii="Calibri" w:hAnsi="Calibri"/>
                <w:bCs/>
                <w:color w:val="000000"/>
                <w:sz w:val="22"/>
                <w:szCs w:val="22"/>
              </w:rPr>
            </w:pPr>
            <w:r w:rsidRPr="005D1CAB">
              <w:rPr>
                <w:rFonts w:ascii="Calibri" w:hAnsi="Calibri"/>
                <w:bCs/>
                <w:color w:val="000000"/>
                <w:sz w:val="22"/>
                <w:szCs w:val="22"/>
              </w:rPr>
              <w:t xml:space="preserve">Johns Hopkins Bloomberg School of Public Health </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John Fallon</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BCBS</w:t>
            </w:r>
            <w:r w:rsidR="00B370B8">
              <w:rPr>
                <w:rFonts w:ascii="Calibri" w:hAnsi="Calibri"/>
                <w:color w:val="000000"/>
                <w:sz w:val="22"/>
                <w:szCs w:val="22"/>
              </w:rPr>
              <w:t xml:space="preserve"> Massachusetts</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Heather Jelonek</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John C</w:t>
            </w:r>
            <w:r w:rsidR="00B370B8">
              <w:rPr>
                <w:rFonts w:ascii="Calibri" w:hAnsi="Calibri"/>
                <w:color w:val="000000"/>
                <w:sz w:val="22"/>
                <w:szCs w:val="22"/>
              </w:rPr>
              <w:t>.</w:t>
            </w:r>
            <w:r w:rsidRPr="005D1CAB">
              <w:rPr>
                <w:rFonts w:ascii="Calibri" w:hAnsi="Calibri"/>
                <w:color w:val="000000"/>
                <w:sz w:val="22"/>
                <w:szCs w:val="22"/>
              </w:rPr>
              <w:t xml:space="preserve"> Lincoln Accountable Care Organization</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David Kendrick</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MyHealth Access Network</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Joe Kimura</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Atrius Health</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Irene Koch</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Brooklyn Health Information Exchange (BHIX)</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Aaron McKethan</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RxAnte, Inc.</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Eun-Shim Nahm</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University of Maryland School of Nursing</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Judy Rich</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Tucson Medical Center</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Cary Sennett</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IMPAQ International</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Bill Spooner</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Sharp HealthCare</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Susan Stuard</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THINC</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Grace Terrell</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Cornerstone Health Care, P.A.</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Karen Van Wagner</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North Texas Specialty Physicians</w:t>
            </w:r>
          </w:p>
        </w:tc>
      </w:tr>
      <w:tr w:rsidR="00F927B5" w:rsidRPr="005D1CAB" w:rsidTr="005D1CAB">
        <w:trPr>
          <w:trHeight w:val="300"/>
        </w:trPr>
        <w:tc>
          <w:tcPr>
            <w:tcW w:w="2111"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Samuel VanNorman</w:t>
            </w:r>
          </w:p>
        </w:tc>
        <w:tc>
          <w:tcPr>
            <w:tcW w:w="4788" w:type="dxa"/>
            <w:shd w:val="clear" w:color="auto" w:fill="auto"/>
            <w:noWrap/>
            <w:hideMark/>
          </w:tcPr>
          <w:p w:rsidR="00F927B5" w:rsidRPr="005D1CAB" w:rsidRDefault="00F927B5">
            <w:pPr>
              <w:rPr>
                <w:rFonts w:ascii="Calibri" w:hAnsi="Calibri"/>
                <w:color w:val="000000"/>
                <w:sz w:val="22"/>
                <w:szCs w:val="22"/>
              </w:rPr>
            </w:pPr>
            <w:r w:rsidRPr="005D1CAB">
              <w:rPr>
                <w:rFonts w:ascii="Calibri" w:hAnsi="Calibri"/>
                <w:color w:val="000000"/>
                <w:sz w:val="22"/>
                <w:szCs w:val="22"/>
              </w:rPr>
              <w:t>Park Nicollet Health Services</w:t>
            </w:r>
          </w:p>
        </w:tc>
      </w:tr>
      <w:bookmarkEnd w:id="1"/>
      <w:bookmarkEnd w:id="2"/>
    </w:tbl>
    <w:p w:rsidR="00F927B5" w:rsidRDefault="00F927B5" w:rsidP="009679CB">
      <w:pPr>
        <w:rPr>
          <w:rFonts w:ascii="Garamond" w:hAnsi="Garamond"/>
          <w:b/>
        </w:rPr>
      </w:pPr>
    </w:p>
    <w:p w:rsidR="005D1CAB" w:rsidRDefault="005D1CAB" w:rsidP="009679CB">
      <w:pPr>
        <w:rPr>
          <w:rFonts w:ascii="Garamond" w:hAnsi="Garamond"/>
          <w:b/>
        </w:rPr>
      </w:pPr>
      <w:r>
        <w:rPr>
          <w:rFonts w:ascii="Garamond" w:hAnsi="Garamond"/>
          <w:b/>
        </w:rPr>
        <w:t>Ex-Officio Members</w:t>
      </w:r>
    </w:p>
    <w:p w:rsidR="005D1CAB" w:rsidRDefault="005D1CAB" w:rsidP="009679CB">
      <w:pPr>
        <w:rPr>
          <w:rFonts w:ascii="Garamond" w:hAnsi="Garamond"/>
          <w:b/>
        </w:rPr>
      </w:pPr>
    </w:p>
    <w:tbl>
      <w:tblPr>
        <w:tblW w:w="6853" w:type="dxa"/>
        <w:tblInd w:w="95" w:type="dxa"/>
        <w:tblLook w:val="04A0"/>
      </w:tblPr>
      <w:tblGrid>
        <w:gridCol w:w="2083"/>
        <w:gridCol w:w="4770"/>
      </w:tblGrid>
      <w:tr w:rsidR="005D1CAB" w:rsidTr="005D1CAB">
        <w:trPr>
          <w:trHeight w:val="300"/>
        </w:trPr>
        <w:tc>
          <w:tcPr>
            <w:tcW w:w="2083"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Akaki Lekiachvili</w:t>
            </w:r>
          </w:p>
        </w:tc>
        <w:tc>
          <w:tcPr>
            <w:tcW w:w="4770"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CDC</w:t>
            </w:r>
          </w:p>
        </w:tc>
      </w:tr>
      <w:tr w:rsidR="005D1CAB" w:rsidTr="005D1CAB">
        <w:trPr>
          <w:trHeight w:val="300"/>
        </w:trPr>
        <w:tc>
          <w:tcPr>
            <w:tcW w:w="2083"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Mai Pham</w:t>
            </w:r>
          </w:p>
        </w:tc>
        <w:tc>
          <w:tcPr>
            <w:tcW w:w="4770"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CMMI</w:t>
            </w:r>
          </w:p>
        </w:tc>
      </w:tr>
      <w:tr w:rsidR="005D1CAB" w:rsidTr="005D1CAB">
        <w:trPr>
          <w:trHeight w:val="300"/>
        </w:trPr>
        <w:tc>
          <w:tcPr>
            <w:tcW w:w="2083"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John Pilotte</w:t>
            </w:r>
          </w:p>
        </w:tc>
        <w:tc>
          <w:tcPr>
            <w:tcW w:w="4770"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CMS</w:t>
            </w:r>
          </w:p>
        </w:tc>
      </w:tr>
      <w:tr w:rsidR="005D1CAB" w:rsidTr="005D1CAB">
        <w:trPr>
          <w:trHeight w:val="300"/>
        </w:trPr>
        <w:tc>
          <w:tcPr>
            <w:tcW w:w="2083"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Westley Clark</w:t>
            </w:r>
          </w:p>
        </w:tc>
        <w:tc>
          <w:tcPr>
            <w:tcW w:w="4770" w:type="dxa"/>
            <w:shd w:val="clear" w:color="auto" w:fill="auto"/>
            <w:noWrap/>
            <w:hideMark/>
          </w:tcPr>
          <w:p w:rsidR="005D1CAB" w:rsidRDefault="005D1CAB">
            <w:pPr>
              <w:rPr>
                <w:rFonts w:ascii="Calibri" w:hAnsi="Calibri"/>
                <w:color w:val="000000"/>
                <w:sz w:val="22"/>
                <w:szCs w:val="22"/>
              </w:rPr>
            </w:pPr>
            <w:r>
              <w:rPr>
                <w:rFonts w:ascii="Calibri" w:hAnsi="Calibri"/>
                <w:color w:val="000000"/>
                <w:sz w:val="22"/>
                <w:szCs w:val="22"/>
              </w:rPr>
              <w:t>SAMSHA</w:t>
            </w:r>
          </w:p>
        </w:tc>
      </w:tr>
    </w:tbl>
    <w:p w:rsidR="005D1CAB" w:rsidRDefault="005D1CAB" w:rsidP="009679CB">
      <w:pPr>
        <w:rPr>
          <w:rFonts w:ascii="Garamond" w:hAnsi="Garamond"/>
          <w:b/>
        </w:rPr>
      </w:pPr>
    </w:p>
    <w:sectPr w:rsidR="005D1CAB" w:rsidSect="00144778">
      <w:headerReference w:type="default" r:id="rId8"/>
      <w:footerReference w:type="default" r:id="rId9"/>
      <w:pgSz w:w="12240" w:h="15840"/>
      <w:pgMar w:top="1440" w:right="1800" w:bottom="720" w:left="1800"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3F9" w:rsidRDefault="00C923F9">
      <w:r>
        <w:separator/>
      </w:r>
    </w:p>
  </w:endnote>
  <w:endnote w:type="continuationSeparator" w:id="0">
    <w:p w:rsidR="00C923F9" w:rsidRDefault="00C92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9" w:rsidRDefault="00B97502">
    <w:pPr>
      <w:pStyle w:val="Footer"/>
      <w:jc w:val="center"/>
      <w:rPr>
        <w:rFonts w:ascii="Garamond" w:hAnsi="Garamond"/>
      </w:rPr>
    </w:pPr>
    <w:r>
      <w:rPr>
        <w:rStyle w:val="PageNumber"/>
        <w:rFonts w:ascii="Garamond" w:hAnsi="Garamond"/>
      </w:rPr>
      <w:fldChar w:fldCharType="begin"/>
    </w:r>
    <w:r w:rsidR="00251A09">
      <w:rPr>
        <w:rStyle w:val="PageNumber"/>
        <w:rFonts w:ascii="Garamond" w:hAnsi="Garamond"/>
      </w:rPr>
      <w:instrText xml:space="preserve"> PAGE </w:instrText>
    </w:r>
    <w:r>
      <w:rPr>
        <w:rStyle w:val="PageNumber"/>
        <w:rFonts w:ascii="Garamond" w:hAnsi="Garamond"/>
      </w:rPr>
      <w:fldChar w:fldCharType="separate"/>
    </w:r>
    <w:r w:rsidR="00753916">
      <w:rPr>
        <w:rStyle w:val="PageNumber"/>
        <w:rFonts w:ascii="Garamond" w:hAnsi="Garamond"/>
        <w:noProof/>
      </w:rPr>
      <w:t>- 1 -</w:t>
    </w:r>
    <w:r>
      <w:rPr>
        <w:rStyle w:val="PageNumber"/>
        <w:rFonts w:ascii="Garamond" w:hAnsi="Garamon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3F9" w:rsidRDefault="00C923F9">
      <w:r>
        <w:separator/>
      </w:r>
    </w:p>
  </w:footnote>
  <w:footnote w:type="continuationSeparator" w:id="0">
    <w:p w:rsidR="00C923F9" w:rsidRDefault="00C92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A09" w:rsidRDefault="00251A09">
    <w:pPr>
      <w:pStyle w:val="Header"/>
      <w:jc w:val="right"/>
    </w:pPr>
    <w:r>
      <w:rPr>
        <w:noProof/>
      </w:rPr>
      <w:drawing>
        <wp:inline distT="0" distB="0" distL="0" distR="0">
          <wp:extent cx="1600200" cy="428625"/>
          <wp:effectExtent l="19050" t="0" r="0" b="0"/>
          <wp:docPr id="1" name="Picture 1" descr="nhii-bnnr4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i-bnnr4web"/>
                  <pic:cNvPicPr>
                    <a:picLocks noChangeAspect="1" noChangeArrowheads="1"/>
                  </pic:cNvPicPr>
                </pic:nvPicPr>
                <pic:blipFill>
                  <a:blip r:embed="rId1"/>
                  <a:srcRect/>
                  <a:stretch>
                    <a:fillRect/>
                  </a:stretch>
                </pic:blipFill>
                <pic:spPr bwMode="auto">
                  <a:xfrm>
                    <a:off x="0" y="0"/>
                    <a:ext cx="1600200" cy="428625"/>
                  </a:xfrm>
                  <a:prstGeom prst="rect">
                    <a:avLst/>
                  </a:prstGeom>
                  <a:noFill/>
                  <a:ln w="9525">
                    <a:noFill/>
                    <a:miter lim="800000"/>
                    <a:headEnd/>
                    <a:tailEnd/>
                  </a:ln>
                </pic:spPr>
              </pic:pic>
            </a:graphicData>
          </a:graphic>
        </wp:inline>
      </w:drawing>
    </w:r>
  </w:p>
  <w:p w:rsidR="00251A09" w:rsidRDefault="00251A0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32D"/>
    <w:multiLevelType w:val="hybridMultilevel"/>
    <w:tmpl w:val="508A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61598"/>
    <w:multiLevelType w:val="hybridMultilevel"/>
    <w:tmpl w:val="3EF8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9586A"/>
    <w:multiLevelType w:val="hybridMultilevel"/>
    <w:tmpl w:val="85AA55A0"/>
    <w:lvl w:ilvl="0" w:tplc="1D3876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640892"/>
    <w:multiLevelType w:val="hybridMultilevel"/>
    <w:tmpl w:val="85AA55A0"/>
    <w:lvl w:ilvl="0" w:tplc="1D3876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7036261"/>
    <w:multiLevelType w:val="hybridMultilevel"/>
    <w:tmpl w:val="A384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76235"/>
    <w:multiLevelType w:val="hybridMultilevel"/>
    <w:tmpl w:val="974C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B74A9"/>
    <w:multiLevelType w:val="hybridMultilevel"/>
    <w:tmpl w:val="AD02C23E"/>
    <w:lvl w:ilvl="0" w:tplc="4AA05E38">
      <w:start w:val="1"/>
      <w:numFmt w:val="bullet"/>
      <w:lvlText w:val="•"/>
      <w:lvlJc w:val="left"/>
      <w:pPr>
        <w:tabs>
          <w:tab w:val="num" w:pos="720"/>
        </w:tabs>
        <w:ind w:left="720" w:hanging="360"/>
      </w:pPr>
      <w:rPr>
        <w:rFonts w:ascii="Arial" w:hAnsi="Arial" w:hint="default"/>
      </w:rPr>
    </w:lvl>
    <w:lvl w:ilvl="1" w:tplc="ED6ABF20" w:tentative="1">
      <w:start w:val="1"/>
      <w:numFmt w:val="bullet"/>
      <w:lvlText w:val="•"/>
      <w:lvlJc w:val="left"/>
      <w:pPr>
        <w:tabs>
          <w:tab w:val="num" w:pos="1440"/>
        </w:tabs>
        <w:ind w:left="1440" w:hanging="360"/>
      </w:pPr>
      <w:rPr>
        <w:rFonts w:ascii="Arial" w:hAnsi="Arial" w:hint="default"/>
      </w:rPr>
    </w:lvl>
    <w:lvl w:ilvl="2" w:tplc="C2B8BB58" w:tentative="1">
      <w:start w:val="1"/>
      <w:numFmt w:val="bullet"/>
      <w:lvlText w:val="•"/>
      <w:lvlJc w:val="left"/>
      <w:pPr>
        <w:tabs>
          <w:tab w:val="num" w:pos="2160"/>
        </w:tabs>
        <w:ind w:left="2160" w:hanging="360"/>
      </w:pPr>
      <w:rPr>
        <w:rFonts w:ascii="Arial" w:hAnsi="Arial" w:hint="default"/>
      </w:rPr>
    </w:lvl>
    <w:lvl w:ilvl="3" w:tplc="D7D80E18" w:tentative="1">
      <w:start w:val="1"/>
      <w:numFmt w:val="bullet"/>
      <w:lvlText w:val="•"/>
      <w:lvlJc w:val="left"/>
      <w:pPr>
        <w:tabs>
          <w:tab w:val="num" w:pos="2880"/>
        </w:tabs>
        <w:ind w:left="2880" w:hanging="360"/>
      </w:pPr>
      <w:rPr>
        <w:rFonts w:ascii="Arial" w:hAnsi="Arial" w:hint="default"/>
      </w:rPr>
    </w:lvl>
    <w:lvl w:ilvl="4" w:tplc="35706E66" w:tentative="1">
      <w:start w:val="1"/>
      <w:numFmt w:val="bullet"/>
      <w:lvlText w:val="•"/>
      <w:lvlJc w:val="left"/>
      <w:pPr>
        <w:tabs>
          <w:tab w:val="num" w:pos="3600"/>
        </w:tabs>
        <w:ind w:left="3600" w:hanging="360"/>
      </w:pPr>
      <w:rPr>
        <w:rFonts w:ascii="Arial" w:hAnsi="Arial" w:hint="default"/>
      </w:rPr>
    </w:lvl>
    <w:lvl w:ilvl="5" w:tplc="9CF05092" w:tentative="1">
      <w:start w:val="1"/>
      <w:numFmt w:val="bullet"/>
      <w:lvlText w:val="•"/>
      <w:lvlJc w:val="left"/>
      <w:pPr>
        <w:tabs>
          <w:tab w:val="num" w:pos="4320"/>
        </w:tabs>
        <w:ind w:left="4320" w:hanging="360"/>
      </w:pPr>
      <w:rPr>
        <w:rFonts w:ascii="Arial" w:hAnsi="Arial" w:hint="default"/>
      </w:rPr>
    </w:lvl>
    <w:lvl w:ilvl="6" w:tplc="46B4B312" w:tentative="1">
      <w:start w:val="1"/>
      <w:numFmt w:val="bullet"/>
      <w:lvlText w:val="•"/>
      <w:lvlJc w:val="left"/>
      <w:pPr>
        <w:tabs>
          <w:tab w:val="num" w:pos="5040"/>
        </w:tabs>
        <w:ind w:left="5040" w:hanging="360"/>
      </w:pPr>
      <w:rPr>
        <w:rFonts w:ascii="Arial" w:hAnsi="Arial" w:hint="default"/>
      </w:rPr>
    </w:lvl>
    <w:lvl w:ilvl="7" w:tplc="4482BBFC" w:tentative="1">
      <w:start w:val="1"/>
      <w:numFmt w:val="bullet"/>
      <w:lvlText w:val="•"/>
      <w:lvlJc w:val="left"/>
      <w:pPr>
        <w:tabs>
          <w:tab w:val="num" w:pos="5760"/>
        </w:tabs>
        <w:ind w:left="5760" w:hanging="360"/>
      </w:pPr>
      <w:rPr>
        <w:rFonts w:ascii="Arial" w:hAnsi="Arial" w:hint="default"/>
      </w:rPr>
    </w:lvl>
    <w:lvl w:ilvl="8" w:tplc="2FB6C104" w:tentative="1">
      <w:start w:val="1"/>
      <w:numFmt w:val="bullet"/>
      <w:lvlText w:val="•"/>
      <w:lvlJc w:val="left"/>
      <w:pPr>
        <w:tabs>
          <w:tab w:val="num" w:pos="6480"/>
        </w:tabs>
        <w:ind w:left="6480" w:hanging="360"/>
      </w:pPr>
      <w:rPr>
        <w:rFonts w:ascii="Arial" w:hAnsi="Arial" w:hint="default"/>
      </w:rPr>
    </w:lvl>
  </w:abstractNum>
  <w:abstractNum w:abstractNumId="7">
    <w:nsid w:val="295027F8"/>
    <w:multiLevelType w:val="hybridMultilevel"/>
    <w:tmpl w:val="2BB6573A"/>
    <w:lvl w:ilvl="0" w:tplc="1D3876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A4158C"/>
    <w:multiLevelType w:val="hybridMultilevel"/>
    <w:tmpl w:val="B5DEB748"/>
    <w:lvl w:ilvl="0" w:tplc="1D3876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4A3195"/>
    <w:multiLevelType w:val="hybridMultilevel"/>
    <w:tmpl w:val="168C4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1580D"/>
    <w:multiLevelType w:val="hybridMultilevel"/>
    <w:tmpl w:val="7BFCD7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B4A60"/>
    <w:multiLevelType w:val="hybridMultilevel"/>
    <w:tmpl w:val="2BB6573A"/>
    <w:lvl w:ilvl="0" w:tplc="1D3876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731041"/>
    <w:multiLevelType w:val="hybridMultilevel"/>
    <w:tmpl w:val="85AA55A0"/>
    <w:lvl w:ilvl="0" w:tplc="1D3876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6CE4A13"/>
    <w:multiLevelType w:val="hybridMultilevel"/>
    <w:tmpl w:val="E770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44EAE"/>
    <w:multiLevelType w:val="hybridMultilevel"/>
    <w:tmpl w:val="A1BAF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F45F7C"/>
    <w:multiLevelType w:val="hybridMultilevel"/>
    <w:tmpl w:val="BE0C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05B37"/>
    <w:multiLevelType w:val="hybridMultilevel"/>
    <w:tmpl w:val="3528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F27D7"/>
    <w:multiLevelType w:val="hybridMultilevel"/>
    <w:tmpl w:val="14CEA85A"/>
    <w:lvl w:ilvl="0" w:tplc="1D387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EF1A43"/>
    <w:multiLevelType w:val="hybridMultilevel"/>
    <w:tmpl w:val="4C8E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1D0158"/>
    <w:multiLevelType w:val="hybridMultilevel"/>
    <w:tmpl w:val="7C1CE1F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5B76E80"/>
    <w:multiLevelType w:val="hybridMultilevel"/>
    <w:tmpl w:val="CB56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6320BC"/>
    <w:multiLevelType w:val="hybridMultilevel"/>
    <w:tmpl w:val="1FA2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693EFD"/>
    <w:multiLevelType w:val="hybridMultilevel"/>
    <w:tmpl w:val="8394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96C96"/>
    <w:multiLevelType w:val="hybridMultilevel"/>
    <w:tmpl w:val="299E0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565AC"/>
    <w:multiLevelType w:val="hybridMultilevel"/>
    <w:tmpl w:val="BC605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A54380"/>
    <w:multiLevelType w:val="hybridMultilevel"/>
    <w:tmpl w:val="75047C24"/>
    <w:lvl w:ilvl="0" w:tplc="1D38764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36130C7"/>
    <w:multiLevelType w:val="hybridMultilevel"/>
    <w:tmpl w:val="49AA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1364EC"/>
    <w:multiLevelType w:val="hybridMultilevel"/>
    <w:tmpl w:val="087C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B05160"/>
    <w:multiLevelType w:val="hybridMultilevel"/>
    <w:tmpl w:val="7AD49E1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252530"/>
    <w:multiLevelType w:val="hybridMultilevel"/>
    <w:tmpl w:val="D488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12"/>
  </w:num>
  <w:num w:numId="8">
    <w:abstractNumId w:val="11"/>
  </w:num>
  <w:num w:numId="9">
    <w:abstractNumId w:val="8"/>
  </w:num>
  <w:num w:numId="10">
    <w:abstractNumId w:val="25"/>
  </w:num>
  <w:num w:numId="11">
    <w:abstractNumId w:val="14"/>
  </w:num>
  <w:num w:numId="12">
    <w:abstractNumId w:val="24"/>
  </w:num>
  <w:num w:numId="13">
    <w:abstractNumId w:val="13"/>
  </w:num>
  <w:num w:numId="14">
    <w:abstractNumId w:val="16"/>
  </w:num>
  <w:num w:numId="15">
    <w:abstractNumId w:val="29"/>
  </w:num>
  <w:num w:numId="16">
    <w:abstractNumId w:val="15"/>
  </w:num>
  <w:num w:numId="17">
    <w:abstractNumId w:val="18"/>
  </w:num>
  <w:num w:numId="18">
    <w:abstractNumId w:val="27"/>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22"/>
  </w:num>
  <w:num w:numId="24">
    <w:abstractNumId w:val="23"/>
  </w:num>
  <w:num w:numId="25">
    <w:abstractNumId w:val="4"/>
  </w:num>
  <w:num w:numId="26">
    <w:abstractNumId w:val="20"/>
  </w:num>
  <w:num w:numId="27">
    <w:abstractNumId w:val="5"/>
  </w:num>
  <w:num w:numId="28">
    <w:abstractNumId w:val="0"/>
  </w:num>
  <w:num w:numId="29">
    <w:abstractNumId w:val="1"/>
  </w:num>
  <w:num w:numId="30">
    <w:abstractNumId w:val="10"/>
  </w:num>
  <w:num w:numId="31">
    <w:abstractNumId w:val="9"/>
  </w:num>
  <w:num w:numId="32">
    <w:abstractNumId w:val="7"/>
  </w:num>
  <w:num w:numId="33">
    <w:abstractNumId w:val="2"/>
  </w:num>
  <w:num w:numId="34">
    <w:abstractNumId w:val="3"/>
  </w:num>
  <w:num w:numId="35">
    <w:abstractNumId w:val="21"/>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17409"/>
  </w:hdrShapeDefaults>
  <w:footnotePr>
    <w:footnote w:id="-1"/>
    <w:footnote w:id="0"/>
  </w:footnotePr>
  <w:endnotePr>
    <w:endnote w:id="-1"/>
    <w:endnote w:id="0"/>
  </w:endnotePr>
  <w:compat/>
  <w:docVars>
    <w:docVar w:name="_AMO_XmlVersion" w:val="Empty"/>
  </w:docVars>
  <w:rsids>
    <w:rsidRoot w:val="00B20E32"/>
    <w:rsid w:val="00003F8D"/>
    <w:rsid w:val="0001392C"/>
    <w:rsid w:val="000179CD"/>
    <w:rsid w:val="00017B50"/>
    <w:rsid w:val="00062FCA"/>
    <w:rsid w:val="00062FEE"/>
    <w:rsid w:val="00091CA3"/>
    <w:rsid w:val="00095FD2"/>
    <w:rsid w:val="000C27C9"/>
    <w:rsid w:val="000C429A"/>
    <w:rsid w:val="000C4A8C"/>
    <w:rsid w:val="000E008C"/>
    <w:rsid w:val="000E2110"/>
    <w:rsid w:val="000F7216"/>
    <w:rsid w:val="00117D9A"/>
    <w:rsid w:val="00131E34"/>
    <w:rsid w:val="0014476B"/>
    <w:rsid w:val="00144778"/>
    <w:rsid w:val="00146BFE"/>
    <w:rsid w:val="00155E40"/>
    <w:rsid w:val="001608EE"/>
    <w:rsid w:val="00187EB0"/>
    <w:rsid w:val="001C4624"/>
    <w:rsid w:val="001D3ECA"/>
    <w:rsid w:val="001F7CC5"/>
    <w:rsid w:val="00203664"/>
    <w:rsid w:val="00213982"/>
    <w:rsid w:val="002203EB"/>
    <w:rsid w:val="00231A76"/>
    <w:rsid w:val="0024349F"/>
    <w:rsid w:val="00244BFA"/>
    <w:rsid w:val="00251A09"/>
    <w:rsid w:val="002579A8"/>
    <w:rsid w:val="00263506"/>
    <w:rsid w:val="00266FD1"/>
    <w:rsid w:val="0028365C"/>
    <w:rsid w:val="0028793B"/>
    <w:rsid w:val="002B50E0"/>
    <w:rsid w:val="002E3573"/>
    <w:rsid w:val="002F498F"/>
    <w:rsid w:val="00302191"/>
    <w:rsid w:val="00337FB4"/>
    <w:rsid w:val="00341E1F"/>
    <w:rsid w:val="003442A6"/>
    <w:rsid w:val="00346140"/>
    <w:rsid w:val="00354A6A"/>
    <w:rsid w:val="00362769"/>
    <w:rsid w:val="0038604E"/>
    <w:rsid w:val="00396C63"/>
    <w:rsid w:val="003A5541"/>
    <w:rsid w:val="003A5DEB"/>
    <w:rsid w:val="003A5EEC"/>
    <w:rsid w:val="003A6F0D"/>
    <w:rsid w:val="003B2489"/>
    <w:rsid w:val="003B6572"/>
    <w:rsid w:val="003B6B56"/>
    <w:rsid w:val="003C1F74"/>
    <w:rsid w:val="003C54A2"/>
    <w:rsid w:val="003E7492"/>
    <w:rsid w:val="00404AA7"/>
    <w:rsid w:val="004156EA"/>
    <w:rsid w:val="00426B34"/>
    <w:rsid w:val="00446DA2"/>
    <w:rsid w:val="00464B3F"/>
    <w:rsid w:val="00476505"/>
    <w:rsid w:val="004924D1"/>
    <w:rsid w:val="004B2A49"/>
    <w:rsid w:val="004D4A24"/>
    <w:rsid w:val="00506292"/>
    <w:rsid w:val="00516A7D"/>
    <w:rsid w:val="00524ABB"/>
    <w:rsid w:val="0054675D"/>
    <w:rsid w:val="00563984"/>
    <w:rsid w:val="00577984"/>
    <w:rsid w:val="005917F0"/>
    <w:rsid w:val="00592D6C"/>
    <w:rsid w:val="005A0A79"/>
    <w:rsid w:val="005A15EE"/>
    <w:rsid w:val="005B1B73"/>
    <w:rsid w:val="005C2D94"/>
    <w:rsid w:val="005C6750"/>
    <w:rsid w:val="005C6B96"/>
    <w:rsid w:val="005C70DE"/>
    <w:rsid w:val="005C73E1"/>
    <w:rsid w:val="005C785B"/>
    <w:rsid w:val="005D1CAB"/>
    <w:rsid w:val="005D2077"/>
    <w:rsid w:val="005E0A60"/>
    <w:rsid w:val="005F014B"/>
    <w:rsid w:val="005F2C25"/>
    <w:rsid w:val="005F7EDC"/>
    <w:rsid w:val="00602A46"/>
    <w:rsid w:val="00606A6C"/>
    <w:rsid w:val="00620D55"/>
    <w:rsid w:val="006230EE"/>
    <w:rsid w:val="006259EF"/>
    <w:rsid w:val="006444FF"/>
    <w:rsid w:val="00650879"/>
    <w:rsid w:val="00651222"/>
    <w:rsid w:val="0068384A"/>
    <w:rsid w:val="006A1C11"/>
    <w:rsid w:val="006A2FD5"/>
    <w:rsid w:val="006A648B"/>
    <w:rsid w:val="006B41A4"/>
    <w:rsid w:val="006D40CA"/>
    <w:rsid w:val="006D7E23"/>
    <w:rsid w:val="006E2775"/>
    <w:rsid w:val="006E45C4"/>
    <w:rsid w:val="006E7DCA"/>
    <w:rsid w:val="006F1EA9"/>
    <w:rsid w:val="006F4C26"/>
    <w:rsid w:val="006F52D3"/>
    <w:rsid w:val="0070398D"/>
    <w:rsid w:val="007165C1"/>
    <w:rsid w:val="00740536"/>
    <w:rsid w:val="00743B63"/>
    <w:rsid w:val="007526B2"/>
    <w:rsid w:val="0075335A"/>
    <w:rsid w:val="00753916"/>
    <w:rsid w:val="0075402D"/>
    <w:rsid w:val="00762DD3"/>
    <w:rsid w:val="00763331"/>
    <w:rsid w:val="00771688"/>
    <w:rsid w:val="00775B86"/>
    <w:rsid w:val="00784DA1"/>
    <w:rsid w:val="00786423"/>
    <w:rsid w:val="007A70EA"/>
    <w:rsid w:val="007B4893"/>
    <w:rsid w:val="007C383E"/>
    <w:rsid w:val="007D1A38"/>
    <w:rsid w:val="007E7629"/>
    <w:rsid w:val="007F0293"/>
    <w:rsid w:val="008018D1"/>
    <w:rsid w:val="00813B49"/>
    <w:rsid w:val="008200BA"/>
    <w:rsid w:val="00822D78"/>
    <w:rsid w:val="008265C0"/>
    <w:rsid w:val="00827438"/>
    <w:rsid w:val="008417B0"/>
    <w:rsid w:val="0086171C"/>
    <w:rsid w:val="0086564E"/>
    <w:rsid w:val="00865C89"/>
    <w:rsid w:val="00880BCE"/>
    <w:rsid w:val="008E3982"/>
    <w:rsid w:val="00914B30"/>
    <w:rsid w:val="00920CF8"/>
    <w:rsid w:val="00926C6F"/>
    <w:rsid w:val="00950295"/>
    <w:rsid w:val="009645E1"/>
    <w:rsid w:val="009679CB"/>
    <w:rsid w:val="00995C0C"/>
    <w:rsid w:val="00996D1B"/>
    <w:rsid w:val="009979CD"/>
    <w:rsid w:val="009A15A1"/>
    <w:rsid w:val="009D048E"/>
    <w:rsid w:val="009E7A20"/>
    <w:rsid w:val="009F2248"/>
    <w:rsid w:val="009F3AAE"/>
    <w:rsid w:val="00A04496"/>
    <w:rsid w:val="00A319A0"/>
    <w:rsid w:val="00A465CA"/>
    <w:rsid w:val="00A55CF6"/>
    <w:rsid w:val="00A611D1"/>
    <w:rsid w:val="00A6149C"/>
    <w:rsid w:val="00A65658"/>
    <w:rsid w:val="00A800A1"/>
    <w:rsid w:val="00A94B21"/>
    <w:rsid w:val="00A96F39"/>
    <w:rsid w:val="00AB4DB7"/>
    <w:rsid w:val="00AD11A2"/>
    <w:rsid w:val="00AE571E"/>
    <w:rsid w:val="00AE7F45"/>
    <w:rsid w:val="00B20E32"/>
    <w:rsid w:val="00B21CD4"/>
    <w:rsid w:val="00B3269C"/>
    <w:rsid w:val="00B330CE"/>
    <w:rsid w:val="00B35A7D"/>
    <w:rsid w:val="00B370B8"/>
    <w:rsid w:val="00B37980"/>
    <w:rsid w:val="00B46D1E"/>
    <w:rsid w:val="00B537D1"/>
    <w:rsid w:val="00B70D51"/>
    <w:rsid w:val="00B97502"/>
    <w:rsid w:val="00BA095A"/>
    <w:rsid w:val="00BA4E5E"/>
    <w:rsid w:val="00BB0268"/>
    <w:rsid w:val="00BD042F"/>
    <w:rsid w:val="00BD6806"/>
    <w:rsid w:val="00BE0C69"/>
    <w:rsid w:val="00BE55DB"/>
    <w:rsid w:val="00C00797"/>
    <w:rsid w:val="00C31522"/>
    <w:rsid w:val="00C320CF"/>
    <w:rsid w:val="00C422D6"/>
    <w:rsid w:val="00C65261"/>
    <w:rsid w:val="00C7441B"/>
    <w:rsid w:val="00C8793C"/>
    <w:rsid w:val="00C923F9"/>
    <w:rsid w:val="00C95F68"/>
    <w:rsid w:val="00CB16E1"/>
    <w:rsid w:val="00CB4CEE"/>
    <w:rsid w:val="00CC1AEB"/>
    <w:rsid w:val="00CC5523"/>
    <w:rsid w:val="00CC585A"/>
    <w:rsid w:val="00CC7190"/>
    <w:rsid w:val="00CF3252"/>
    <w:rsid w:val="00CF5A35"/>
    <w:rsid w:val="00D04C30"/>
    <w:rsid w:val="00D10B26"/>
    <w:rsid w:val="00D13716"/>
    <w:rsid w:val="00D236DC"/>
    <w:rsid w:val="00D37B51"/>
    <w:rsid w:val="00D414FC"/>
    <w:rsid w:val="00D75A7E"/>
    <w:rsid w:val="00DA690B"/>
    <w:rsid w:val="00DC24FF"/>
    <w:rsid w:val="00DD698D"/>
    <w:rsid w:val="00DF5D9B"/>
    <w:rsid w:val="00E17C2E"/>
    <w:rsid w:val="00E237D4"/>
    <w:rsid w:val="00E40365"/>
    <w:rsid w:val="00E464F7"/>
    <w:rsid w:val="00E472FC"/>
    <w:rsid w:val="00E56339"/>
    <w:rsid w:val="00E62597"/>
    <w:rsid w:val="00E633E4"/>
    <w:rsid w:val="00E648BA"/>
    <w:rsid w:val="00E729A6"/>
    <w:rsid w:val="00E800D0"/>
    <w:rsid w:val="00E83199"/>
    <w:rsid w:val="00EA109D"/>
    <w:rsid w:val="00EA67F2"/>
    <w:rsid w:val="00EB55B3"/>
    <w:rsid w:val="00EC02BD"/>
    <w:rsid w:val="00ED2310"/>
    <w:rsid w:val="00ED5852"/>
    <w:rsid w:val="00ED7314"/>
    <w:rsid w:val="00EE2B45"/>
    <w:rsid w:val="00EE69C5"/>
    <w:rsid w:val="00EF35EA"/>
    <w:rsid w:val="00F0750F"/>
    <w:rsid w:val="00F46D7C"/>
    <w:rsid w:val="00F543B0"/>
    <w:rsid w:val="00F55AE2"/>
    <w:rsid w:val="00F70F8B"/>
    <w:rsid w:val="00F754DA"/>
    <w:rsid w:val="00F927B5"/>
    <w:rsid w:val="00FA0914"/>
    <w:rsid w:val="00FC257C"/>
    <w:rsid w:val="00FC5EE5"/>
    <w:rsid w:val="00FE3F73"/>
    <w:rsid w:val="00FF2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ABB"/>
    <w:rPr>
      <w:sz w:val="24"/>
      <w:szCs w:val="24"/>
    </w:rPr>
  </w:style>
  <w:style w:type="paragraph" w:styleId="Heading1">
    <w:name w:val="heading 1"/>
    <w:basedOn w:val="Normal"/>
    <w:next w:val="Normal"/>
    <w:qFormat/>
    <w:rsid w:val="00524A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4ABB"/>
    <w:pPr>
      <w:keepNext/>
      <w:spacing w:before="120"/>
      <w:outlineLvl w:val="1"/>
    </w:pPr>
    <w:rPr>
      <w:rFonts w:ascii="Arial" w:hAnsi="Arial" w:cs="Arial"/>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4ABB"/>
    <w:pPr>
      <w:tabs>
        <w:tab w:val="center" w:pos="4320"/>
        <w:tab w:val="right" w:pos="8640"/>
      </w:tabs>
    </w:pPr>
  </w:style>
  <w:style w:type="paragraph" w:styleId="Footer">
    <w:name w:val="footer"/>
    <w:basedOn w:val="Normal"/>
    <w:rsid w:val="00524ABB"/>
    <w:pPr>
      <w:tabs>
        <w:tab w:val="center" w:pos="4320"/>
        <w:tab w:val="right" w:pos="8640"/>
      </w:tabs>
    </w:pPr>
  </w:style>
  <w:style w:type="character" w:styleId="PageNumber">
    <w:name w:val="page number"/>
    <w:basedOn w:val="DefaultParagraphFont"/>
    <w:rsid w:val="00524ABB"/>
  </w:style>
  <w:style w:type="paragraph" w:styleId="BalloonText">
    <w:name w:val="Balloon Text"/>
    <w:basedOn w:val="Normal"/>
    <w:semiHidden/>
    <w:rsid w:val="00524ABB"/>
    <w:rPr>
      <w:rFonts w:ascii="Tahoma" w:hAnsi="Tahoma" w:cs="Tahoma"/>
      <w:sz w:val="16"/>
      <w:szCs w:val="16"/>
    </w:rPr>
  </w:style>
  <w:style w:type="paragraph" w:styleId="HTMLPreformatted">
    <w:name w:val="HTML Preformatted"/>
    <w:basedOn w:val="Normal"/>
    <w:rsid w:val="00524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uiPriority w:val="22"/>
    <w:qFormat/>
    <w:rsid w:val="00524ABB"/>
    <w:rPr>
      <w:b/>
      <w:bCs/>
    </w:rPr>
  </w:style>
  <w:style w:type="paragraph" w:styleId="NormalWeb">
    <w:name w:val="Normal (Web)"/>
    <w:basedOn w:val="Normal"/>
    <w:rsid w:val="00524ABB"/>
    <w:pPr>
      <w:spacing w:before="100" w:beforeAutospacing="1" w:after="100" w:afterAutospacing="1" w:line="288" w:lineRule="atLeast"/>
    </w:pPr>
    <w:rPr>
      <w:rFonts w:ascii="Verdana" w:hAnsi="Verdana"/>
      <w:sz w:val="18"/>
      <w:szCs w:val="18"/>
    </w:rPr>
  </w:style>
  <w:style w:type="character" w:styleId="CommentReference">
    <w:name w:val="annotation reference"/>
    <w:basedOn w:val="DefaultParagraphFont"/>
    <w:semiHidden/>
    <w:rsid w:val="00524ABB"/>
    <w:rPr>
      <w:sz w:val="16"/>
      <w:szCs w:val="16"/>
    </w:rPr>
  </w:style>
  <w:style w:type="paragraph" w:styleId="CommentText">
    <w:name w:val="annotation text"/>
    <w:basedOn w:val="Normal"/>
    <w:semiHidden/>
    <w:rsid w:val="00524ABB"/>
    <w:rPr>
      <w:sz w:val="20"/>
      <w:szCs w:val="20"/>
    </w:rPr>
  </w:style>
  <w:style w:type="paragraph" w:styleId="CommentSubject">
    <w:name w:val="annotation subject"/>
    <w:basedOn w:val="CommentText"/>
    <w:next w:val="CommentText"/>
    <w:semiHidden/>
    <w:rsid w:val="00524ABB"/>
    <w:rPr>
      <w:b/>
      <w:bCs/>
    </w:rPr>
  </w:style>
  <w:style w:type="paragraph" w:styleId="ListParagraph">
    <w:name w:val="List Paragraph"/>
    <w:basedOn w:val="Normal"/>
    <w:uiPriority w:val="34"/>
    <w:qFormat/>
    <w:rsid w:val="00B3269C"/>
    <w:pPr>
      <w:spacing w:after="200" w:line="276" w:lineRule="auto"/>
      <w:ind w:left="720"/>
      <w:contextualSpacing/>
    </w:pPr>
    <w:rPr>
      <w:rFonts w:ascii="Calibri" w:eastAsia="Calibri" w:hAnsi="Calibri"/>
      <w:sz w:val="22"/>
      <w:szCs w:val="22"/>
    </w:rPr>
  </w:style>
  <w:style w:type="character" w:customStyle="1" w:styleId="st">
    <w:name w:val="st"/>
    <w:basedOn w:val="DefaultParagraphFont"/>
    <w:rsid w:val="00A611D1"/>
  </w:style>
  <w:style w:type="character" w:styleId="Emphasis">
    <w:name w:val="Emphasis"/>
    <w:basedOn w:val="DefaultParagraphFont"/>
    <w:uiPriority w:val="20"/>
    <w:qFormat/>
    <w:rsid w:val="00A611D1"/>
    <w:rPr>
      <w:i/>
      <w:iCs/>
    </w:rPr>
  </w:style>
  <w:style w:type="table" w:styleId="TableGrid">
    <w:name w:val="Table Grid"/>
    <w:basedOn w:val="TableNormal"/>
    <w:rsid w:val="003A5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96F39"/>
    <w:rPr>
      <w:sz w:val="24"/>
      <w:szCs w:val="24"/>
    </w:rPr>
  </w:style>
  <w:style w:type="paragraph" w:styleId="PlainText">
    <w:name w:val="Plain Text"/>
    <w:basedOn w:val="Normal"/>
    <w:link w:val="PlainTextChar"/>
    <w:uiPriority w:val="99"/>
    <w:unhideWhenUsed/>
    <w:rsid w:val="009645E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645E1"/>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432020180">
      <w:bodyDiv w:val="1"/>
      <w:marLeft w:val="0"/>
      <w:marRight w:val="0"/>
      <w:marTop w:val="0"/>
      <w:marBottom w:val="0"/>
      <w:divBdr>
        <w:top w:val="none" w:sz="0" w:space="0" w:color="auto"/>
        <w:left w:val="none" w:sz="0" w:space="0" w:color="auto"/>
        <w:bottom w:val="none" w:sz="0" w:space="0" w:color="auto"/>
        <w:right w:val="none" w:sz="0" w:space="0" w:color="auto"/>
      </w:divBdr>
    </w:div>
    <w:div w:id="839539678">
      <w:bodyDiv w:val="1"/>
      <w:marLeft w:val="0"/>
      <w:marRight w:val="0"/>
      <w:marTop w:val="0"/>
      <w:marBottom w:val="0"/>
      <w:divBdr>
        <w:top w:val="none" w:sz="0" w:space="0" w:color="auto"/>
        <w:left w:val="none" w:sz="0" w:space="0" w:color="auto"/>
        <w:bottom w:val="none" w:sz="0" w:space="0" w:color="auto"/>
        <w:right w:val="none" w:sz="0" w:space="0" w:color="auto"/>
      </w:divBdr>
      <w:divsChild>
        <w:div w:id="698703300">
          <w:marLeft w:val="547"/>
          <w:marRight w:val="0"/>
          <w:marTop w:val="77"/>
          <w:marBottom w:val="0"/>
          <w:divBdr>
            <w:top w:val="none" w:sz="0" w:space="0" w:color="auto"/>
            <w:left w:val="none" w:sz="0" w:space="0" w:color="auto"/>
            <w:bottom w:val="none" w:sz="0" w:space="0" w:color="auto"/>
            <w:right w:val="none" w:sz="0" w:space="0" w:color="auto"/>
          </w:divBdr>
        </w:div>
        <w:div w:id="1395351072">
          <w:marLeft w:val="547"/>
          <w:marRight w:val="0"/>
          <w:marTop w:val="77"/>
          <w:marBottom w:val="0"/>
          <w:divBdr>
            <w:top w:val="none" w:sz="0" w:space="0" w:color="auto"/>
            <w:left w:val="none" w:sz="0" w:space="0" w:color="auto"/>
            <w:bottom w:val="none" w:sz="0" w:space="0" w:color="auto"/>
            <w:right w:val="none" w:sz="0" w:space="0" w:color="auto"/>
          </w:divBdr>
        </w:div>
        <w:div w:id="211380582">
          <w:marLeft w:val="547"/>
          <w:marRight w:val="0"/>
          <w:marTop w:val="77"/>
          <w:marBottom w:val="0"/>
          <w:divBdr>
            <w:top w:val="none" w:sz="0" w:space="0" w:color="auto"/>
            <w:left w:val="none" w:sz="0" w:space="0" w:color="auto"/>
            <w:bottom w:val="none" w:sz="0" w:space="0" w:color="auto"/>
            <w:right w:val="none" w:sz="0" w:space="0" w:color="auto"/>
          </w:divBdr>
        </w:div>
        <w:div w:id="582841007">
          <w:marLeft w:val="547"/>
          <w:marRight w:val="0"/>
          <w:marTop w:val="77"/>
          <w:marBottom w:val="0"/>
          <w:divBdr>
            <w:top w:val="none" w:sz="0" w:space="0" w:color="auto"/>
            <w:left w:val="none" w:sz="0" w:space="0" w:color="auto"/>
            <w:bottom w:val="none" w:sz="0" w:space="0" w:color="auto"/>
            <w:right w:val="none" w:sz="0" w:space="0" w:color="auto"/>
          </w:divBdr>
        </w:div>
        <w:div w:id="1178228171">
          <w:marLeft w:val="547"/>
          <w:marRight w:val="0"/>
          <w:marTop w:val="77"/>
          <w:marBottom w:val="0"/>
          <w:divBdr>
            <w:top w:val="none" w:sz="0" w:space="0" w:color="auto"/>
            <w:left w:val="none" w:sz="0" w:space="0" w:color="auto"/>
            <w:bottom w:val="none" w:sz="0" w:space="0" w:color="auto"/>
            <w:right w:val="none" w:sz="0" w:space="0" w:color="auto"/>
          </w:divBdr>
        </w:div>
        <w:div w:id="1632789293">
          <w:marLeft w:val="547"/>
          <w:marRight w:val="0"/>
          <w:marTop w:val="77"/>
          <w:marBottom w:val="0"/>
          <w:divBdr>
            <w:top w:val="none" w:sz="0" w:space="0" w:color="auto"/>
            <w:left w:val="none" w:sz="0" w:space="0" w:color="auto"/>
            <w:bottom w:val="none" w:sz="0" w:space="0" w:color="auto"/>
            <w:right w:val="none" w:sz="0" w:space="0" w:color="auto"/>
          </w:divBdr>
        </w:div>
        <w:div w:id="1830487504">
          <w:marLeft w:val="547"/>
          <w:marRight w:val="0"/>
          <w:marTop w:val="77"/>
          <w:marBottom w:val="0"/>
          <w:divBdr>
            <w:top w:val="none" w:sz="0" w:space="0" w:color="auto"/>
            <w:left w:val="none" w:sz="0" w:space="0" w:color="auto"/>
            <w:bottom w:val="none" w:sz="0" w:space="0" w:color="auto"/>
            <w:right w:val="none" w:sz="0" w:space="0" w:color="auto"/>
          </w:divBdr>
        </w:div>
        <w:div w:id="2061660857">
          <w:marLeft w:val="547"/>
          <w:marRight w:val="0"/>
          <w:marTop w:val="77"/>
          <w:marBottom w:val="0"/>
          <w:divBdr>
            <w:top w:val="none" w:sz="0" w:space="0" w:color="auto"/>
            <w:left w:val="none" w:sz="0" w:space="0" w:color="auto"/>
            <w:bottom w:val="none" w:sz="0" w:space="0" w:color="auto"/>
            <w:right w:val="none" w:sz="0" w:space="0" w:color="auto"/>
          </w:divBdr>
        </w:div>
        <w:div w:id="1223445984">
          <w:marLeft w:val="547"/>
          <w:marRight w:val="0"/>
          <w:marTop w:val="77"/>
          <w:marBottom w:val="0"/>
          <w:divBdr>
            <w:top w:val="none" w:sz="0" w:space="0" w:color="auto"/>
            <w:left w:val="none" w:sz="0" w:space="0" w:color="auto"/>
            <w:bottom w:val="none" w:sz="0" w:space="0" w:color="auto"/>
            <w:right w:val="none" w:sz="0" w:space="0" w:color="auto"/>
          </w:divBdr>
        </w:div>
        <w:div w:id="703335835">
          <w:marLeft w:val="547"/>
          <w:marRight w:val="0"/>
          <w:marTop w:val="77"/>
          <w:marBottom w:val="0"/>
          <w:divBdr>
            <w:top w:val="none" w:sz="0" w:space="0" w:color="auto"/>
            <w:left w:val="none" w:sz="0" w:space="0" w:color="auto"/>
            <w:bottom w:val="none" w:sz="0" w:space="0" w:color="auto"/>
            <w:right w:val="none" w:sz="0" w:space="0" w:color="auto"/>
          </w:divBdr>
        </w:div>
        <w:div w:id="2044554659">
          <w:marLeft w:val="547"/>
          <w:marRight w:val="0"/>
          <w:marTop w:val="77"/>
          <w:marBottom w:val="0"/>
          <w:divBdr>
            <w:top w:val="none" w:sz="0" w:space="0" w:color="auto"/>
            <w:left w:val="none" w:sz="0" w:space="0" w:color="auto"/>
            <w:bottom w:val="none" w:sz="0" w:space="0" w:color="auto"/>
            <w:right w:val="none" w:sz="0" w:space="0" w:color="auto"/>
          </w:divBdr>
        </w:div>
      </w:divsChild>
    </w:div>
    <w:div w:id="853882144">
      <w:bodyDiv w:val="1"/>
      <w:marLeft w:val="0"/>
      <w:marRight w:val="0"/>
      <w:marTop w:val="0"/>
      <w:marBottom w:val="0"/>
      <w:divBdr>
        <w:top w:val="none" w:sz="0" w:space="0" w:color="auto"/>
        <w:left w:val="none" w:sz="0" w:space="0" w:color="auto"/>
        <w:bottom w:val="none" w:sz="0" w:space="0" w:color="auto"/>
        <w:right w:val="none" w:sz="0" w:space="0" w:color="auto"/>
      </w:divBdr>
    </w:div>
    <w:div w:id="858815952">
      <w:bodyDiv w:val="1"/>
      <w:marLeft w:val="0"/>
      <w:marRight w:val="0"/>
      <w:marTop w:val="0"/>
      <w:marBottom w:val="0"/>
      <w:divBdr>
        <w:top w:val="none" w:sz="0" w:space="0" w:color="auto"/>
        <w:left w:val="none" w:sz="0" w:space="0" w:color="auto"/>
        <w:bottom w:val="none" w:sz="0" w:space="0" w:color="auto"/>
        <w:right w:val="none" w:sz="0" w:space="0" w:color="auto"/>
      </w:divBdr>
    </w:div>
    <w:div w:id="894195144">
      <w:bodyDiv w:val="1"/>
      <w:marLeft w:val="0"/>
      <w:marRight w:val="0"/>
      <w:marTop w:val="0"/>
      <w:marBottom w:val="0"/>
      <w:divBdr>
        <w:top w:val="none" w:sz="0" w:space="0" w:color="auto"/>
        <w:left w:val="none" w:sz="0" w:space="0" w:color="auto"/>
        <w:bottom w:val="none" w:sz="0" w:space="0" w:color="auto"/>
        <w:right w:val="none" w:sz="0" w:space="0" w:color="auto"/>
      </w:divBdr>
    </w:div>
    <w:div w:id="943270945">
      <w:bodyDiv w:val="1"/>
      <w:marLeft w:val="0"/>
      <w:marRight w:val="0"/>
      <w:marTop w:val="0"/>
      <w:marBottom w:val="0"/>
      <w:divBdr>
        <w:top w:val="none" w:sz="0" w:space="0" w:color="auto"/>
        <w:left w:val="none" w:sz="0" w:space="0" w:color="auto"/>
        <w:bottom w:val="none" w:sz="0" w:space="0" w:color="auto"/>
        <w:right w:val="none" w:sz="0" w:space="0" w:color="auto"/>
      </w:divBdr>
    </w:div>
    <w:div w:id="1017579310">
      <w:bodyDiv w:val="1"/>
      <w:marLeft w:val="0"/>
      <w:marRight w:val="0"/>
      <w:marTop w:val="0"/>
      <w:marBottom w:val="0"/>
      <w:divBdr>
        <w:top w:val="none" w:sz="0" w:space="0" w:color="auto"/>
        <w:left w:val="none" w:sz="0" w:space="0" w:color="auto"/>
        <w:bottom w:val="none" w:sz="0" w:space="0" w:color="auto"/>
        <w:right w:val="none" w:sz="0" w:space="0" w:color="auto"/>
      </w:divBdr>
      <w:divsChild>
        <w:div w:id="440875690">
          <w:marLeft w:val="1166"/>
          <w:marRight w:val="0"/>
          <w:marTop w:val="86"/>
          <w:marBottom w:val="0"/>
          <w:divBdr>
            <w:top w:val="none" w:sz="0" w:space="0" w:color="auto"/>
            <w:left w:val="none" w:sz="0" w:space="0" w:color="auto"/>
            <w:bottom w:val="none" w:sz="0" w:space="0" w:color="auto"/>
            <w:right w:val="none" w:sz="0" w:space="0" w:color="auto"/>
          </w:divBdr>
        </w:div>
        <w:div w:id="324670778">
          <w:marLeft w:val="1166"/>
          <w:marRight w:val="0"/>
          <w:marTop w:val="86"/>
          <w:marBottom w:val="0"/>
          <w:divBdr>
            <w:top w:val="none" w:sz="0" w:space="0" w:color="auto"/>
            <w:left w:val="none" w:sz="0" w:space="0" w:color="auto"/>
            <w:bottom w:val="none" w:sz="0" w:space="0" w:color="auto"/>
            <w:right w:val="none" w:sz="0" w:space="0" w:color="auto"/>
          </w:divBdr>
        </w:div>
        <w:div w:id="1611352876">
          <w:marLeft w:val="1166"/>
          <w:marRight w:val="0"/>
          <w:marTop w:val="86"/>
          <w:marBottom w:val="0"/>
          <w:divBdr>
            <w:top w:val="none" w:sz="0" w:space="0" w:color="auto"/>
            <w:left w:val="none" w:sz="0" w:space="0" w:color="auto"/>
            <w:bottom w:val="none" w:sz="0" w:space="0" w:color="auto"/>
            <w:right w:val="none" w:sz="0" w:space="0" w:color="auto"/>
          </w:divBdr>
        </w:div>
        <w:div w:id="1897007978">
          <w:marLeft w:val="1166"/>
          <w:marRight w:val="0"/>
          <w:marTop w:val="86"/>
          <w:marBottom w:val="0"/>
          <w:divBdr>
            <w:top w:val="none" w:sz="0" w:space="0" w:color="auto"/>
            <w:left w:val="none" w:sz="0" w:space="0" w:color="auto"/>
            <w:bottom w:val="none" w:sz="0" w:space="0" w:color="auto"/>
            <w:right w:val="none" w:sz="0" w:space="0" w:color="auto"/>
          </w:divBdr>
        </w:div>
        <w:div w:id="1518275596">
          <w:marLeft w:val="1166"/>
          <w:marRight w:val="0"/>
          <w:marTop w:val="86"/>
          <w:marBottom w:val="0"/>
          <w:divBdr>
            <w:top w:val="none" w:sz="0" w:space="0" w:color="auto"/>
            <w:left w:val="none" w:sz="0" w:space="0" w:color="auto"/>
            <w:bottom w:val="none" w:sz="0" w:space="0" w:color="auto"/>
            <w:right w:val="none" w:sz="0" w:space="0" w:color="auto"/>
          </w:divBdr>
        </w:div>
      </w:divsChild>
    </w:div>
    <w:div w:id="1243638195">
      <w:bodyDiv w:val="1"/>
      <w:marLeft w:val="0"/>
      <w:marRight w:val="0"/>
      <w:marTop w:val="0"/>
      <w:marBottom w:val="0"/>
      <w:divBdr>
        <w:top w:val="none" w:sz="0" w:space="0" w:color="auto"/>
        <w:left w:val="none" w:sz="0" w:space="0" w:color="auto"/>
        <w:bottom w:val="none" w:sz="0" w:space="0" w:color="auto"/>
        <w:right w:val="none" w:sz="0" w:space="0" w:color="auto"/>
      </w:divBdr>
    </w:div>
    <w:div w:id="1477911699">
      <w:bodyDiv w:val="1"/>
      <w:marLeft w:val="0"/>
      <w:marRight w:val="0"/>
      <w:marTop w:val="0"/>
      <w:marBottom w:val="0"/>
      <w:divBdr>
        <w:top w:val="none" w:sz="0" w:space="0" w:color="auto"/>
        <w:left w:val="none" w:sz="0" w:space="0" w:color="auto"/>
        <w:bottom w:val="none" w:sz="0" w:space="0" w:color="auto"/>
        <w:right w:val="none" w:sz="0" w:space="0" w:color="auto"/>
      </w:divBdr>
    </w:div>
    <w:div w:id="1686521836">
      <w:bodyDiv w:val="1"/>
      <w:marLeft w:val="0"/>
      <w:marRight w:val="0"/>
      <w:marTop w:val="0"/>
      <w:marBottom w:val="0"/>
      <w:divBdr>
        <w:top w:val="none" w:sz="0" w:space="0" w:color="auto"/>
        <w:left w:val="none" w:sz="0" w:space="0" w:color="auto"/>
        <w:bottom w:val="none" w:sz="0" w:space="0" w:color="auto"/>
        <w:right w:val="none" w:sz="0" w:space="0" w:color="auto"/>
      </w:divBdr>
    </w:div>
    <w:div w:id="1875265295">
      <w:bodyDiv w:val="1"/>
      <w:marLeft w:val="0"/>
      <w:marRight w:val="0"/>
      <w:marTop w:val="0"/>
      <w:marBottom w:val="0"/>
      <w:divBdr>
        <w:top w:val="none" w:sz="0" w:space="0" w:color="auto"/>
        <w:left w:val="none" w:sz="0" w:space="0" w:color="auto"/>
        <w:bottom w:val="none" w:sz="0" w:space="0" w:color="auto"/>
        <w:right w:val="none" w:sz="0" w:space="0" w:color="auto"/>
      </w:divBdr>
    </w:div>
    <w:div w:id="19522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2D1D-0F74-4FF0-B2A3-98E281BC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6416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Next Steps – American Health Information Community</vt:lpstr>
    </vt:vector>
  </TitlesOfParts>
  <Company>DHHS</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 American Health Information Community</dc:title>
  <dc:subject/>
  <dc:creator>USER</dc:creator>
  <cp:keywords/>
  <dc:description/>
  <cp:lastModifiedBy>Caitlin Collins</cp:lastModifiedBy>
  <cp:revision>2</cp:revision>
  <cp:lastPrinted>2012-05-24T14:05:00Z</cp:lastPrinted>
  <dcterms:created xsi:type="dcterms:W3CDTF">2013-04-18T20:47:00Z</dcterms:created>
  <dcterms:modified xsi:type="dcterms:W3CDTF">2013-04-18T20:47:00Z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