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245" w:rsidRDefault="00DD23E6" w:rsidP="00C2780B">
      <w:bookmarkStart w:id="0" w:name="_GoBack"/>
      <w:bookmarkEnd w:id="0"/>
      <w:r w:rsidRPr="00466CB5">
        <w:rPr>
          <w:noProof/>
        </w:rPr>
        <w:drawing>
          <wp:anchor distT="0" distB="0" distL="114300" distR="114300" simplePos="0" relativeHeight="251663360" behindDoc="1" locked="0" layoutInCell="1" allowOverlap="1" wp14:anchorId="67EB9C6A" wp14:editId="54DC6ECA">
            <wp:simplePos x="0" y="0"/>
            <wp:positionH relativeFrom="column">
              <wp:posOffset>-464820</wp:posOffset>
            </wp:positionH>
            <wp:positionV relativeFrom="paragraph">
              <wp:posOffset>-465826</wp:posOffset>
            </wp:positionV>
            <wp:extent cx="7845425" cy="1530985"/>
            <wp:effectExtent l="0" t="0" r="3175" b="0"/>
            <wp:wrapNone/>
            <wp:docPr id="5" name="Picture 4" descr="ONC_HITP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_HITPC_Header.JPG"/>
                    <pic:cNvPicPr/>
                  </pic:nvPicPr>
                  <pic:blipFill>
                    <a:blip r:embed="rId9" cstate="print"/>
                    <a:stretch>
                      <a:fillRect/>
                    </a:stretch>
                  </pic:blipFill>
                  <pic:spPr>
                    <a:xfrm>
                      <a:off x="0" y="0"/>
                      <a:ext cx="7845425" cy="1530985"/>
                    </a:xfrm>
                    <a:prstGeom prst="rect">
                      <a:avLst/>
                    </a:prstGeom>
                  </pic:spPr>
                </pic:pic>
              </a:graphicData>
            </a:graphic>
          </wp:anchor>
        </w:drawing>
      </w:r>
    </w:p>
    <w:p w:rsidR="00082F32" w:rsidRDefault="00082F32"/>
    <w:p w:rsidR="00082F32" w:rsidRDefault="00082F32"/>
    <w:p w:rsidR="00082F32" w:rsidRDefault="00D360DC">
      <w:r w:rsidRPr="00011C20">
        <w:rPr>
          <w:noProof/>
        </w:rPr>
        <mc:AlternateContent>
          <mc:Choice Requires="wps">
            <w:drawing>
              <wp:anchor distT="0" distB="0" distL="114300" distR="114300" simplePos="0" relativeHeight="251659264" behindDoc="0" locked="0" layoutInCell="1" allowOverlap="1" wp14:anchorId="7E4215FB" wp14:editId="48523AF0">
                <wp:simplePos x="0" y="0"/>
                <wp:positionH relativeFrom="column">
                  <wp:posOffset>-448945</wp:posOffset>
                </wp:positionH>
                <wp:positionV relativeFrom="paragraph">
                  <wp:posOffset>73660</wp:posOffset>
                </wp:positionV>
                <wp:extent cx="7772400" cy="680720"/>
                <wp:effectExtent l="0" t="0" r="0" b="5080"/>
                <wp:wrapNone/>
                <wp:docPr id="4" name="Rectangle 4"/>
                <wp:cNvGraphicFramePr/>
                <a:graphic xmlns:a="http://schemas.openxmlformats.org/drawingml/2006/main">
                  <a:graphicData uri="http://schemas.microsoft.com/office/word/2010/wordprocessingShape">
                    <wps:wsp>
                      <wps:cNvSpPr/>
                      <wps:spPr>
                        <a:xfrm>
                          <a:off x="0" y="0"/>
                          <a:ext cx="7772400" cy="680720"/>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4777BB9E" id="Rectangle 4" o:spid="_x0000_s1026" style="position:absolute;margin-left:-35.35pt;margin-top:5.8pt;width:612pt;height:5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" fillcolor="#eaf1dd [662]" stroked="f" strokeweight="2pt"/>
            </w:pict>
          </mc:Fallback>
        </mc:AlternateContent>
      </w:r>
      <w:r w:rsidRPr="00011C20">
        <w:rPr>
          <w:noProof/>
        </w:rPr>
        <mc:AlternateContent>
          <mc:Choice Requires="wps">
            <w:drawing>
              <wp:anchor distT="0" distB="0" distL="114300" distR="114300" simplePos="0" relativeHeight="251661312" behindDoc="0" locked="0" layoutInCell="1" allowOverlap="1" wp14:anchorId="2966D994" wp14:editId="69B5CB38">
                <wp:simplePos x="0" y="0"/>
                <wp:positionH relativeFrom="column">
                  <wp:posOffset>-345440</wp:posOffset>
                </wp:positionH>
                <wp:positionV relativeFrom="paragraph">
                  <wp:posOffset>82550</wp:posOffset>
                </wp:positionV>
                <wp:extent cx="7059930" cy="67246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9930" cy="672465"/>
                        </a:xfrm>
                        <a:prstGeom prst="rect">
                          <a:avLst/>
                        </a:prstGeom>
                        <a:noFill/>
                        <a:ln w="9525">
                          <a:noFill/>
                          <a:miter lim="800000"/>
                          <a:headEnd/>
                          <a:tailEnd/>
                        </a:ln>
                      </wps:spPr>
                      <wps:txbx>
                        <w:txbxContent>
                          <w:p w:rsidR="00493245" w:rsidRDefault="00493245" w:rsidP="00D360DC">
                            <w:pPr>
                              <w:spacing w:after="0"/>
                              <w:rPr>
                                <w:b/>
                                <w:color w:val="0F243E" w:themeColor="text2" w:themeShade="80"/>
                                <w:sz w:val="40"/>
                                <w:szCs w:val="40"/>
                              </w:rPr>
                            </w:pPr>
                            <w:r>
                              <w:rPr>
                                <w:b/>
                                <w:color w:val="0F243E" w:themeColor="text2" w:themeShade="80"/>
                                <w:sz w:val="40"/>
                                <w:szCs w:val="40"/>
                              </w:rPr>
                              <w:t>Semantic Standards (SS</w:t>
                            </w:r>
                            <w:r w:rsidRPr="00E15487">
                              <w:rPr>
                                <w:b/>
                                <w:color w:val="0F243E" w:themeColor="text2" w:themeShade="80"/>
                                <w:sz w:val="40"/>
                                <w:szCs w:val="40"/>
                              </w:rPr>
                              <w:t>) Workgroup</w:t>
                            </w:r>
                          </w:p>
                          <w:p w:rsidR="00493245" w:rsidRPr="00D360DC" w:rsidRDefault="00493245" w:rsidP="00D360DC">
                            <w:pPr>
                              <w:spacing w:after="0" w:line="240" w:lineRule="auto"/>
                              <w:rPr>
                                <w:b/>
                                <w:color w:val="0F243E" w:themeColor="text2" w:themeShade="80"/>
                                <w:sz w:val="28"/>
                                <w:szCs w:val="28"/>
                              </w:rPr>
                            </w:pPr>
                            <w:r w:rsidRPr="00D360DC">
                              <w:rPr>
                                <w:b/>
                                <w:color w:val="0F243E" w:themeColor="text2" w:themeShade="80"/>
                                <w:sz w:val="28"/>
                                <w:szCs w:val="28"/>
                              </w:rPr>
                              <w:t>Cert</w:t>
                            </w:r>
                            <w:r>
                              <w:rPr>
                                <w:b/>
                                <w:color w:val="0F243E" w:themeColor="text2" w:themeShade="80"/>
                                <w:sz w:val="28"/>
                                <w:szCs w:val="28"/>
                              </w:rPr>
                              <w:t>ification NPRM Comment Template (Group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966D994" id="_x0000_t202" coordsize="21600,21600" o:spt="202" path="m,l,21600r21600,l21600,xe">
                <v:stroke joinstyle="miter"/>
                <v:path gradientshapeok="t" o:connecttype="rect"/>
              </v:shapetype>
              <v:shape id="Text Box 2" o:spid="_x0000_s1026" type="#_x0000_t202" style="position:absolute;margin-left:-27.2pt;margin-top:6.5pt;width:555.9pt;height:5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" filled="f" stroked="f">
                <v:textbox>
                  <w:txbxContent>
                    <w:p w:rsidR="00493245" w:rsidRDefault="00493245" w:rsidP="00D360DC">
                      <w:pPr>
                        <w:spacing w:after="0"/>
                        <w:rPr>
                          <w:b/>
                          <w:color w:val="0F243E" w:themeColor="text2" w:themeShade="80"/>
                          <w:sz w:val="40"/>
                          <w:szCs w:val="40"/>
                        </w:rPr>
                      </w:pPr>
                      <w:r>
                        <w:rPr>
                          <w:b/>
                          <w:color w:val="0F243E" w:themeColor="text2" w:themeShade="80"/>
                          <w:sz w:val="40"/>
                          <w:szCs w:val="40"/>
                        </w:rPr>
                        <w:t>Semantic Standards (SS</w:t>
                      </w:r>
                      <w:r w:rsidRPr="00E15487">
                        <w:rPr>
                          <w:b/>
                          <w:color w:val="0F243E" w:themeColor="text2" w:themeShade="80"/>
                          <w:sz w:val="40"/>
                          <w:szCs w:val="40"/>
                        </w:rPr>
                        <w:t>) Workgroup</w:t>
                      </w:r>
                    </w:p>
                    <w:p w:rsidR="00493245" w:rsidRPr="00D360DC" w:rsidRDefault="00493245" w:rsidP="00D360DC">
                      <w:pPr>
                        <w:spacing w:after="0" w:line="240" w:lineRule="auto"/>
                        <w:rPr>
                          <w:b/>
                          <w:color w:val="0F243E" w:themeColor="text2" w:themeShade="80"/>
                          <w:sz w:val="28"/>
                          <w:szCs w:val="28"/>
                        </w:rPr>
                      </w:pPr>
                      <w:r w:rsidRPr="00D360DC">
                        <w:rPr>
                          <w:b/>
                          <w:color w:val="0F243E" w:themeColor="text2" w:themeShade="80"/>
                          <w:sz w:val="28"/>
                          <w:szCs w:val="28"/>
                        </w:rPr>
                        <w:t>Cert</w:t>
                      </w:r>
                      <w:r>
                        <w:rPr>
                          <w:b/>
                          <w:color w:val="0F243E" w:themeColor="text2" w:themeShade="80"/>
                          <w:sz w:val="28"/>
                          <w:szCs w:val="28"/>
                        </w:rPr>
                        <w:t>ification NPRM Comment Template (Group #2)</w:t>
                      </w:r>
                    </w:p>
                  </w:txbxContent>
                </v:textbox>
              </v:shape>
            </w:pict>
          </mc:Fallback>
        </mc:AlternateContent>
      </w:r>
    </w:p>
    <w:p w:rsidR="00082F32" w:rsidRDefault="00082F32"/>
    <w:p w:rsidR="00CC4C1A" w:rsidRDefault="00CC4C1A"/>
    <w:p w:rsidR="00C86156" w:rsidRDefault="00C86156"/>
    <w:tbl>
      <w:tblPr>
        <w:tblW w:w="5000" w:type="pct"/>
        <w:jc w:val="center"/>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8" w:space="0" w:color="4F6228" w:themeColor="accent3" w:themeShade="80"/>
          <w:insideV w:val="single" w:sz="8" w:space="0" w:color="4F6228" w:themeColor="accent3" w:themeShade="80"/>
        </w:tblBorders>
        <w:tblLook w:val="04A0" w:firstRow="1" w:lastRow="0" w:firstColumn="1" w:lastColumn="0" w:noHBand="0" w:noVBand="1"/>
      </w:tblPr>
      <w:tblGrid>
        <w:gridCol w:w="5508"/>
        <w:gridCol w:w="5508"/>
      </w:tblGrid>
      <w:tr w:rsidR="00957997" w:rsidRPr="00E86D42" w:rsidTr="00C2780B">
        <w:trPr>
          <w:cantSplit/>
          <w:trHeight w:val="296"/>
          <w:tblHeader/>
          <w:jc w:val="center"/>
        </w:trPr>
        <w:tc>
          <w:tcPr>
            <w:tcW w:w="5000" w:type="pct"/>
            <w:gridSpan w:val="2"/>
            <w:shd w:val="clear" w:color="auto" w:fill="D6E3BC" w:themeFill="accent3" w:themeFillTint="66"/>
          </w:tcPr>
          <w:p w:rsidR="00957997" w:rsidRPr="00E86D42" w:rsidRDefault="007D4D0E" w:rsidP="008836BE">
            <w:pPr>
              <w:spacing w:after="0" w:line="240" w:lineRule="auto"/>
              <w:rPr>
                <w:b/>
                <w:bCs/>
                <w:color w:val="FFFFFF"/>
              </w:rPr>
            </w:pPr>
            <w:hyperlink r:id="rId10" w:history="1">
              <w:r w:rsidR="00957997" w:rsidRPr="00C2780B">
                <w:rPr>
                  <w:rStyle w:val="Hyperlink"/>
                  <w:b/>
                  <w:bCs/>
                </w:rPr>
                <w:t>§ 170.315(a)(14) Family health history</w:t>
              </w:r>
              <w:r w:rsidR="00476BE8" w:rsidRPr="00C2780B">
                <w:rPr>
                  <w:rStyle w:val="Hyperlink"/>
                  <w:b/>
                  <w:bCs/>
                </w:rPr>
                <w:t xml:space="preserve"> </w:t>
              </w:r>
            </w:hyperlink>
            <w:r w:rsidR="00476BE8">
              <w:rPr>
                <w:b/>
                <w:bCs/>
                <w:color w:val="FFFFFF"/>
              </w:rPr>
              <w:t xml:space="preserve"> </w:t>
            </w:r>
            <w:r w:rsidR="00EE182F" w:rsidRPr="00C2780B">
              <w:rPr>
                <w:b/>
                <w:bCs/>
                <w:color w:val="000000" w:themeColor="text1"/>
              </w:rPr>
              <w:t>p.</w:t>
            </w:r>
            <w:r w:rsidR="008836BE" w:rsidRPr="00C2780B">
              <w:rPr>
                <w:b/>
                <w:bCs/>
                <w:color w:val="000000" w:themeColor="text1"/>
              </w:rPr>
              <w:t xml:space="preserve"> </w:t>
            </w:r>
            <w:r w:rsidR="00476BE8" w:rsidRPr="00C2780B">
              <w:rPr>
                <w:b/>
                <w:bCs/>
                <w:color w:val="000000" w:themeColor="text1"/>
              </w:rPr>
              <w:t>68</w:t>
            </w:r>
          </w:p>
        </w:tc>
      </w:tr>
      <w:tr w:rsidR="00957997" w:rsidRPr="00E86D42" w:rsidTr="002C61BC">
        <w:trPr>
          <w:cantSplit/>
          <w:trHeight w:val="646"/>
          <w:tblHeader/>
          <w:jc w:val="center"/>
        </w:trPr>
        <w:tc>
          <w:tcPr>
            <w:tcW w:w="5000" w:type="pct"/>
            <w:gridSpan w:val="2"/>
            <w:shd w:val="clear" w:color="auto" w:fill="EAF1DD" w:themeFill="accent3" w:themeFillTint="33"/>
          </w:tcPr>
          <w:p w:rsidR="00957997" w:rsidRPr="003C5B5C" w:rsidRDefault="00957997" w:rsidP="00493245">
            <w:pPr>
              <w:spacing w:after="60" w:line="240" w:lineRule="auto"/>
              <w:ind w:left="90" w:hanging="90"/>
              <w:rPr>
                <w:b/>
                <w:bCs/>
                <w:sz w:val="20"/>
                <w:szCs w:val="20"/>
              </w:rPr>
            </w:pPr>
            <w:r w:rsidRPr="003C5B5C">
              <w:rPr>
                <w:b/>
                <w:bCs/>
                <w:sz w:val="20"/>
                <w:szCs w:val="20"/>
              </w:rPr>
              <w:t>Included in 2015 Edition Base EHR Definition?</w:t>
            </w:r>
          </w:p>
          <w:p w:rsidR="00957997" w:rsidRPr="003746A3" w:rsidRDefault="00957997" w:rsidP="00493245">
            <w:pPr>
              <w:spacing w:after="60" w:line="240" w:lineRule="auto"/>
              <w:ind w:left="90" w:hanging="90"/>
              <w:rPr>
                <w:bCs/>
                <w:sz w:val="20"/>
                <w:szCs w:val="20"/>
              </w:rPr>
            </w:pPr>
            <w:r w:rsidRPr="00A270A1">
              <w:rPr>
                <w:bCs/>
                <w:sz w:val="20"/>
                <w:szCs w:val="20"/>
              </w:rPr>
              <w:t>No</w:t>
            </w:r>
            <w:r>
              <w:rPr>
                <w:bCs/>
                <w:sz w:val="20"/>
                <w:szCs w:val="20"/>
              </w:rPr>
              <w:t>, but proposed for the EHR Incentive Programs CEHRT definition</w:t>
            </w:r>
          </w:p>
        </w:tc>
      </w:tr>
      <w:tr w:rsidR="00957997" w:rsidRPr="00E86D42" w:rsidTr="002C61BC">
        <w:trPr>
          <w:cantSplit/>
          <w:trHeight w:val="646"/>
          <w:tblHeader/>
          <w:jc w:val="center"/>
        </w:trPr>
        <w:tc>
          <w:tcPr>
            <w:tcW w:w="5000" w:type="pct"/>
            <w:gridSpan w:val="2"/>
            <w:shd w:val="clear" w:color="auto" w:fill="EAF1DD" w:themeFill="accent3" w:themeFillTint="33"/>
          </w:tcPr>
          <w:p w:rsidR="00957997" w:rsidRPr="003C5B5C" w:rsidRDefault="00957997" w:rsidP="00493245">
            <w:pPr>
              <w:spacing w:after="60" w:line="240" w:lineRule="auto"/>
              <w:ind w:left="90" w:hanging="90"/>
              <w:rPr>
                <w:b/>
                <w:bCs/>
                <w:sz w:val="20"/>
                <w:szCs w:val="20"/>
              </w:rPr>
            </w:pPr>
            <w:r>
              <w:rPr>
                <w:b/>
                <w:bCs/>
                <w:sz w:val="20"/>
                <w:szCs w:val="20"/>
              </w:rPr>
              <w:t xml:space="preserve">Stage 3 </w:t>
            </w:r>
            <w:r w:rsidRPr="003C5B5C">
              <w:rPr>
                <w:b/>
                <w:bCs/>
                <w:sz w:val="20"/>
                <w:szCs w:val="20"/>
              </w:rPr>
              <w:t>MU Objective</w:t>
            </w:r>
          </w:p>
          <w:p w:rsidR="00957997" w:rsidRPr="003746A3" w:rsidRDefault="00957997" w:rsidP="00493245">
            <w:pPr>
              <w:spacing w:after="0" w:line="240" w:lineRule="auto"/>
              <w:rPr>
                <w:bCs/>
                <w:sz w:val="20"/>
              </w:rPr>
            </w:pPr>
            <w:r w:rsidRPr="00A270A1">
              <w:rPr>
                <w:bCs/>
                <w:sz w:val="20"/>
              </w:rPr>
              <w:t>N/A</w:t>
            </w:r>
          </w:p>
        </w:tc>
      </w:tr>
      <w:tr w:rsidR="00957997" w:rsidRPr="00E86D42" w:rsidTr="002C61BC">
        <w:trPr>
          <w:cantSplit/>
          <w:trHeight w:val="349"/>
          <w:tblHeader/>
          <w:jc w:val="center"/>
        </w:trPr>
        <w:tc>
          <w:tcPr>
            <w:tcW w:w="5000" w:type="pct"/>
            <w:gridSpan w:val="2"/>
            <w:shd w:val="clear" w:color="auto" w:fill="EAF1DD" w:themeFill="accent3" w:themeFillTint="33"/>
          </w:tcPr>
          <w:p w:rsidR="00957997" w:rsidRPr="00F7339C" w:rsidRDefault="00957997" w:rsidP="00493245">
            <w:pPr>
              <w:spacing w:after="60" w:line="240" w:lineRule="auto"/>
              <w:rPr>
                <w:b/>
                <w:bCs/>
                <w:sz w:val="20"/>
                <w:szCs w:val="20"/>
              </w:rPr>
            </w:pPr>
            <w:r w:rsidRPr="003C5B5C">
              <w:rPr>
                <w:b/>
                <w:bCs/>
                <w:sz w:val="20"/>
                <w:szCs w:val="20"/>
              </w:rPr>
              <w:t>2015</w:t>
            </w:r>
            <w:r w:rsidRPr="00F7339C">
              <w:rPr>
                <w:b/>
                <w:bCs/>
                <w:sz w:val="20"/>
                <w:szCs w:val="20"/>
              </w:rPr>
              <w:t xml:space="preserve"> Edition </w:t>
            </w:r>
            <w:r>
              <w:rPr>
                <w:b/>
                <w:bCs/>
                <w:sz w:val="20"/>
                <w:szCs w:val="20"/>
              </w:rPr>
              <w:t>Health IT</w:t>
            </w:r>
            <w:r w:rsidRPr="00F7339C">
              <w:rPr>
                <w:b/>
                <w:bCs/>
                <w:sz w:val="20"/>
                <w:szCs w:val="20"/>
              </w:rPr>
              <w:t xml:space="preserve"> Certification Criterion</w:t>
            </w:r>
          </w:p>
          <w:p w:rsidR="00957997" w:rsidRPr="00BD6E18" w:rsidRDefault="00957997" w:rsidP="00493245">
            <w:pPr>
              <w:spacing w:after="0" w:line="240" w:lineRule="auto"/>
              <w:rPr>
                <w:rFonts w:eastAsia="Times New Roman"/>
                <w:bCs/>
                <w:sz w:val="20"/>
              </w:rPr>
            </w:pPr>
            <w:r w:rsidRPr="00A270A1">
              <w:rPr>
                <w:bCs/>
                <w:sz w:val="20"/>
                <w:szCs w:val="20"/>
              </w:rPr>
              <w:t>(14)</w:t>
            </w:r>
            <w:r w:rsidRPr="003746A3">
              <w:rPr>
                <w:bCs/>
                <w:iCs/>
                <w:sz w:val="20"/>
                <w:szCs w:val="20"/>
                <w:u w:val="words"/>
              </w:rPr>
              <w:t xml:space="preserve"> </w:t>
            </w:r>
            <w:r w:rsidRPr="003746A3">
              <w:rPr>
                <w:bCs/>
                <w:iCs/>
                <w:sz w:val="20"/>
                <w:szCs w:val="20"/>
                <w:u w:val="single"/>
              </w:rPr>
              <w:t>Family health history.</w:t>
            </w:r>
            <w:r w:rsidRPr="003746A3">
              <w:rPr>
                <w:bCs/>
                <w:sz w:val="20"/>
                <w:szCs w:val="20"/>
              </w:rPr>
              <w:t xml:space="preserve"> Enable a user to record, change, and access a patient's family health history in accordance with the familial concepts or expressions included in, at a minimum, the version of the standard in § 170.207(a)(4).</w:t>
            </w:r>
          </w:p>
        </w:tc>
      </w:tr>
      <w:tr w:rsidR="00957997" w:rsidRPr="00E86D42" w:rsidTr="002C61BC">
        <w:trPr>
          <w:cantSplit/>
          <w:trHeight w:val="349"/>
          <w:tblHeader/>
          <w:jc w:val="center"/>
        </w:trPr>
        <w:tc>
          <w:tcPr>
            <w:tcW w:w="2500" w:type="pct"/>
            <w:shd w:val="clear" w:color="auto" w:fill="EAF1DD" w:themeFill="accent3" w:themeFillTint="33"/>
          </w:tcPr>
          <w:p w:rsidR="00957997" w:rsidRPr="00A270A1" w:rsidRDefault="00957997" w:rsidP="00493245">
            <w:pPr>
              <w:spacing w:after="0" w:line="240" w:lineRule="auto"/>
              <w:rPr>
                <w:b/>
                <w:sz w:val="20"/>
                <w:szCs w:val="20"/>
              </w:rPr>
            </w:pPr>
            <w:r w:rsidRPr="003C5B5C">
              <w:rPr>
                <w:b/>
                <w:bCs/>
                <w:sz w:val="20"/>
                <w:szCs w:val="20"/>
              </w:rPr>
              <w:t>Preamble FR Citation</w:t>
            </w:r>
            <w:r w:rsidRPr="00F7339C">
              <w:rPr>
                <w:b/>
                <w:bCs/>
                <w:sz w:val="20"/>
                <w:szCs w:val="20"/>
              </w:rPr>
              <w:t xml:space="preserve">:  </w:t>
            </w:r>
            <w:r>
              <w:rPr>
                <w:bCs/>
                <w:sz w:val="20"/>
                <w:szCs w:val="20"/>
              </w:rPr>
              <w:t>80 FR 16822</w:t>
            </w:r>
          </w:p>
        </w:tc>
        <w:tc>
          <w:tcPr>
            <w:tcW w:w="2500" w:type="pct"/>
            <w:shd w:val="clear" w:color="auto" w:fill="EAF1DD" w:themeFill="accent3" w:themeFillTint="33"/>
          </w:tcPr>
          <w:p w:rsidR="00957997" w:rsidRPr="003746A3" w:rsidRDefault="00957997" w:rsidP="00493245">
            <w:pPr>
              <w:spacing w:after="0" w:line="240" w:lineRule="auto"/>
              <w:rPr>
                <w:sz w:val="20"/>
                <w:szCs w:val="20"/>
              </w:rPr>
            </w:pPr>
            <w:r w:rsidRPr="003746A3">
              <w:rPr>
                <w:b/>
                <w:sz w:val="20"/>
                <w:szCs w:val="20"/>
              </w:rPr>
              <w:t>Specific questions in preamble?</w:t>
            </w:r>
            <w:r w:rsidRPr="003746A3">
              <w:rPr>
                <w:sz w:val="20"/>
                <w:szCs w:val="20"/>
              </w:rPr>
              <w:t xml:space="preserve">  </w:t>
            </w:r>
            <w:r w:rsidRPr="003746A3">
              <w:rPr>
                <w:bCs/>
                <w:i/>
                <w:sz w:val="20"/>
                <w:szCs w:val="20"/>
              </w:rPr>
              <w:t>No</w:t>
            </w:r>
          </w:p>
        </w:tc>
      </w:tr>
      <w:tr w:rsidR="00957997" w:rsidRPr="00E86D42" w:rsidTr="002C61BC">
        <w:trPr>
          <w:cantSplit/>
          <w:trHeight w:val="592"/>
          <w:tblHeader/>
          <w:jc w:val="center"/>
        </w:trPr>
        <w:tc>
          <w:tcPr>
            <w:tcW w:w="5000" w:type="pct"/>
            <w:gridSpan w:val="2"/>
            <w:shd w:val="clear" w:color="auto" w:fill="FFFFFF"/>
          </w:tcPr>
          <w:p w:rsidR="00957997" w:rsidRDefault="00957997" w:rsidP="00493245">
            <w:pPr>
              <w:spacing w:after="60" w:line="240" w:lineRule="auto"/>
              <w:rPr>
                <w:b/>
                <w:bCs/>
                <w:sz w:val="20"/>
                <w:szCs w:val="20"/>
              </w:rPr>
            </w:pPr>
            <w:r w:rsidRPr="00E86D42">
              <w:rPr>
                <w:b/>
                <w:bCs/>
                <w:sz w:val="20"/>
                <w:szCs w:val="20"/>
              </w:rPr>
              <w:t xml:space="preserve">Public Comment Field: </w:t>
            </w:r>
          </w:p>
          <w:p w:rsidR="00E75C2E" w:rsidRDefault="00E75C2E" w:rsidP="00493245">
            <w:pPr>
              <w:spacing w:after="60" w:line="240" w:lineRule="auto"/>
              <w:rPr>
                <w:bCs/>
                <w:sz w:val="20"/>
                <w:szCs w:val="20"/>
              </w:rPr>
            </w:pPr>
            <w:r>
              <w:rPr>
                <w:bCs/>
                <w:sz w:val="20"/>
                <w:szCs w:val="20"/>
              </w:rPr>
              <w:t>ER:</w:t>
            </w:r>
          </w:p>
          <w:p w:rsidR="00E75C2E" w:rsidRDefault="008262AA" w:rsidP="00E75C2E">
            <w:pPr>
              <w:pStyle w:val="ListParagraph"/>
              <w:numPr>
                <w:ilvl w:val="0"/>
                <w:numId w:val="3"/>
              </w:numPr>
              <w:spacing w:after="60" w:line="240" w:lineRule="auto"/>
              <w:rPr>
                <w:bCs/>
                <w:sz w:val="20"/>
                <w:szCs w:val="20"/>
              </w:rPr>
            </w:pPr>
            <w:r>
              <w:rPr>
                <w:bCs/>
                <w:sz w:val="20"/>
                <w:szCs w:val="20"/>
              </w:rPr>
              <w:t xml:space="preserve">To clarify, </w:t>
            </w:r>
            <w:proofErr w:type="gramStart"/>
            <w:r>
              <w:rPr>
                <w:bCs/>
                <w:sz w:val="20"/>
                <w:szCs w:val="20"/>
              </w:rPr>
              <w:t xml:space="preserve">does </w:t>
            </w:r>
            <w:r w:rsidR="00E75C2E" w:rsidRPr="00E75C2E">
              <w:rPr>
                <w:bCs/>
                <w:sz w:val="20"/>
                <w:szCs w:val="20"/>
              </w:rPr>
              <w:t xml:space="preserve"> §</w:t>
            </w:r>
            <w:proofErr w:type="gramEnd"/>
            <w:r w:rsidR="00E75C2E" w:rsidRPr="00E75C2E">
              <w:rPr>
                <w:bCs/>
                <w:sz w:val="20"/>
                <w:szCs w:val="20"/>
              </w:rPr>
              <w:t xml:space="preserve">170.207(a)(4) </w:t>
            </w:r>
            <w:r w:rsidR="008547EE">
              <w:rPr>
                <w:bCs/>
                <w:sz w:val="20"/>
                <w:szCs w:val="20"/>
              </w:rPr>
              <w:t>both SCT-International plus the US Extension?</w:t>
            </w:r>
          </w:p>
          <w:p w:rsidR="00E75C2E" w:rsidRPr="00E75C2E" w:rsidRDefault="00E75C2E" w:rsidP="00E75C2E">
            <w:pPr>
              <w:pStyle w:val="ListParagraph"/>
              <w:numPr>
                <w:ilvl w:val="0"/>
                <w:numId w:val="3"/>
              </w:numPr>
              <w:spacing w:after="60" w:line="240" w:lineRule="auto"/>
              <w:rPr>
                <w:bCs/>
                <w:sz w:val="20"/>
                <w:szCs w:val="20"/>
              </w:rPr>
            </w:pPr>
            <w:r>
              <w:rPr>
                <w:bCs/>
                <w:sz w:val="20"/>
                <w:szCs w:val="20"/>
              </w:rPr>
              <w:t>The phrase “in accordance with” is ambiguous and should be clarified.  In particular, it would be advisable to clarify that use of an interface terminology mapped to the referenced standard for recording data constitutes recording of the data “in accordance with” the standard.</w:t>
            </w:r>
          </w:p>
          <w:p w:rsidR="00C72E47" w:rsidRPr="00E86D42" w:rsidRDefault="00C72E47" w:rsidP="00493245">
            <w:pPr>
              <w:spacing w:after="60" w:line="240" w:lineRule="auto"/>
              <w:rPr>
                <w:rFonts w:ascii="Times New Roman" w:hAnsi="Times New Roman"/>
                <w:sz w:val="20"/>
                <w:szCs w:val="20"/>
              </w:rPr>
            </w:pPr>
            <w:r>
              <w:rPr>
                <w:rFonts w:ascii="Times New Roman" w:hAnsi="Times New Roman"/>
                <w:sz w:val="20"/>
                <w:szCs w:val="20"/>
              </w:rPr>
              <w:t>What about (15) (pedigree)-Seems like overreach, and also has the HL7 Pedigree standard had any real-world use?</w:t>
            </w:r>
          </w:p>
        </w:tc>
      </w:tr>
    </w:tbl>
    <w:p w:rsidR="007D7075" w:rsidRDefault="007D7075"/>
    <w:tbl>
      <w:tblPr>
        <w:tblW w:w="5000" w:type="pct"/>
        <w:jc w:val="center"/>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8" w:space="0" w:color="4F6228" w:themeColor="accent3" w:themeShade="80"/>
          <w:insideV w:val="single" w:sz="8" w:space="0" w:color="4F6228" w:themeColor="accent3" w:themeShade="80"/>
        </w:tblBorders>
        <w:tblLook w:val="04A0" w:firstRow="1" w:lastRow="0" w:firstColumn="1" w:lastColumn="0" w:noHBand="0" w:noVBand="1"/>
      </w:tblPr>
      <w:tblGrid>
        <w:gridCol w:w="11016"/>
      </w:tblGrid>
      <w:tr w:rsidR="00C2464B" w:rsidRPr="00E86D42" w:rsidTr="00C2780B">
        <w:trPr>
          <w:tblHeader/>
          <w:jc w:val="center"/>
        </w:trPr>
        <w:tc>
          <w:tcPr>
            <w:tcW w:w="5000" w:type="pct"/>
            <w:shd w:val="clear" w:color="auto" w:fill="D6E3BC" w:themeFill="accent3" w:themeFillTint="66"/>
          </w:tcPr>
          <w:p w:rsidR="00C2464B" w:rsidRPr="00E86D42" w:rsidRDefault="00D77DDA" w:rsidP="008836BE">
            <w:pPr>
              <w:spacing w:after="0" w:line="240" w:lineRule="auto"/>
              <w:rPr>
                <w:b/>
                <w:bCs/>
                <w:color w:val="FFFFFF"/>
              </w:rPr>
            </w:pPr>
            <w:r w:rsidRPr="00D77DDA">
              <w:rPr>
                <w:b/>
                <w:bCs/>
                <w:color w:val="FFFFFF"/>
              </w:rPr>
              <w:t xml:space="preserve"> </w:t>
            </w:r>
            <w:hyperlink r:id="rId11" w:history="1">
              <w:r w:rsidRPr="00C2780B">
                <w:rPr>
                  <w:rStyle w:val="Hyperlink"/>
                  <w:b/>
                  <w:bCs/>
                </w:rPr>
                <w:t xml:space="preserve">“Minimum Standards” Code Sets </w:t>
              </w:r>
            </w:hyperlink>
            <w:r>
              <w:rPr>
                <w:b/>
                <w:bCs/>
                <w:color w:val="FFFFFF"/>
              </w:rPr>
              <w:t xml:space="preserve"> </w:t>
            </w:r>
            <w:r w:rsidR="00EE182F" w:rsidRPr="00C2780B">
              <w:rPr>
                <w:b/>
                <w:bCs/>
                <w:color w:val="000000" w:themeColor="text1"/>
              </w:rPr>
              <w:t>p.</w:t>
            </w:r>
            <w:r w:rsidR="008836BE" w:rsidRPr="00C2780B">
              <w:rPr>
                <w:b/>
                <w:bCs/>
                <w:color w:val="000000" w:themeColor="text1"/>
              </w:rPr>
              <w:t xml:space="preserve"> </w:t>
            </w:r>
            <w:r w:rsidRPr="00C2780B">
              <w:rPr>
                <w:b/>
                <w:bCs/>
                <w:color w:val="000000" w:themeColor="text1"/>
              </w:rPr>
              <w:t>32</w:t>
            </w:r>
          </w:p>
        </w:tc>
      </w:tr>
      <w:tr w:rsidR="00C2464B" w:rsidRPr="00E86D42" w:rsidTr="00493245">
        <w:trPr>
          <w:trHeight w:val="970"/>
          <w:tblHeader/>
          <w:jc w:val="center"/>
        </w:trPr>
        <w:tc>
          <w:tcPr>
            <w:tcW w:w="5000" w:type="pct"/>
            <w:shd w:val="clear" w:color="auto" w:fill="EAF1DD" w:themeFill="accent3" w:themeFillTint="33"/>
          </w:tcPr>
          <w:p w:rsidR="00D77DDA" w:rsidRPr="00D77DDA" w:rsidRDefault="00D77DDA" w:rsidP="00D77DDA">
            <w:pPr>
              <w:spacing w:after="0"/>
              <w:rPr>
                <w:bCs/>
                <w:sz w:val="20"/>
                <w:szCs w:val="20"/>
              </w:rPr>
            </w:pPr>
            <w:r w:rsidRPr="00D77DDA">
              <w:rPr>
                <w:bCs/>
                <w:sz w:val="20"/>
                <w:szCs w:val="20"/>
              </w:rPr>
              <w:t>We propose to adopt newer versions of four previously adopted minimum standards code</w:t>
            </w:r>
            <w:r>
              <w:rPr>
                <w:bCs/>
                <w:sz w:val="20"/>
                <w:szCs w:val="20"/>
              </w:rPr>
              <w:t xml:space="preserve"> </w:t>
            </w:r>
            <w:r w:rsidRPr="00D77DDA">
              <w:rPr>
                <w:bCs/>
                <w:sz w:val="20"/>
                <w:szCs w:val="20"/>
              </w:rPr>
              <w:t>sets in this proposed rule for the 2015 Edition. These code sets are the September 2014 Release</w:t>
            </w:r>
            <w:r>
              <w:rPr>
                <w:bCs/>
                <w:sz w:val="20"/>
                <w:szCs w:val="20"/>
              </w:rPr>
              <w:t xml:space="preserve"> </w:t>
            </w:r>
            <w:r w:rsidRPr="00D77DDA">
              <w:rPr>
                <w:bCs/>
                <w:sz w:val="20"/>
                <w:szCs w:val="20"/>
              </w:rPr>
              <w:t>of the U.S. Edition of SNOMED CT®, LOINC® version 2.50, the February 2, 2015 monthly</w:t>
            </w:r>
            <w:r>
              <w:rPr>
                <w:bCs/>
                <w:sz w:val="20"/>
                <w:szCs w:val="20"/>
              </w:rPr>
              <w:t xml:space="preserve"> </w:t>
            </w:r>
            <w:r w:rsidRPr="00D77DDA">
              <w:rPr>
                <w:bCs/>
                <w:sz w:val="20"/>
                <w:szCs w:val="20"/>
              </w:rPr>
              <w:t xml:space="preserve">version of </w:t>
            </w:r>
            <w:proofErr w:type="spellStart"/>
            <w:r w:rsidRPr="00D77DDA">
              <w:rPr>
                <w:bCs/>
                <w:sz w:val="20"/>
                <w:szCs w:val="20"/>
              </w:rPr>
              <w:t>RxNorm</w:t>
            </w:r>
            <w:proofErr w:type="spellEnd"/>
            <w:r w:rsidRPr="00D77DDA">
              <w:rPr>
                <w:bCs/>
                <w:sz w:val="20"/>
                <w:szCs w:val="20"/>
              </w:rPr>
              <w:t>, and the February 2, 2015 version of the CVX code set. We also propose to</w:t>
            </w:r>
          </w:p>
          <w:p w:rsidR="00C2464B" w:rsidRPr="00BD6E18" w:rsidRDefault="00D77DDA" w:rsidP="00D77DDA">
            <w:pPr>
              <w:spacing w:after="0"/>
              <w:rPr>
                <w:bCs/>
                <w:sz w:val="20"/>
                <w:szCs w:val="20"/>
              </w:rPr>
            </w:pPr>
            <w:r w:rsidRPr="00D77DDA">
              <w:rPr>
                <w:bCs/>
                <w:sz w:val="20"/>
                <w:szCs w:val="20"/>
              </w:rPr>
              <w:t>adopt two new minimum standards code sets (the National Drug Codes (NDC) – Vaccine Codes,</w:t>
            </w:r>
            <w:r>
              <w:rPr>
                <w:bCs/>
                <w:sz w:val="20"/>
                <w:szCs w:val="20"/>
              </w:rPr>
              <w:t xml:space="preserve"> </w:t>
            </w:r>
            <w:r w:rsidRPr="00D77DDA">
              <w:rPr>
                <w:bCs/>
                <w:sz w:val="20"/>
                <w:szCs w:val="20"/>
              </w:rPr>
              <w:t>updates through January 15, 2015 and the “Race &amp; Ethnicity – CDC” code system in the PHIN</w:t>
            </w:r>
            <w:r>
              <w:rPr>
                <w:bCs/>
                <w:sz w:val="20"/>
                <w:szCs w:val="20"/>
              </w:rPr>
              <w:t xml:space="preserve"> </w:t>
            </w:r>
            <w:r w:rsidRPr="00D77DDA">
              <w:rPr>
                <w:bCs/>
                <w:sz w:val="20"/>
                <w:szCs w:val="20"/>
              </w:rPr>
              <w:t>Vocabulary Access and Distribution System (VADS) Release 3.3.9 (June 17, 2011)). As we have</w:t>
            </w:r>
            <w:r>
              <w:rPr>
                <w:bCs/>
                <w:sz w:val="20"/>
                <w:szCs w:val="20"/>
              </w:rPr>
              <w:t xml:space="preserve"> </w:t>
            </w:r>
            <w:r w:rsidRPr="00D77DDA">
              <w:rPr>
                <w:bCs/>
                <w:sz w:val="20"/>
                <w:szCs w:val="20"/>
              </w:rPr>
              <w:t>previously articulated (77 FR 54170), the adoption of newer versions improve interoperability</w:t>
            </w:r>
            <w:r>
              <w:rPr>
                <w:bCs/>
                <w:sz w:val="20"/>
                <w:szCs w:val="20"/>
              </w:rPr>
              <w:t xml:space="preserve"> </w:t>
            </w:r>
            <w:r w:rsidRPr="00D77DDA">
              <w:rPr>
                <w:bCs/>
                <w:sz w:val="20"/>
                <w:szCs w:val="20"/>
              </w:rPr>
              <w:t>and health IT implementation, while creating little additional burden through the inclusion of</w:t>
            </w:r>
            <w:r>
              <w:rPr>
                <w:bCs/>
                <w:sz w:val="20"/>
                <w:szCs w:val="20"/>
              </w:rPr>
              <w:t xml:space="preserve"> </w:t>
            </w:r>
            <w:r w:rsidRPr="00D77DDA">
              <w:rPr>
                <w:bCs/>
                <w:sz w:val="20"/>
                <w:szCs w:val="20"/>
              </w:rPr>
              <w:t xml:space="preserve">new codes. </w:t>
            </w:r>
            <w:r>
              <w:rPr>
                <w:bCs/>
                <w:sz w:val="20"/>
                <w:szCs w:val="20"/>
              </w:rPr>
              <w:t>(Continued on page #32</w:t>
            </w:r>
            <w:r w:rsidR="00C2464B">
              <w:rPr>
                <w:bCs/>
                <w:sz w:val="20"/>
                <w:szCs w:val="20"/>
              </w:rPr>
              <w:t>)</w:t>
            </w:r>
          </w:p>
        </w:tc>
      </w:tr>
      <w:tr w:rsidR="00C2464B" w:rsidRPr="00E86D42" w:rsidTr="00493245">
        <w:trPr>
          <w:tblHeader/>
          <w:jc w:val="center"/>
        </w:trPr>
        <w:tc>
          <w:tcPr>
            <w:tcW w:w="5000" w:type="pct"/>
            <w:shd w:val="clear" w:color="auto" w:fill="FFFFFF"/>
          </w:tcPr>
          <w:p w:rsidR="00C2464B" w:rsidRPr="00E86D42" w:rsidRDefault="00C2464B" w:rsidP="00493245">
            <w:pPr>
              <w:spacing w:after="60" w:line="240" w:lineRule="auto"/>
              <w:rPr>
                <w:b/>
                <w:bCs/>
                <w:sz w:val="20"/>
                <w:szCs w:val="20"/>
              </w:rPr>
            </w:pPr>
            <w:r w:rsidRPr="00E86D42">
              <w:rPr>
                <w:b/>
                <w:bCs/>
                <w:sz w:val="20"/>
                <w:szCs w:val="20"/>
              </w:rPr>
              <w:t xml:space="preserve">Public Comment Field: </w:t>
            </w:r>
          </w:p>
          <w:p w:rsidR="00C2464B" w:rsidRPr="00E86D42" w:rsidRDefault="00C2464B" w:rsidP="00493245">
            <w:pPr>
              <w:spacing w:after="60" w:line="240" w:lineRule="auto"/>
              <w:rPr>
                <w:rFonts w:ascii="Times New Roman" w:hAnsi="Times New Roman"/>
                <w:bCs/>
                <w:sz w:val="20"/>
                <w:szCs w:val="20"/>
              </w:rPr>
            </w:pPr>
          </w:p>
        </w:tc>
      </w:tr>
    </w:tbl>
    <w:p w:rsidR="00C2464B" w:rsidRDefault="00C2464B"/>
    <w:tbl>
      <w:tblPr>
        <w:tblW w:w="5000" w:type="pct"/>
        <w:jc w:val="center"/>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8" w:space="0" w:color="4F6228" w:themeColor="accent3" w:themeShade="80"/>
          <w:insideV w:val="single" w:sz="8" w:space="0" w:color="4F6228" w:themeColor="accent3" w:themeShade="80"/>
        </w:tblBorders>
        <w:tblLook w:val="04A0" w:firstRow="1" w:lastRow="0" w:firstColumn="1" w:lastColumn="0" w:noHBand="0" w:noVBand="1"/>
      </w:tblPr>
      <w:tblGrid>
        <w:gridCol w:w="11016"/>
      </w:tblGrid>
      <w:tr w:rsidR="007D7075" w:rsidRPr="00E86D42" w:rsidTr="00C2780B">
        <w:trPr>
          <w:tblHeader/>
          <w:jc w:val="center"/>
        </w:trPr>
        <w:tc>
          <w:tcPr>
            <w:tcW w:w="5000" w:type="pct"/>
            <w:shd w:val="clear" w:color="auto" w:fill="D6E3BC" w:themeFill="accent3" w:themeFillTint="66"/>
          </w:tcPr>
          <w:p w:rsidR="007D7075" w:rsidRPr="00E86D42" w:rsidRDefault="007D4D0E" w:rsidP="00493245">
            <w:pPr>
              <w:spacing w:after="0" w:line="240" w:lineRule="auto"/>
              <w:rPr>
                <w:b/>
                <w:bCs/>
                <w:color w:val="FFFFFF"/>
              </w:rPr>
            </w:pPr>
            <w:hyperlink r:id="rId12" w:history="1">
              <w:r w:rsidR="00D77DDA" w:rsidRPr="00C2780B">
                <w:rPr>
                  <w:rStyle w:val="Hyperlink"/>
                  <w:b/>
                  <w:bCs/>
                </w:rPr>
                <w:t xml:space="preserve">Object Identifiers (OIDs) for Certain Code Systems </w:t>
              </w:r>
            </w:hyperlink>
            <w:r w:rsidR="00D77DDA">
              <w:rPr>
                <w:b/>
                <w:bCs/>
                <w:color w:val="FFFFFF"/>
              </w:rPr>
              <w:t xml:space="preserve"> </w:t>
            </w:r>
            <w:r w:rsidR="00EE182F" w:rsidRPr="00C2780B">
              <w:rPr>
                <w:b/>
                <w:bCs/>
                <w:color w:val="000000" w:themeColor="text1"/>
              </w:rPr>
              <w:t>p.</w:t>
            </w:r>
            <w:r w:rsidR="008836BE" w:rsidRPr="00C2780B">
              <w:rPr>
                <w:b/>
                <w:bCs/>
                <w:color w:val="000000" w:themeColor="text1"/>
              </w:rPr>
              <w:t xml:space="preserve"> </w:t>
            </w:r>
            <w:r w:rsidR="00D77DDA" w:rsidRPr="00C2780B">
              <w:rPr>
                <w:b/>
                <w:bCs/>
                <w:color w:val="000000" w:themeColor="text1"/>
              </w:rPr>
              <w:t>32</w:t>
            </w:r>
          </w:p>
        </w:tc>
      </w:tr>
      <w:tr w:rsidR="007D7075" w:rsidRPr="00E86D42" w:rsidTr="00D77DDA">
        <w:trPr>
          <w:trHeight w:val="772"/>
          <w:tblHeader/>
          <w:jc w:val="center"/>
        </w:trPr>
        <w:tc>
          <w:tcPr>
            <w:tcW w:w="5000" w:type="pct"/>
            <w:shd w:val="clear" w:color="auto" w:fill="EAF1DD" w:themeFill="accent3" w:themeFillTint="33"/>
          </w:tcPr>
          <w:p w:rsidR="007D7075" w:rsidRPr="00BD6E18" w:rsidRDefault="00D77DDA" w:rsidP="00D77DDA">
            <w:pPr>
              <w:spacing w:after="0"/>
              <w:rPr>
                <w:bCs/>
                <w:sz w:val="20"/>
                <w:szCs w:val="20"/>
              </w:rPr>
            </w:pPr>
            <w:r w:rsidRPr="00D77DDA">
              <w:rPr>
                <w:bCs/>
                <w:sz w:val="20"/>
                <w:szCs w:val="20"/>
              </w:rPr>
              <w:t>We are providing the following table of OIDs for certain code systems to assist health IT</w:t>
            </w:r>
            <w:r>
              <w:rPr>
                <w:bCs/>
                <w:sz w:val="20"/>
                <w:szCs w:val="20"/>
              </w:rPr>
              <w:t xml:space="preserve"> </w:t>
            </w:r>
            <w:r w:rsidRPr="00D77DDA">
              <w:rPr>
                <w:bCs/>
                <w:sz w:val="20"/>
                <w:szCs w:val="20"/>
              </w:rPr>
              <w:t>developers in the proper identification and exchange of health information coded to the</w:t>
            </w:r>
            <w:r>
              <w:rPr>
                <w:bCs/>
                <w:sz w:val="20"/>
                <w:szCs w:val="20"/>
              </w:rPr>
              <w:t xml:space="preserve"> </w:t>
            </w:r>
            <w:r w:rsidRPr="00D77DDA">
              <w:rPr>
                <w:bCs/>
                <w:sz w:val="20"/>
                <w:szCs w:val="20"/>
              </w:rPr>
              <w:t>vocabulary standards proposed in this proposed rule.</w:t>
            </w:r>
            <w:r>
              <w:rPr>
                <w:bCs/>
                <w:sz w:val="20"/>
                <w:szCs w:val="20"/>
              </w:rPr>
              <w:t xml:space="preserve"> (Continued on page #33</w:t>
            </w:r>
            <w:r w:rsidR="007D7075">
              <w:rPr>
                <w:bCs/>
                <w:sz w:val="20"/>
                <w:szCs w:val="20"/>
              </w:rPr>
              <w:t>)</w:t>
            </w:r>
          </w:p>
        </w:tc>
      </w:tr>
      <w:tr w:rsidR="007D7075" w:rsidRPr="00E86D42" w:rsidTr="00493245">
        <w:trPr>
          <w:tblHeader/>
          <w:jc w:val="center"/>
        </w:trPr>
        <w:tc>
          <w:tcPr>
            <w:tcW w:w="5000" w:type="pct"/>
            <w:shd w:val="clear" w:color="auto" w:fill="FFFFFF"/>
          </w:tcPr>
          <w:p w:rsidR="007D7075" w:rsidRPr="00E86D42" w:rsidRDefault="007D7075" w:rsidP="00493245">
            <w:pPr>
              <w:spacing w:after="60" w:line="240" w:lineRule="auto"/>
              <w:rPr>
                <w:b/>
                <w:bCs/>
                <w:sz w:val="20"/>
                <w:szCs w:val="20"/>
              </w:rPr>
            </w:pPr>
            <w:r w:rsidRPr="00E86D42">
              <w:rPr>
                <w:b/>
                <w:bCs/>
                <w:sz w:val="20"/>
                <w:szCs w:val="20"/>
              </w:rPr>
              <w:lastRenderedPageBreak/>
              <w:t xml:space="preserve">Public Comment Field: </w:t>
            </w:r>
          </w:p>
          <w:p w:rsidR="007D7075" w:rsidRDefault="00E85881" w:rsidP="00493245">
            <w:pPr>
              <w:spacing w:after="60" w:line="240" w:lineRule="auto"/>
              <w:rPr>
                <w:rFonts w:ascii="Times New Roman" w:hAnsi="Times New Roman"/>
                <w:bCs/>
                <w:sz w:val="20"/>
                <w:szCs w:val="20"/>
              </w:rPr>
            </w:pPr>
            <w:r>
              <w:rPr>
                <w:rFonts w:ascii="Times New Roman" w:hAnsi="Times New Roman"/>
                <w:bCs/>
                <w:sz w:val="20"/>
                <w:szCs w:val="20"/>
              </w:rPr>
              <w:t>ER/SB/AS: Re: the proposal to require NDC vaccine codes</w:t>
            </w:r>
          </w:p>
          <w:p w:rsidR="00E85881" w:rsidRDefault="00B32FD2" w:rsidP="00E85881">
            <w:pPr>
              <w:pStyle w:val="ListParagraph"/>
              <w:numPr>
                <w:ilvl w:val="0"/>
                <w:numId w:val="7"/>
              </w:numPr>
              <w:spacing w:after="60" w:line="240" w:lineRule="auto"/>
              <w:rPr>
                <w:rFonts w:ascii="Times New Roman" w:hAnsi="Times New Roman"/>
                <w:bCs/>
                <w:sz w:val="20"/>
                <w:szCs w:val="20"/>
              </w:rPr>
            </w:pPr>
            <w:r>
              <w:rPr>
                <w:rFonts w:ascii="Times New Roman" w:hAnsi="Times New Roman"/>
                <w:bCs/>
                <w:sz w:val="20"/>
                <w:szCs w:val="20"/>
              </w:rPr>
              <w:t>The stated advantages, pertaining to pharmacy inventory management and barcode scanning, are potentially valid but would depend on extensive links between HER systems and pharmacy inventory management systems that are not widely available.</w:t>
            </w:r>
          </w:p>
          <w:p w:rsidR="00B32FD2" w:rsidRDefault="00B32FD2" w:rsidP="00E85881">
            <w:pPr>
              <w:pStyle w:val="ListParagraph"/>
              <w:numPr>
                <w:ilvl w:val="0"/>
                <w:numId w:val="7"/>
              </w:numPr>
              <w:spacing w:after="60" w:line="240" w:lineRule="auto"/>
              <w:rPr>
                <w:rFonts w:ascii="Times New Roman" w:hAnsi="Times New Roman"/>
                <w:bCs/>
                <w:sz w:val="20"/>
                <w:szCs w:val="20"/>
              </w:rPr>
            </w:pPr>
            <w:r>
              <w:rPr>
                <w:rFonts w:ascii="Times New Roman" w:hAnsi="Times New Roman"/>
                <w:bCs/>
                <w:sz w:val="20"/>
                <w:szCs w:val="20"/>
              </w:rPr>
              <w:t>Existing patient data, per prior certification requirements, are largely coded in CVX, and to move to NDC codes would require either extensive code mapping (which may not be possible in all cases) or invalidation of existing patient data.</w:t>
            </w:r>
          </w:p>
          <w:p w:rsidR="00B32FD2" w:rsidRDefault="00B32FD2" w:rsidP="00E85881">
            <w:pPr>
              <w:pStyle w:val="ListParagraph"/>
              <w:numPr>
                <w:ilvl w:val="0"/>
                <w:numId w:val="7"/>
              </w:numPr>
              <w:spacing w:after="60" w:line="240" w:lineRule="auto"/>
              <w:rPr>
                <w:rFonts w:ascii="Times New Roman" w:hAnsi="Times New Roman"/>
                <w:bCs/>
                <w:sz w:val="20"/>
                <w:szCs w:val="20"/>
              </w:rPr>
            </w:pPr>
            <w:r>
              <w:rPr>
                <w:rFonts w:ascii="Times New Roman" w:hAnsi="Times New Roman"/>
                <w:bCs/>
                <w:sz w:val="20"/>
                <w:szCs w:val="20"/>
              </w:rPr>
              <w:t>Organizations have made significant investments in building reporting, decision support, and other logic around CVX codes to represent vaccination data, and moving to NDC codes would invalidate this</w:t>
            </w:r>
          </w:p>
          <w:p w:rsidR="00936E9B" w:rsidRDefault="00B32FD2" w:rsidP="00B32FD2">
            <w:pPr>
              <w:pStyle w:val="ListParagraph"/>
              <w:numPr>
                <w:ilvl w:val="0"/>
                <w:numId w:val="7"/>
              </w:numPr>
              <w:spacing w:after="60" w:line="240" w:lineRule="auto"/>
              <w:rPr>
                <w:rFonts w:ascii="Times New Roman" w:hAnsi="Times New Roman"/>
                <w:bCs/>
                <w:sz w:val="20"/>
                <w:szCs w:val="20"/>
              </w:rPr>
            </w:pPr>
            <w:r>
              <w:rPr>
                <w:rFonts w:ascii="Times New Roman" w:hAnsi="Times New Roman"/>
                <w:bCs/>
                <w:sz w:val="20"/>
                <w:szCs w:val="20"/>
              </w:rPr>
              <w:t>NDC codes are not centrally controlled</w:t>
            </w:r>
            <w:r w:rsidR="00511CBE">
              <w:rPr>
                <w:rFonts w:ascii="Times New Roman" w:hAnsi="Times New Roman"/>
                <w:bCs/>
                <w:sz w:val="20"/>
                <w:szCs w:val="20"/>
              </w:rPr>
              <w:t>, change frequently,</w:t>
            </w:r>
            <w:r>
              <w:rPr>
                <w:rFonts w:ascii="Times New Roman" w:hAnsi="Times New Roman"/>
                <w:bCs/>
                <w:sz w:val="20"/>
                <w:szCs w:val="20"/>
              </w:rPr>
              <w:t xml:space="preserve"> and known frequently to have data quality issues, e.g. re-use and duplication for different products, etc.</w:t>
            </w:r>
          </w:p>
          <w:p w:rsidR="00B32FD2" w:rsidRDefault="00511CBE" w:rsidP="00511CBE">
            <w:pPr>
              <w:pStyle w:val="ListParagraph"/>
              <w:numPr>
                <w:ilvl w:val="0"/>
                <w:numId w:val="7"/>
              </w:numPr>
              <w:spacing w:after="60" w:line="240" w:lineRule="auto"/>
              <w:rPr>
                <w:rFonts w:ascii="Times New Roman" w:hAnsi="Times New Roman"/>
                <w:bCs/>
                <w:sz w:val="20"/>
                <w:szCs w:val="20"/>
              </w:rPr>
            </w:pPr>
            <w:r>
              <w:rPr>
                <w:rFonts w:ascii="Times New Roman" w:hAnsi="Times New Roman"/>
                <w:bCs/>
                <w:sz w:val="20"/>
                <w:szCs w:val="20"/>
              </w:rPr>
              <w:t>The statement that NDC codes “</w:t>
            </w:r>
            <w:r w:rsidRPr="00511CBE">
              <w:rPr>
                <w:rFonts w:ascii="Times New Roman" w:hAnsi="Times New Roman"/>
                <w:bCs/>
                <w:sz w:val="20"/>
                <w:szCs w:val="20"/>
              </w:rPr>
              <w:t>Can improve patient safety with better specificity of vaccine formulation</w:t>
            </w:r>
            <w:r>
              <w:rPr>
                <w:rFonts w:ascii="Times New Roman" w:hAnsi="Times New Roman"/>
                <w:bCs/>
                <w:sz w:val="20"/>
                <w:szCs w:val="20"/>
              </w:rPr>
              <w:t>” may not be plausible.  For issues with specific lots of vaccine, lot #’s are needed, and as noted in the preamble, specific product formulations should be derivable from the combination of CVX code, MVX code, and if necessary, lot #.</w:t>
            </w:r>
          </w:p>
          <w:p w:rsidR="00511CBE" w:rsidRPr="00511CBE" w:rsidRDefault="00511CBE" w:rsidP="00511CBE">
            <w:pPr>
              <w:spacing w:after="60" w:line="240" w:lineRule="auto"/>
              <w:rPr>
                <w:rFonts w:ascii="Times New Roman" w:hAnsi="Times New Roman"/>
                <w:bCs/>
                <w:sz w:val="20"/>
                <w:szCs w:val="20"/>
              </w:rPr>
            </w:pPr>
          </w:p>
        </w:tc>
      </w:tr>
      <w:tr w:rsidR="00936E9B" w:rsidRPr="00E86D42" w:rsidTr="00493245">
        <w:trPr>
          <w:tblHeader/>
          <w:jc w:val="center"/>
        </w:trPr>
        <w:tc>
          <w:tcPr>
            <w:tcW w:w="5000" w:type="pct"/>
            <w:shd w:val="clear" w:color="auto" w:fill="FFFFFF"/>
          </w:tcPr>
          <w:p w:rsidR="00936E9B" w:rsidRPr="00936E9B" w:rsidRDefault="00936E9B" w:rsidP="00493245">
            <w:pPr>
              <w:spacing w:after="60" w:line="240" w:lineRule="auto"/>
              <w:rPr>
                <w:rFonts w:ascii="Times New Roman" w:hAnsi="Times New Roman"/>
                <w:bCs/>
                <w:sz w:val="20"/>
                <w:szCs w:val="20"/>
              </w:rPr>
            </w:pPr>
            <w:r>
              <w:rPr>
                <w:rFonts w:ascii="Times New Roman" w:hAnsi="Times New Roman"/>
                <w:bCs/>
                <w:sz w:val="20"/>
                <w:szCs w:val="20"/>
              </w:rPr>
              <w:t xml:space="preserve">BH: </w:t>
            </w:r>
            <w:r w:rsidRPr="00936E9B">
              <w:rPr>
                <w:rFonts w:ascii="Times New Roman" w:hAnsi="Times New Roman"/>
                <w:bCs/>
                <w:sz w:val="20"/>
                <w:szCs w:val="20"/>
              </w:rPr>
              <w:t>According to NLM's Value Set Authority Center, the Object Identifiers (OIDs) for Certain Code Systems, p.32 are correct for the systems listed.</w:t>
            </w:r>
          </w:p>
        </w:tc>
      </w:tr>
    </w:tbl>
    <w:p w:rsidR="00476BE8" w:rsidRDefault="00476BE8"/>
    <w:p w:rsidR="00476BE8" w:rsidRDefault="00476BE8"/>
    <w:tbl>
      <w:tblPr>
        <w:tblW w:w="5000" w:type="pct"/>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8" w:space="0" w:color="4F6228" w:themeColor="accent3" w:themeShade="80"/>
          <w:insideV w:val="single" w:sz="8" w:space="0" w:color="4F6228" w:themeColor="accent3" w:themeShade="80"/>
        </w:tblBorders>
        <w:tblLook w:val="04A0" w:firstRow="1" w:lastRow="0" w:firstColumn="1" w:lastColumn="0" w:noHBand="0" w:noVBand="1"/>
      </w:tblPr>
      <w:tblGrid>
        <w:gridCol w:w="5482"/>
        <w:gridCol w:w="5534"/>
      </w:tblGrid>
      <w:tr w:rsidR="00476BE8" w:rsidRPr="00E86D42" w:rsidTr="00C2780B">
        <w:trPr>
          <w:tblHeader/>
        </w:trPr>
        <w:tc>
          <w:tcPr>
            <w:tcW w:w="5000" w:type="pct"/>
            <w:gridSpan w:val="2"/>
            <w:shd w:val="clear" w:color="auto" w:fill="D6E3BC" w:themeFill="accent3" w:themeFillTint="66"/>
          </w:tcPr>
          <w:p w:rsidR="00476BE8" w:rsidRPr="00E86D42" w:rsidRDefault="007D4D0E" w:rsidP="00493245">
            <w:pPr>
              <w:spacing w:after="0" w:line="240" w:lineRule="auto"/>
              <w:rPr>
                <w:b/>
                <w:bCs/>
                <w:color w:val="FFFFFF"/>
              </w:rPr>
            </w:pPr>
            <w:hyperlink r:id="rId13" w:history="1">
              <w:r w:rsidR="00476BE8" w:rsidRPr="00C2780B">
                <w:rPr>
                  <w:rStyle w:val="Hyperlink"/>
                  <w:b/>
                  <w:bCs/>
                </w:rPr>
                <w:t xml:space="preserve">§ 170.315(a)(5) Demographics </w:t>
              </w:r>
            </w:hyperlink>
            <w:r w:rsidR="00476BE8">
              <w:rPr>
                <w:b/>
                <w:bCs/>
                <w:color w:val="FFFFFF"/>
              </w:rPr>
              <w:t xml:space="preserve"> </w:t>
            </w:r>
            <w:r w:rsidR="00EE182F" w:rsidRPr="00C2780B">
              <w:rPr>
                <w:b/>
                <w:bCs/>
                <w:color w:val="000000" w:themeColor="text1"/>
              </w:rPr>
              <w:t>p.</w:t>
            </w:r>
            <w:r w:rsidR="00476BE8" w:rsidRPr="00C2780B">
              <w:rPr>
                <w:b/>
                <w:bCs/>
                <w:color w:val="000000" w:themeColor="text1"/>
              </w:rPr>
              <w:t xml:space="preserve"> 44</w:t>
            </w:r>
          </w:p>
        </w:tc>
      </w:tr>
      <w:tr w:rsidR="00476BE8" w:rsidRPr="00E86D42" w:rsidTr="00856F28">
        <w:tc>
          <w:tcPr>
            <w:tcW w:w="5000" w:type="pct"/>
            <w:gridSpan w:val="2"/>
            <w:shd w:val="clear" w:color="auto" w:fill="EAF1DD" w:themeFill="accent3" w:themeFillTint="33"/>
          </w:tcPr>
          <w:p w:rsidR="00476BE8" w:rsidRPr="00E86D42" w:rsidRDefault="00476BE8" w:rsidP="00493245">
            <w:pPr>
              <w:spacing w:after="60" w:line="240" w:lineRule="auto"/>
              <w:ind w:left="90" w:hanging="90"/>
              <w:rPr>
                <w:b/>
                <w:bCs/>
                <w:sz w:val="20"/>
                <w:szCs w:val="20"/>
              </w:rPr>
            </w:pPr>
            <w:r w:rsidRPr="00E86D42">
              <w:rPr>
                <w:b/>
                <w:bCs/>
                <w:sz w:val="20"/>
                <w:szCs w:val="20"/>
              </w:rPr>
              <w:t>Included in 2015 Edition Base EHR Definition?</w:t>
            </w:r>
          </w:p>
          <w:p w:rsidR="00476BE8" w:rsidRPr="00E86D42" w:rsidRDefault="00476BE8" w:rsidP="00493245">
            <w:pPr>
              <w:spacing w:after="60" w:line="240" w:lineRule="auto"/>
              <w:ind w:left="90" w:hanging="90"/>
              <w:rPr>
                <w:b/>
                <w:bCs/>
                <w:sz w:val="20"/>
                <w:szCs w:val="20"/>
              </w:rPr>
            </w:pPr>
            <w:r w:rsidRPr="00E86D42">
              <w:rPr>
                <w:bCs/>
                <w:sz w:val="20"/>
                <w:szCs w:val="20"/>
              </w:rPr>
              <w:t>Yes</w:t>
            </w:r>
          </w:p>
        </w:tc>
      </w:tr>
      <w:tr w:rsidR="00476BE8" w:rsidRPr="00E86D42" w:rsidTr="00856F28">
        <w:tc>
          <w:tcPr>
            <w:tcW w:w="5000" w:type="pct"/>
            <w:gridSpan w:val="2"/>
            <w:shd w:val="clear" w:color="auto" w:fill="EAF1DD" w:themeFill="accent3" w:themeFillTint="33"/>
          </w:tcPr>
          <w:p w:rsidR="00476BE8" w:rsidRPr="00E86D42" w:rsidRDefault="00476BE8" w:rsidP="00493245">
            <w:pPr>
              <w:spacing w:after="60" w:line="240" w:lineRule="auto"/>
              <w:ind w:left="90" w:hanging="90"/>
              <w:rPr>
                <w:b/>
                <w:bCs/>
                <w:sz w:val="20"/>
                <w:szCs w:val="20"/>
              </w:rPr>
            </w:pPr>
            <w:r>
              <w:rPr>
                <w:b/>
                <w:bCs/>
                <w:sz w:val="20"/>
                <w:szCs w:val="20"/>
              </w:rPr>
              <w:t xml:space="preserve">Stage 3 </w:t>
            </w:r>
            <w:r w:rsidRPr="00E86D42">
              <w:rPr>
                <w:b/>
                <w:bCs/>
                <w:sz w:val="20"/>
                <w:szCs w:val="20"/>
              </w:rPr>
              <w:t>MU Objective</w:t>
            </w:r>
          </w:p>
          <w:p w:rsidR="00476BE8" w:rsidRPr="00E86D42" w:rsidRDefault="00476BE8" w:rsidP="00493245">
            <w:pPr>
              <w:spacing w:after="0" w:line="240" w:lineRule="auto"/>
              <w:rPr>
                <w:sz w:val="20"/>
                <w:szCs w:val="20"/>
              </w:rPr>
            </w:pPr>
            <w:r w:rsidRPr="00E86D42">
              <w:rPr>
                <w:bCs/>
                <w:sz w:val="20"/>
              </w:rPr>
              <w:t>N/A</w:t>
            </w:r>
          </w:p>
        </w:tc>
      </w:tr>
      <w:tr w:rsidR="00476BE8" w:rsidRPr="00E86D42" w:rsidTr="00856F28">
        <w:trPr>
          <w:trHeight w:val="2311"/>
        </w:trPr>
        <w:tc>
          <w:tcPr>
            <w:tcW w:w="5000" w:type="pct"/>
            <w:gridSpan w:val="2"/>
            <w:shd w:val="clear" w:color="auto" w:fill="EAF1DD" w:themeFill="accent3" w:themeFillTint="33"/>
          </w:tcPr>
          <w:p w:rsidR="00476BE8" w:rsidRPr="00E86D42" w:rsidRDefault="00476BE8" w:rsidP="00493245">
            <w:pPr>
              <w:spacing w:after="60" w:line="240" w:lineRule="auto"/>
              <w:rPr>
                <w:b/>
                <w:bCs/>
                <w:sz w:val="20"/>
                <w:szCs w:val="20"/>
              </w:rPr>
            </w:pPr>
            <w:r w:rsidRPr="00E86D42">
              <w:rPr>
                <w:b/>
                <w:bCs/>
                <w:sz w:val="20"/>
                <w:szCs w:val="20"/>
              </w:rPr>
              <w:t xml:space="preserve">2015 Edition </w:t>
            </w:r>
            <w:r>
              <w:rPr>
                <w:b/>
                <w:bCs/>
                <w:sz w:val="20"/>
                <w:szCs w:val="20"/>
              </w:rPr>
              <w:t>Health IT</w:t>
            </w:r>
            <w:r w:rsidRPr="00E86D42">
              <w:rPr>
                <w:b/>
                <w:bCs/>
                <w:sz w:val="20"/>
                <w:szCs w:val="20"/>
              </w:rPr>
              <w:t xml:space="preserve"> Certification Criterion</w:t>
            </w:r>
          </w:p>
          <w:p w:rsidR="00476BE8" w:rsidRDefault="00476BE8" w:rsidP="00493245">
            <w:pPr>
              <w:spacing w:after="0" w:line="240" w:lineRule="auto"/>
              <w:rPr>
                <w:rFonts w:eastAsia="Times New Roman"/>
                <w:bCs/>
                <w:sz w:val="20"/>
              </w:rPr>
            </w:pPr>
            <w:r w:rsidRPr="00E86D42">
              <w:rPr>
                <w:rFonts w:eastAsia="Times New Roman"/>
                <w:bCs/>
                <w:sz w:val="20"/>
              </w:rPr>
              <w:t>(5)</w:t>
            </w:r>
            <w:r w:rsidRPr="00E86D42">
              <w:rPr>
                <w:rFonts w:eastAsia="Times New Roman"/>
                <w:bCs/>
                <w:iCs/>
                <w:sz w:val="20"/>
                <w:u w:val="words"/>
              </w:rPr>
              <w:t xml:space="preserve"> Demographics</w:t>
            </w:r>
            <w:r w:rsidRPr="00E86D42">
              <w:rPr>
                <w:rFonts w:eastAsia="Times New Roman"/>
                <w:b/>
                <w:bCs/>
                <w:iCs/>
                <w:sz w:val="20"/>
              </w:rPr>
              <w:t>.</w:t>
            </w:r>
            <w:r w:rsidRPr="00E86D42">
              <w:rPr>
                <w:rFonts w:eastAsia="Times New Roman"/>
                <w:bCs/>
                <w:sz w:val="20"/>
              </w:rPr>
              <w:t xml:space="preserve"> </w:t>
            </w:r>
          </w:p>
          <w:p w:rsidR="00476BE8" w:rsidRPr="00E86D42" w:rsidRDefault="00476BE8" w:rsidP="00493245">
            <w:pPr>
              <w:spacing w:after="0" w:line="240" w:lineRule="auto"/>
              <w:ind w:left="540"/>
              <w:rPr>
                <w:rFonts w:eastAsia="Times New Roman"/>
                <w:bCs/>
                <w:sz w:val="20"/>
              </w:rPr>
            </w:pPr>
            <w:r w:rsidRPr="00E86D42">
              <w:rPr>
                <w:rFonts w:eastAsia="Times New Roman"/>
                <w:bCs/>
                <w:sz w:val="20"/>
              </w:rPr>
              <w:t>(i) Enable a user to record, change, and access patient demographic data including preferred language, sex, race, ethnicity, and date of birth.</w:t>
            </w:r>
          </w:p>
          <w:p w:rsidR="00476BE8" w:rsidRPr="00A270A1" w:rsidRDefault="00476BE8" w:rsidP="00493245">
            <w:pPr>
              <w:spacing w:after="0" w:line="240" w:lineRule="auto"/>
              <w:ind w:left="540"/>
              <w:rPr>
                <w:rFonts w:eastAsia="Times New Roman"/>
                <w:bCs/>
                <w:sz w:val="20"/>
              </w:rPr>
            </w:pPr>
            <w:r w:rsidRPr="00E86D42">
              <w:rPr>
                <w:rFonts w:eastAsia="Times New Roman"/>
                <w:bCs/>
                <w:sz w:val="20"/>
              </w:rPr>
              <w:t>(</w:t>
            </w:r>
            <w:r w:rsidRPr="003C5B5C">
              <w:rPr>
                <w:rFonts w:eastAsia="Times New Roman"/>
                <w:bCs/>
                <w:sz w:val="20"/>
              </w:rPr>
              <w:t xml:space="preserve">A) </w:t>
            </w:r>
            <w:r w:rsidRPr="003C5B5C">
              <w:rPr>
                <w:rFonts w:eastAsia="Times New Roman"/>
                <w:bCs/>
                <w:sz w:val="20"/>
                <w:u w:val="single"/>
              </w:rPr>
              <w:t xml:space="preserve">Race and </w:t>
            </w:r>
            <w:r>
              <w:rPr>
                <w:rFonts w:eastAsia="Times New Roman"/>
                <w:bCs/>
                <w:sz w:val="20"/>
                <w:u w:val="single"/>
              </w:rPr>
              <w:t>e</w:t>
            </w:r>
            <w:r w:rsidRPr="003C5B5C">
              <w:rPr>
                <w:rFonts w:eastAsia="Times New Roman"/>
                <w:bCs/>
                <w:sz w:val="20"/>
                <w:u w:val="single"/>
              </w:rPr>
              <w:t>thnicity</w:t>
            </w:r>
            <w:r w:rsidRPr="00F7339C">
              <w:rPr>
                <w:rFonts w:eastAsia="Times New Roman"/>
                <w:bCs/>
                <w:sz w:val="20"/>
              </w:rPr>
              <w:t>. (</w:t>
            </w:r>
            <w:r w:rsidRPr="00F57972">
              <w:rPr>
                <w:rFonts w:eastAsia="Times New Roman"/>
                <w:bCs/>
                <w:sz w:val="20"/>
                <w:u w:val="single"/>
              </w:rPr>
              <w:t>1</w:t>
            </w:r>
            <w:r w:rsidRPr="00F7339C">
              <w:rPr>
                <w:rFonts w:eastAsia="Times New Roman"/>
                <w:bCs/>
                <w:sz w:val="20"/>
              </w:rPr>
              <w:t>) Enable each one of a patient’s rac</w:t>
            </w:r>
            <w:r w:rsidRPr="00A270A1">
              <w:rPr>
                <w:rFonts w:eastAsia="Times New Roman"/>
                <w:bCs/>
                <w:sz w:val="20"/>
              </w:rPr>
              <w:t>es to be recorded in accordance with, at a minimum, the standard specified in § 170.207(f</w:t>
            </w:r>
            <w:proofErr w:type="gramStart"/>
            <w:r w:rsidRPr="00A270A1">
              <w:rPr>
                <w:rFonts w:eastAsia="Times New Roman"/>
                <w:bCs/>
                <w:sz w:val="20"/>
              </w:rPr>
              <w:t>)(</w:t>
            </w:r>
            <w:proofErr w:type="gramEnd"/>
            <w:r w:rsidRPr="00A270A1">
              <w:rPr>
                <w:rFonts w:eastAsia="Times New Roman"/>
                <w:bCs/>
                <w:sz w:val="20"/>
              </w:rPr>
              <w:t>2) and whether a patient declines to specify race.</w:t>
            </w:r>
          </w:p>
          <w:p w:rsidR="00476BE8" w:rsidRPr="003746A3" w:rsidRDefault="00476BE8" w:rsidP="00493245">
            <w:pPr>
              <w:spacing w:after="0" w:line="240" w:lineRule="auto"/>
              <w:ind w:left="540"/>
              <w:rPr>
                <w:rFonts w:eastAsia="Times New Roman"/>
                <w:bCs/>
                <w:sz w:val="20"/>
              </w:rPr>
            </w:pPr>
            <w:r w:rsidRPr="003746A3">
              <w:rPr>
                <w:rFonts w:eastAsia="Times New Roman"/>
                <w:bCs/>
                <w:sz w:val="20"/>
              </w:rPr>
              <w:t>(</w:t>
            </w:r>
            <w:r w:rsidRPr="00F57972">
              <w:rPr>
                <w:rFonts w:eastAsia="Times New Roman"/>
                <w:bCs/>
                <w:sz w:val="20"/>
                <w:u w:val="single"/>
              </w:rPr>
              <w:t>2</w:t>
            </w:r>
            <w:r w:rsidRPr="003746A3">
              <w:rPr>
                <w:rFonts w:eastAsia="Times New Roman"/>
                <w:bCs/>
                <w:sz w:val="20"/>
              </w:rPr>
              <w:t>) Enable each one of a patient’s ethnicities to be recorded in accordance with, at a minimum, the standard specified in § 170.207(f</w:t>
            </w:r>
            <w:proofErr w:type="gramStart"/>
            <w:r w:rsidRPr="003746A3">
              <w:rPr>
                <w:rFonts w:eastAsia="Times New Roman"/>
                <w:bCs/>
                <w:sz w:val="20"/>
              </w:rPr>
              <w:t>)(</w:t>
            </w:r>
            <w:proofErr w:type="gramEnd"/>
            <w:r w:rsidRPr="003746A3">
              <w:rPr>
                <w:rFonts w:eastAsia="Times New Roman"/>
                <w:bCs/>
                <w:sz w:val="20"/>
              </w:rPr>
              <w:t>2) and whether a patient declines to specify ethnicity.</w:t>
            </w:r>
          </w:p>
          <w:p w:rsidR="00476BE8" w:rsidRPr="00C67322" w:rsidRDefault="00476BE8" w:rsidP="00493245">
            <w:pPr>
              <w:spacing w:after="0" w:line="240" w:lineRule="auto"/>
              <w:ind w:left="540"/>
              <w:rPr>
                <w:rFonts w:eastAsia="Times New Roman"/>
                <w:bCs/>
                <w:sz w:val="20"/>
              </w:rPr>
            </w:pPr>
            <w:r w:rsidRPr="00C67322">
              <w:rPr>
                <w:rFonts w:eastAsia="Times New Roman"/>
                <w:bCs/>
                <w:sz w:val="20"/>
              </w:rPr>
              <w:t>(</w:t>
            </w:r>
            <w:r w:rsidRPr="00F57972">
              <w:rPr>
                <w:rFonts w:eastAsia="Times New Roman"/>
                <w:bCs/>
                <w:sz w:val="20"/>
                <w:u w:val="single"/>
              </w:rPr>
              <w:t>3</w:t>
            </w:r>
            <w:r w:rsidRPr="00C67322">
              <w:rPr>
                <w:rFonts w:eastAsia="Times New Roman"/>
                <w:bCs/>
                <w:sz w:val="20"/>
              </w:rPr>
              <w:t xml:space="preserve">) Aggregate each one of the patient’s races and ethnicities recorded in accordance with paragraphs </w:t>
            </w:r>
            <w:r>
              <w:rPr>
                <w:rFonts w:eastAsia="Times New Roman"/>
                <w:bCs/>
                <w:sz w:val="20"/>
              </w:rPr>
              <w:t>(a</w:t>
            </w:r>
            <w:proofErr w:type="gramStart"/>
            <w:r>
              <w:rPr>
                <w:rFonts w:eastAsia="Times New Roman"/>
                <w:bCs/>
                <w:sz w:val="20"/>
              </w:rPr>
              <w:t>)</w:t>
            </w:r>
            <w:r w:rsidRPr="00C67322">
              <w:rPr>
                <w:rFonts w:eastAsia="Times New Roman"/>
                <w:bCs/>
                <w:sz w:val="20"/>
              </w:rPr>
              <w:t>(</w:t>
            </w:r>
            <w:proofErr w:type="gramEnd"/>
            <w:r w:rsidRPr="00C67322">
              <w:rPr>
                <w:rFonts w:eastAsia="Times New Roman"/>
                <w:bCs/>
                <w:sz w:val="20"/>
              </w:rPr>
              <w:t>5)(i)(A)(</w:t>
            </w:r>
            <w:r w:rsidRPr="00F57972">
              <w:rPr>
                <w:rFonts w:eastAsia="Times New Roman"/>
                <w:bCs/>
                <w:sz w:val="20"/>
                <w:u w:val="single"/>
              </w:rPr>
              <w:t>1</w:t>
            </w:r>
            <w:r w:rsidRPr="00C67322">
              <w:rPr>
                <w:rFonts w:eastAsia="Times New Roman"/>
                <w:bCs/>
                <w:sz w:val="20"/>
              </w:rPr>
              <w:t>) and (</w:t>
            </w:r>
            <w:r w:rsidRPr="00F57972">
              <w:rPr>
                <w:rFonts w:eastAsia="Times New Roman"/>
                <w:bCs/>
                <w:sz w:val="20"/>
                <w:u w:val="single"/>
              </w:rPr>
              <w:t>2</w:t>
            </w:r>
            <w:r w:rsidRPr="00C67322">
              <w:rPr>
                <w:rFonts w:eastAsia="Times New Roman"/>
                <w:bCs/>
                <w:sz w:val="20"/>
              </w:rPr>
              <w:t>) of this section to the categories in the standard specified in § 170.207(f)(1).</w:t>
            </w:r>
          </w:p>
          <w:p w:rsidR="00476BE8" w:rsidRPr="003457CB" w:rsidRDefault="00476BE8" w:rsidP="00493245">
            <w:pPr>
              <w:spacing w:after="0" w:line="240" w:lineRule="auto"/>
              <w:ind w:left="540"/>
              <w:rPr>
                <w:rFonts w:eastAsia="Times New Roman"/>
                <w:bCs/>
                <w:sz w:val="20"/>
              </w:rPr>
            </w:pPr>
            <w:r w:rsidRPr="00467330">
              <w:rPr>
                <w:rFonts w:eastAsia="Times New Roman"/>
                <w:bCs/>
                <w:sz w:val="20"/>
              </w:rPr>
              <w:t>(B) Enable preferr</w:t>
            </w:r>
            <w:r w:rsidRPr="003457CB">
              <w:rPr>
                <w:rFonts w:eastAsia="Times New Roman"/>
                <w:bCs/>
                <w:sz w:val="20"/>
              </w:rPr>
              <w:t>ed language to be recorded in accordance with the standard specified in § 170.207(g</w:t>
            </w:r>
            <w:proofErr w:type="gramStart"/>
            <w:r w:rsidRPr="003457CB">
              <w:rPr>
                <w:rFonts w:eastAsia="Times New Roman"/>
                <w:bCs/>
                <w:sz w:val="20"/>
              </w:rPr>
              <w:t>)(</w:t>
            </w:r>
            <w:proofErr w:type="gramEnd"/>
            <w:r w:rsidRPr="003457CB">
              <w:rPr>
                <w:rFonts w:eastAsia="Times New Roman"/>
                <w:bCs/>
                <w:sz w:val="20"/>
              </w:rPr>
              <w:t>2) and whether a patient declines to specify a preferred language.</w:t>
            </w:r>
          </w:p>
          <w:p w:rsidR="00476BE8" w:rsidRPr="00E900A1" w:rsidRDefault="00476BE8" w:rsidP="00493245">
            <w:pPr>
              <w:spacing w:after="0" w:line="240" w:lineRule="auto"/>
              <w:ind w:left="540"/>
              <w:rPr>
                <w:rFonts w:eastAsia="Times New Roman"/>
                <w:bCs/>
                <w:sz w:val="20"/>
              </w:rPr>
            </w:pPr>
            <w:r w:rsidRPr="00E900A1">
              <w:rPr>
                <w:rFonts w:eastAsia="Times New Roman"/>
                <w:bCs/>
                <w:sz w:val="20"/>
              </w:rPr>
              <w:t>(C) Enable sex to be recorded in accordance with the standard specified in § 170.207(n</w:t>
            </w:r>
            <w:proofErr w:type="gramStart"/>
            <w:r w:rsidRPr="00E900A1">
              <w:rPr>
                <w:rFonts w:eastAsia="Times New Roman"/>
                <w:bCs/>
                <w:sz w:val="20"/>
              </w:rPr>
              <w:t>)(</w:t>
            </w:r>
            <w:proofErr w:type="gramEnd"/>
            <w:r w:rsidRPr="00E900A1">
              <w:rPr>
                <w:rFonts w:eastAsia="Times New Roman"/>
                <w:bCs/>
                <w:sz w:val="20"/>
              </w:rPr>
              <w:t>1).</w:t>
            </w:r>
          </w:p>
          <w:p w:rsidR="00476BE8" w:rsidRPr="00E86D42" w:rsidRDefault="00476BE8" w:rsidP="00493245">
            <w:pPr>
              <w:spacing w:after="0" w:line="240" w:lineRule="auto"/>
              <w:ind w:left="540"/>
              <w:rPr>
                <w:rFonts w:eastAsia="Times New Roman"/>
                <w:bCs/>
                <w:sz w:val="20"/>
              </w:rPr>
            </w:pPr>
            <w:r w:rsidRPr="00BD6E18">
              <w:rPr>
                <w:rFonts w:eastAsia="Times New Roman"/>
                <w:bCs/>
                <w:iCs/>
                <w:sz w:val="20"/>
              </w:rPr>
              <w:t>(ii)</w:t>
            </w:r>
            <w:r w:rsidRPr="00BD6E18">
              <w:rPr>
                <w:rFonts w:eastAsia="Times New Roman"/>
                <w:bCs/>
                <w:iCs/>
                <w:sz w:val="20"/>
                <w:u w:val="words"/>
              </w:rPr>
              <w:t xml:space="preserve"> </w:t>
            </w:r>
            <w:r w:rsidRPr="00BD6E18">
              <w:rPr>
                <w:rFonts w:eastAsia="Times New Roman"/>
                <w:bCs/>
                <w:iCs/>
                <w:sz w:val="20"/>
                <w:u w:val="single"/>
              </w:rPr>
              <w:t>Inpatient setting only</w:t>
            </w:r>
            <w:r w:rsidRPr="00BD6E18">
              <w:rPr>
                <w:rFonts w:eastAsia="Times New Roman"/>
                <w:bCs/>
                <w:iCs/>
                <w:sz w:val="20"/>
              </w:rPr>
              <w:t>.</w:t>
            </w:r>
            <w:r w:rsidRPr="00BD6E18">
              <w:rPr>
                <w:rFonts w:eastAsia="Times New Roman"/>
                <w:bCs/>
                <w:sz w:val="20"/>
              </w:rPr>
              <w:t xml:space="preserve"> Enable a user to record, change, and access the preliminary cause of death and date of death in the event of </w:t>
            </w:r>
            <w:proofErr w:type="gramStart"/>
            <w:r w:rsidRPr="00BD6E18">
              <w:rPr>
                <w:rFonts w:eastAsia="Times New Roman"/>
                <w:bCs/>
                <w:sz w:val="20"/>
              </w:rPr>
              <w:t>a mortality</w:t>
            </w:r>
            <w:proofErr w:type="gramEnd"/>
            <w:r w:rsidRPr="00BD6E18">
              <w:rPr>
                <w:rFonts w:eastAsia="Times New Roman"/>
                <w:bCs/>
                <w:sz w:val="20"/>
              </w:rPr>
              <w:t>.</w:t>
            </w:r>
          </w:p>
        </w:tc>
      </w:tr>
      <w:tr w:rsidR="00476BE8" w:rsidRPr="00E86D42" w:rsidTr="00856F28">
        <w:trPr>
          <w:trHeight w:val="340"/>
        </w:trPr>
        <w:tc>
          <w:tcPr>
            <w:tcW w:w="2488" w:type="pct"/>
            <w:shd w:val="clear" w:color="auto" w:fill="EAF1DD" w:themeFill="accent3" w:themeFillTint="33"/>
          </w:tcPr>
          <w:p w:rsidR="00476BE8" w:rsidRPr="00E86D42" w:rsidRDefault="00476BE8" w:rsidP="00493245">
            <w:pPr>
              <w:spacing w:after="0" w:line="240" w:lineRule="auto"/>
              <w:rPr>
                <w:sz w:val="20"/>
                <w:szCs w:val="20"/>
              </w:rPr>
            </w:pPr>
            <w:r w:rsidRPr="00E86D42">
              <w:rPr>
                <w:b/>
                <w:bCs/>
                <w:sz w:val="20"/>
                <w:szCs w:val="20"/>
              </w:rPr>
              <w:t xml:space="preserve">Preamble FR Citation:  </w:t>
            </w:r>
            <w:r w:rsidRPr="003E7712">
              <w:rPr>
                <w:bCs/>
                <w:sz w:val="20"/>
                <w:szCs w:val="20"/>
              </w:rPr>
              <w:t>80 FR 1681</w:t>
            </w:r>
            <w:r>
              <w:rPr>
                <w:bCs/>
                <w:sz w:val="20"/>
                <w:szCs w:val="20"/>
              </w:rPr>
              <w:t>6</w:t>
            </w:r>
          </w:p>
        </w:tc>
        <w:tc>
          <w:tcPr>
            <w:tcW w:w="2512" w:type="pct"/>
            <w:shd w:val="clear" w:color="auto" w:fill="EAF1DD" w:themeFill="accent3" w:themeFillTint="33"/>
          </w:tcPr>
          <w:p w:rsidR="00476BE8" w:rsidRPr="00E86D42" w:rsidRDefault="00476BE8" w:rsidP="00493245">
            <w:pPr>
              <w:spacing w:after="0" w:line="240" w:lineRule="auto"/>
              <w:rPr>
                <w:b/>
                <w:bCs/>
                <w:sz w:val="20"/>
                <w:szCs w:val="20"/>
              </w:rPr>
            </w:pPr>
            <w:r w:rsidRPr="00E86D42">
              <w:rPr>
                <w:b/>
                <w:bCs/>
                <w:sz w:val="20"/>
                <w:szCs w:val="20"/>
              </w:rPr>
              <w:t xml:space="preserve">Specific questions in preamble?  </w:t>
            </w:r>
            <w:r w:rsidRPr="00E86D42">
              <w:rPr>
                <w:i/>
                <w:sz w:val="20"/>
                <w:szCs w:val="20"/>
              </w:rPr>
              <w:t>No</w:t>
            </w:r>
          </w:p>
        </w:tc>
      </w:tr>
      <w:tr w:rsidR="00476BE8" w:rsidRPr="00E86D42" w:rsidTr="00856F28">
        <w:tc>
          <w:tcPr>
            <w:tcW w:w="5000" w:type="pct"/>
            <w:gridSpan w:val="2"/>
            <w:shd w:val="clear" w:color="auto" w:fill="FFFFFF"/>
          </w:tcPr>
          <w:p w:rsidR="00476BE8" w:rsidRPr="00E86D42" w:rsidRDefault="00476BE8" w:rsidP="00493245">
            <w:pPr>
              <w:spacing w:after="60" w:line="240" w:lineRule="auto"/>
              <w:rPr>
                <w:b/>
                <w:bCs/>
                <w:sz w:val="20"/>
                <w:szCs w:val="20"/>
              </w:rPr>
            </w:pPr>
            <w:r w:rsidRPr="00E86D42">
              <w:rPr>
                <w:b/>
                <w:bCs/>
                <w:sz w:val="20"/>
                <w:szCs w:val="20"/>
              </w:rPr>
              <w:t xml:space="preserve">Public Comment Field: </w:t>
            </w:r>
          </w:p>
          <w:p w:rsidR="006C003B" w:rsidRDefault="00E96D04" w:rsidP="00980EA4">
            <w:pPr>
              <w:spacing w:after="0" w:line="240" w:lineRule="auto"/>
              <w:rPr>
                <w:rFonts w:ascii="Times New Roman" w:hAnsi="Times New Roman"/>
                <w:sz w:val="20"/>
                <w:szCs w:val="20"/>
              </w:rPr>
            </w:pPr>
            <w:r>
              <w:rPr>
                <w:rFonts w:ascii="Times New Roman" w:hAnsi="Times New Roman"/>
                <w:sz w:val="20"/>
                <w:szCs w:val="20"/>
              </w:rPr>
              <w:t>ER:</w:t>
            </w:r>
          </w:p>
          <w:p w:rsidR="002C1A6C" w:rsidRPr="00936E9B" w:rsidRDefault="00980EA4" w:rsidP="00936E9B">
            <w:pPr>
              <w:pStyle w:val="ListParagraph"/>
              <w:numPr>
                <w:ilvl w:val="0"/>
                <w:numId w:val="4"/>
              </w:numPr>
              <w:spacing w:after="0" w:line="240" w:lineRule="auto"/>
              <w:rPr>
                <w:rFonts w:ascii="Times New Roman" w:hAnsi="Times New Roman"/>
                <w:sz w:val="20"/>
                <w:szCs w:val="20"/>
              </w:rPr>
            </w:pPr>
            <w:r w:rsidRPr="00936E9B">
              <w:rPr>
                <w:rFonts w:ascii="Times New Roman" w:hAnsi="Times New Roman"/>
                <w:sz w:val="20"/>
                <w:szCs w:val="20"/>
              </w:rPr>
              <w:t xml:space="preserve">Re: race, </w:t>
            </w:r>
            <w:r w:rsidR="006C003B" w:rsidRPr="00936E9B">
              <w:rPr>
                <w:rFonts w:ascii="Times New Roman" w:hAnsi="Times New Roman"/>
                <w:sz w:val="20"/>
                <w:szCs w:val="20"/>
              </w:rPr>
              <w:t xml:space="preserve">it is understood that the </w:t>
            </w:r>
            <w:r w:rsidR="00883414" w:rsidRPr="00936E9B">
              <w:rPr>
                <w:rFonts w:ascii="Times New Roman" w:hAnsi="Times New Roman"/>
                <w:sz w:val="20"/>
                <w:szCs w:val="20"/>
              </w:rPr>
              <w:t>purpose</w:t>
            </w:r>
            <w:r w:rsidR="006C003B" w:rsidRPr="00936E9B">
              <w:rPr>
                <w:rFonts w:ascii="Times New Roman" w:hAnsi="Times New Roman"/>
                <w:sz w:val="20"/>
                <w:szCs w:val="20"/>
              </w:rPr>
              <w:t xml:space="preserve"> of collecting this data is to allow for analysis of race-based disparities in health care or health outcomes.  However, </w:t>
            </w:r>
            <w:r w:rsidRPr="00936E9B">
              <w:rPr>
                <w:rFonts w:ascii="Times New Roman" w:hAnsi="Times New Roman"/>
                <w:sz w:val="20"/>
                <w:szCs w:val="20"/>
              </w:rPr>
              <w:t>the CDC list (</w:t>
            </w:r>
            <w:hyperlink r:id="rId14" w:history="1">
              <w:r w:rsidRPr="00936E9B">
                <w:rPr>
                  <w:rStyle w:val="Hyperlink"/>
                  <w:rFonts w:ascii="Times New Roman" w:hAnsi="Times New Roman"/>
                  <w:sz w:val="20"/>
                  <w:szCs w:val="20"/>
                </w:rPr>
                <w:t>http://www.cdc.gov/nchs/data/dvs/RaceCodeList.pdf</w:t>
              </w:r>
            </w:hyperlink>
            <w:r w:rsidRPr="00936E9B">
              <w:rPr>
                <w:rFonts w:ascii="Times New Roman" w:hAnsi="Times New Roman"/>
                <w:sz w:val="20"/>
                <w:szCs w:val="20"/>
              </w:rPr>
              <w:t>) is extraordinarily long, unwieldy, and in many cases quite confusing.</w:t>
            </w:r>
            <w:r w:rsidR="002C1A6C" w:rsidRPr="00936E9B">
              <w:rPr>
                <w:rFonts w:ascii="Times New Roman" w:hAnsi="Times New Roman"/>
                <w:sz w:val="20"/>
                <w:szCs w:val="20"/>
              </w:rPr>
              <w:t xml:space="preserve">  The preamble proposes that “health IT developers and health care providers would work together to establish the appropriate implementation given the care setting”, but it seems likely that this would result in poorly-usable user interfaces in many instances, which in turn would affect the accuracy of data collection.  </w:t>
            </w:r>
            <w:r w:rsidRPr="00936E9B">
              <w:rPr>
                <w:rFonts w:ascii="Times New Roman" w:hAnsi="Times New Roman"/>
                <w:sz w:val="20"/>
                <w:szCs w:val="20"/>
              </w:rPr>
              <w:t xml:space="preserve">It is hard to envision </w:t>
            </w:r>
            <w:r w:rsidR="002C1A6C" w:rsidRPr="00936E9B">
              <w:rPr>
                <w:rFonts w:ascii="Times New Roman" w:hAnsi="Times New Roman"/>
                <w:sz w:val="20"/>
                <w:szCs w:val="20"/>
              </w:rPr>
              <w:t xml:space="preserve">the </w:t>
            </w:r>
            <w:r w:rsidRPr="00936E9B">
              <w:rPr>
                <w:rFonts w:ascii="Times New Roman" w:hAnsi="Times New Roman"/>
                <w:sz w:val="20"/>
                <w:szCs w:val="20"/>
              </w:rPr>
              <w:t xml:space="preserve">use </w:t>
            </w:r>
            <w:r w:rsidR="002C1A6C" w:rsidRPr="00936E9B">
              <w:rPr>
                <w:rFonts w:ascii="Times New Roman" w:hAnsi="Times New Roman"/>
                <w:sz w:val="20"/>
                <w:szCs w:val="20"/>
              </w:rPr>
              <w:t xml:space="preserve">of this standard </w:t>
            </w:r>
            <w:r w:rsidRPr="00936E9B">
              <w:rPr>
                <w:rFonts w:ascii="Times New Roman" w:hAnsi="Times New Roman"/>
                <w:sz w:val="20"/>
                <w:szCs w:val="20"/>
              </w:rPr>
              <w:t>leading to data that can be used for reliable</w:t>
            </w:r>
            <w:r w:rsidR="006C003B" w:rsidRPr="00936E9B">
              <w:rPr>
                <w:rFonts w:ascii="Times New Roman" w:hAnsi="Times New Roman"/>
                <w:sz w:val="20"/>
                <w:szCs w:val="20"/>
              </w:rPr>
              <w:t xml:space="preserve"> </w:t>
            </w:r>
            <w:r w:rsidRPr="00936E9B">
              <w:rPr>
                <w:rFonts w:ascii="Times New Roman" w:hAnsi="Times New Roman"/>
                <w:sz w:val="20"/>
                <w:szCs w:val="20"/>
              </w:rPr>
              <w:t>or valid analysis of race-based d</w:t>
            </w:r>
            <w:r w:rsidR="006C003B" w:rsidRPr="00936E9B">
              <w:rPr>
                <w:rFonts w:ascii="Times New Roman" w:hAnsi="Times New Roman"/>
                <w:sz w:val="20"/>
                <w:szCs w:val="20"/>
              </w:rPr>
              <w:t>isparities.</w:t>
            </w:r>
            <w:r w:rsidR="002C1A6C" w:rsidRPr="00936E9B">
              <w:rPr>
                <w:rFonts w:ascii="Times New Roman" w:hAnsi="Times New Roman"/>
                <w:sz w:val="20"/>
                <w:szCs w:val="20"/>
              </w:rPr>
              <w:t xml:space="preserve">  </w:t>
            </w:r>
            <w:r w:rsidR="005006C7" w:rsidRPr="00936E9B">
              <w:rPr>
                <w:rFonts w:ascii="Times New Roman" w:hAnsi="Times New Roman"/>
                <w:sz w:val="20"/>
                <w:szCs w:val="20"/>
              </w:rPr>
              <w:t>Regarding the requirement that CEHRT be “able to aggregate each one of a patient's races and ethnicities to the categories in the OMB standard for race and ethnicity”, it seems unnecessary and excessive to put this data transformation requirement on CEHRT.  Instead, if the CDC list is indeed adopted, then transformation of the CDC-encoded race data to the OMB standard would more appropriately be performed in</w:t>
            </w:r>
            <w:r w:rsidR="00883414" w:rsidRPr="00936E9B">
              <w:rPr>
                <w:rFonts w:ascii="Times New Roman" w:hAnsi="Times New Roman"/>
                <w:sz w:val="20"/>
                <w:szCs w:val="20"/>
              </w:rPr>
              <w:t xml:space="preserve"> the system doing that analysis.  Lastly, since the prior requirement for CEHRT was to use the simpler OMB standard, and to adopt the CDC standard would require re-</w:t>
            </w:r>
            <w:r w:rsidR="00883414" w:rsidRPr="00936E9B">
              <w:rPr>
                <w:rFonts w:ascii="Times New Roman" w:hAnsi="Times New Roman"/>
                <w:sz w:val="20"/>
                <w:szCs w:val="20"/>
              </w:rPr>
              <w:lastRenderedPageBreak/>
              <w:t xml:space="preserve">collecting data from all patients, this would pose an unreasonable data collection burden on EPs </w:t>
            </w:r>
            <w:r w:rsidR="002C1A6C" w:rsidRPr="00936E9B">
              <w:rPr>
                <w:rFonts w:ascii="Times New Roman" w:hAnsi="Times New Roman"/>
                <w:sz w:val="20"/>
                <w:szCs w:val="20"/>
              </w:rPr>
              <w:t>and EHs.</w:t>
            </w:r>
          </w:p>
        </w:tc>
      </w:tr>
    </w:tbl>
    <w:p w:rsidR="001C5923" w:rsidRDefault="001C5923"/>
    <w:tbl>
      <w:tblPr>
        <w:tblW w:w="5000" w:type="pct"/>
        <w:jc w:val="center"/>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8" w:space="0" w:color="4F6228" w:themeColor="accent3" w:themeShade="80"/>
          <w:insideV w:val="single" w:sz="8" w:space="0" w:color="4F6228" w:themeColor="accent3" w:themeShade="80"/>
        </w:tblBorders>
        <w:tblLook w:val="04A0" w:firstRow="1" w:lastRow="0" w:firstColumn="1" w:lastColumn="0" w:noHBand="0" w:noVBand="1"/>
      </w:tblPr>
      <w:tblGrid>
        <w:gridCol w:w="5508"/>
        <w:gridCol w:w="5508"/>
      </w:tblGrid>
      <w:tr w:rsidR="00476BE8" w:rsidRPr="00E86D42" w:rsidTr="00C2780B">
        <w:trPr>
          <w:cantSplit/>
          <w:trHeight w:val="296"/>
          <w:tblHeader/>
          <w:jc w:val="center"/>
        </w:trPr>
        <w:tc>
          <w:tcPr>
            <w:tcW w:w="5000" w:type="pct"/>
            <w:gridSpan w:val="2"/>
            <w:shd w:val="clear" w:color="auto" w:fill="D6E3BC" w:themeFill="accent3" w:themeFillTint="66"/>
          </w:tcPr>
          <w:p w:rsidR="00476BE8" w:rsidRPr="00E86D42" w:rsidRDefault="007D4D0E" w:rsidP="00493245">
            <w:pPr>
              <w:spacing w:after="0" w:line="240" w:lineRule="auto"/>
              <w:rPr>
                <w:b/>
                <w:bCs/>
                <w:color w:val="FFFFFF"/>
              </w:rPr>
            </w:pPr>
            <w:hyperlink r:id="rId15" w:history="1">
              <w:r w:rsidR="00476BE8" w:rsidRPr="00C2780B">
                <w:rPr>
                  <w:rStyle w:val="Hyperlink"/>
                  <w:b/>
                  <w:bCs/>
                </w:rPr>
                <w:t xml:space="preserve">§ 170.315(a)(6) Vital signs, body mass index, and growth charts </w:t>
              </w:r>
            </w:hyperlink>
            <w:r w:rsidR="00476BE8">
              <w:rPr>
                <w:b/>
                <w:bCs/>
                <w:color w:val="FFFFFF"/>
              </w:rPr>
              <w:t xml:space="preserve"> </w:t>
            </w:r>
            <w:r w:rsidR="00EE182F" w:rsidRPr="00C2780B">
              <w:rPr>
                <w:b/>
                <w:bCs/>
                <w:color w:val="000000" w:themeColor="text1"/>
              </w:rPr>
              <w:t>p.</w:t>
            </w:r>
            <w:r w:rsidR="00476BE8" w:rsidRPr="00C2780B">
              <w:rPr>
                <w:b/>
                <w:bCs/>
                <w:color w:val="000000" w:themeColor="text1"/>
              </w:rPr>
              <w:t xml:space="preserve"> 49</w:t>
            </w:r>
          </w:p>
        </w:tc>
      </w:tr>
      <w:tr w:rsidR="00476BE8" w:rsidRPr="00E86D42" w:rsidTr="00856F28">
        <w:trPr>
          <w:cantSplit/>
          <w:trHeight w:val="574"/>
          <w:jc w:val="center"/>
        </w:trPr>
        <w:tc>
          <w:tcPr>
            <w:tcW w:w="5000" w:type="pct"/>
            <w:gridSpan w:val="2"/>
            <w:shd w:val="clear" w:color="auto" w:fill="EAF1DD" w:themeFill="accent3" w:themeFillTint="33"/>
          </w:tcPr>
          <w:p w:rsidR="00476BE8" w:rsidRPr="00E86D42" w:rsidRDefault="00476BE8" w:rsidP="00493245">
            <w:pPr>
              <w:spacing w:after="60" w:line="240" w:lineRule="auto"/>
              <w:ind w:left="90" w:hanging="90"/>
              <w:rPr>
                <w:b/>
                <w:bCs/>
                <w:sz w:val="20"/>
                <w:szCs w:val="20"/>
              </w:rPr>
            </w:pPr>
            <w:r w:rsidRPr="00E86D42">
              <w:rPr>
                <w:b/>
                <w:bCs/>
                <w:sz w:val="20"/>
                <w:szCs w:val="20"/>
              </w:rPr>
              <w:t>Included in 2015 Edition Base EHR Definition?</w:t>
            </w:r>
          </w:p>
          <w:p w:rsidR="00476BE8" w:rsidRPr="00E86D42" w:rsidRDefault="00476BE8" w:rsidP="00493245">
            <w:pPr>
              <w:spacing w:after="60" w:line="240" w:lineRule="auto"/>
              <w:rPr>
                <w:sz w:val="20"/>
                <w:szCs w:val="20"/>
              </w:rPr>
            </w:pPr>
            <w:r w:rsidRPr="00E86D42">
              <w:rPr>
                <w:bCs/>
                <w:sz w:val="20"/>
                <w:szCs w:val="20"/>
              </w:rPr>
              <w:t>No</w:t>
            </w:r>
          </w:p>
        </w:tc>
      </w:tr>
      <w:tr w:rsidR="00476BE8" w:rsidRPr="00E86D42" w:rsidTr="00856F28">
        <w:trPr>
          <w:cantSplit/>
          <w:trHeight w:val="673"/>
          <w:jc w:val="center"/>
        </w:trPr>
        <w:tc>
          <w:tcPr>
            <w:tcW w:w="5000" w:type="pct"/>
            <w:gridSpan w:val="2"/>
            <w:shd w:val="clear" w:color="auto" w:fill="EAF1DD" w:themeFill="accent3" w:themeFillTint="33"/>
          </w:tcPr>
          <w:p w:rsidR="00476BE8" w:rsidRPr="00E86D42" w:rsidRDefault="00476BE8" w:rsidP="00493245">
            <w:pPr>
              <w:spacing w:after="60" w:line="240" w:lineRule="auto"/>
              <w:ind w:left="90" w:hanging="90"/>
              <w:rPr>
                <w:b/>
                <w:bCs/>
                <w:sz w:val="20"/>
                <w:szCs w:val="20"/>
              </w:rPr>
            </w:pPr>
            <w:r>
              <w:rPr>
                <w:b/>
                <w:bCs/>
                <w:sz w:val="20"/>
                <w:szCs w:val="20"/>
              </w:rPr>
              <w:t xml:space="preserve">Stage 3 </w:t>
            </w:r>
            <w:r w:rsidRPr="00E86D42">
              <w:rPr>
                <w:b/>
                <w:bCs/>
                <w:sz w:val="20"/>
                <w:szCs w:val="20"/>
              </w:rPr>
              <w:t>MU Objective</w:t>
            </w:r>
          </w:p>
          <w:p w:rsidR="00476BE8" w:rsidRPr="00E86D42" w:rsidRDefault="00476BE8" w:rsidP="00493245">
            <w:pPr>
              <w:spacing w:after="0" w:line="240" w:lineRule="auto"/>
              <w:rPr>
                <w:bCs/>
                <w:sz w:val="20"/>
                <w:szCs w:val="20"/>
              </w:rPr>
            </w:pPr>
            <w:r w:rsidRPr="00E86D42">
              <w:rPr>
                <w:bCs/>
                <w:sz w:val="20"/>
              </w:rPr>
              <w:t>N/A</w:t>
            </w:r>
          </w:p>
        </w:tc>
      </w:tr>
      <w:tr w:rsidR="00476BE8" w:rsidRPr="00E86D42" w:rsidTr="00856F28">
        <w:trPr>
          <w:trHeight w:val="1870"/>
          <w:jc w:val="center"/>
        </w:trPr>
        <w:tc>
          <w:tcPr>
            <w:tcW w:w="5000" w:type="pct"/>
            <w:gridSpan w:val="2"/>
            <w:shd w:val="clear" w:color="auto" w:fill="EAF1DD" w:themeFill="accent3" w:themeFillTint="33"/>
          </w:tcPr>
          <w:p w:rsidR="00476BE8" w:rsidRPr="00E86D42" w:rsidRDefault="00476BE8" w:rsidP="00493245">
            <w:pPr>
              <w:spacing w:after="60" w:line="240" w:lineRule="auto"/>
              <w:rPr>
                <w:b/>
                <w:bCs/>
                <w:sz w:val="20"/>
                <w:szCs w:val="20"/>
              </w:rPr>
            </w:pPr>
            <w:r w:rsidRPr="00E86D42">
              <w:rPr>
                <w:b/>
                <w:bCs/>
                <w:sz w:val="20"/>
                <w:szCs w:val="20"/>
              </w:rPr>
              <w:t xml:space="preserve">2015 Edition </w:t>
            </w:r>
            <w:r>
              <w:rPr>
                <w:b/>
                <w:bCs/>
                <w:sz w:val="20"/>
                <w:szCs w:val="20"/>
              </w:rPr>
              <w:t>Health IT</w:t>
            </w:r>
            <w:r w:rsidRPr="00E86D42">
              <w:rPr>
                <w:b/>
                <w:bCs/>
                <w:sz w:val="20"/>
                <w:szCs w:val="20"/>
              </w:rPr>
              <w:t xml:space="preserve"> Certification Criterion</w:t>
            </w:r>
          </w:p>
          <w:p w:rsidR="00476BE8" w:rsidRPr="00A270A1" w:rsidRDefault="00476BE8" w:rsidP="00493245">
            <w:pPr>
              <w:spacing w:after="0" w:line="240" w:lineRule="auto"/>
              <w:rPr>
                <w:bCs/>
                <w:sz w:val="20"/>
                <w:szCs w:val="20"/>
              </w:rPr>
            </w:pPr>
            <w:r w:rsidRPr="003C5B5C">
              <w:rPr>
                <w:bCs/>
                <w:sz w:val="20"/>
                <w:szCs w:val="20"/>
              </w:rPr>
              <w:t>(6)</w:t>
            </w:r>
            <w:r w:rsidRPr="003C5B5C">
              <w:rPr>
                <w:bCs/>
                <w:iCs/>
                <w:sz w:val="20"/>
                <w:szCs w:val="20"/>
                <w:u w:val="words"/>
              </w:rPr>
              <w:t xml:space="preserve"> </w:t>
            </w:r>
            <w:r w:rsidRPr="00F7339C">
              <w:rPr>
                <w:bCs/>
                <w:iCs/>
                <w:sz w:val="20"/>
                <w:szCs w:val="20"/>
                <w:u w:val="single"/>
              </w:rPr>
              <w:t>Vital signs, body mass index, and growth charts.</w:t>
            </w:r>
            <w:r w:rsidRPr="00F7339C">
              <w:rPr>
                <w:bCs/>
                <w:sz w:val="20"/>
                <w:szCs w:val="20"/>
              </w:rPr>
              <w:t xml:space="preserve"> </w:t>
            </w:r>
          </w:p>
          <w:p w:rsidR="00476BE8" w:rsidRPr="00E20F00" w:rsidRDefault="00476BE8" w:rsidP="00493245">
            <w:pPr>
              <w:spacing w:after="0" w:line="240" w:lineRule="auto"/>
              <w:ind w:left="540"/>
              <w:rPr>
                <w:bCs/>
                <w:color w:val="000000"/>
                <w:sz w:val="20"/>
                <w:szCs w:val="20"/>
              </w:rPr>
            </w:pPr>
            <w:r w:rsidRPr="003746A3">
              <w:rPr>
                <w:bCs/>
                <w:sz w:val="20"/>
                <w:szCs w:val="20"/>
              </w:rPr>
              <w:t>(i)</w:t>
            </w:r>
            <w:r w:rsidRPr="003746A3">
              <w:rPr>
                <w:bCs/>
                <w:iCs/>
                <w:sz w:val="20"/>
                <w:szCs w:val="20"/>
                <w:u w:val="words"/>
              </w:rPr>
              <w:t xml:space="preserve"> </w:t>
            </w:r>
            <w:r w:rsidRPr="003746A3">
              <w:rPr>
                <w:bCs/>
                <w:iCs/>
                <w:sz w:val="20"/>
                <w:szCs w:val="20"/>
                <w:u w:val="single"/>
              </w:rPr>
              <w:t>Vital signs.</w:t>
            </w:r>
            <w:r w:rsidRPr="00C67322">
              <w:rPr>
                <w:bCs/>
                <w:sz w:val="20"/>
                <w:szCs w:val="20"/>
              </w:rPr>
              <w:t xml:space="preserve"> </w:t>
            </w:r>
            <w:r w:rsidRPr="00467330">
              <w:rPr>
                <w:bCs/>
                <w:color w:val="000000"/>
                <w:sz w:val="20"/>
                <w:szCs w:val="20"/>
              </w:rPr>
              <w:t>Enable a user to record, change, and access, at a minimum, a patient's height, weight, diastolic blood pressure, systolic blood pressure, heart rate, respiratory rate, temper</w:t>
            </w:r>
            <w:r w:rsidRPr="00E900A1">
              <w:rPr>
                <w:bCs/>
                <w:color w:val="000000"/>
                <w:sz w:val="20"/>
                <w:szCs w:val="20"/>
              </w:rPr>
              <w:t>ature, oxygen saturation in arterial blood by pulse oximetry, body mass index [ratio], and mean blood pressure in accordance with the following (The patient’s height/length, weight, diastolic blood pressure, systolic blood pressure, heart rate, respiratory</w:t>
            </w:r>
            <w:r w:rsidRPr="00E20F00">
              <w:rPr>
                <w:bCs/>
                <w:color w:val="000000"/>
                <w:sz w:val="20"/>
                <w:szCs w:val="20"/>
              </w:rPr>
              <w:t xml:space="preserve"> rate, temperature, oxygen saturation in arterial blood by pulse oximetry, body mass index [ratio], and mean blood pressure must be recorded in numerical values only.):</w:t>
            </w:r>
          </w:p>
          <w:p w:rsidR="00476BE8" w:rsidRPr="00BD6E18" w:rsidRDefault="00476BE8" w:rsidP="00493245">
            <w:pPr>
              <w:spacing w:after="0" w:line="240" w:lineRule="auto"/>
              <w:ind w:left="540"/>
              <w:rPr>
                <w:bCs/>
                <w:color w:val="000000"/>
                <w:sz w:val="20"/>
                <w:szCs w:val="20"/>
              </w:rPr>
            </w:pPr>
            <w:r w:rsidRPr="00E20F00">
              <w:rPr>
                <w:bCs/>
                <w:color w:val="000000"/>
                <w:sz w:val="20"/>
                <w:szCs w:val="20"/>
              </w:rPr>
              <w:t>(A) T</w:t>
            </w:r>
            <w:r w:rsidRPr="00426C0E">
              <w:rPr>
                <w:bCs/>
                <w:sz w:val="20"/>
                <w:szCs w:val="20"/>
              </w:rPr>
              <w:t>he standard specified in § 170.207(k)(1) and with the associated applicable unit o</w:t>
            </w:r>
            <w:r w:rsidRPr="00BD6E18">
              <w:rPr>
                <w:bCs/>
                <w:sz w:val="20"/>
                <w:szCs w:val="20"/>
              </w:rPr>
              <w:t xml:space="preserve">f measure for the vital sign in the </w:t>
            </w:r>
            <w:r w:rsidRPr="00BD6E18">
              <w:rPr>
                <w:bCs/>
                <w:color w:val="000000"/>
                <w:sz w:val="20"/>
                <w:szCs w:val="20"/>
              </w:rPr>
              <w:t xml:space="preserve">standard specified in § 170.207(m)(1);  </w:t>
            </w:r>
          </w:p>
          <w:p w:rsidR="00476BE8" w:rsidRPr="00BD6E18" w:rsidRDefault="00476BE8" w:rsidP="00493245">
            <w:pPr>
              <w:spacing w:after="0" w:line="240" w:lineRule="auto"/>
              <w:ind w:left="540"/>
              <w:rPr>
                <w:bCs/>
                <w:color w:val="000000"/>
                <w:sz w:val="20"/>
                <w:szCs w:val="20"/>
              </w:rPr>
            </w:pPr>
            <w:r w:rsidRPr="00BD6E18">
              <w:rPr>
                <w:bCs/>
                <w:color w:val="000000"/>
                <w:sz w:val="20"/>
                <w:szCs w:val="20"/>
              </w:rPr>
              <w:t xml:space="preserve">(B) </w:t>
            </w:r>
            <w:r w:rsidRPr="00BD6E18">
              <w:rPr>
                <w:bCs/>
                <w:color w:val="000000"/>
                <w:sz w:val="20"/>
                <w:szCs w:val="20"/>
                <w:u w:val="single"/>
              </w:rPr>
              <w:t>Metadata.</w:t>
            </w:r>
            <w:r w:rsidRPr="00BD6E18">
              <w:rPr>
                <w:bCs/>
                <w:color w:val="000000"/>
                <w:sz w:val="20"/>
                <w:szCs w:val="20"/>
              </w:rPr>
              <w:t xml:space="preserve"> For each vital sign in paragraph (a)(6)(i) of this section, the technology must also record the following:</w:t>
            </w:r>
          </w:p>
          <w:p w:rsidR="00476BE8" w:rsidRPr="00BD6E18" w:rsidRDefault="00476BE8" w:rsidP="00493245">
            <w:pPr>
              <w:spacing w:after="0" w:line="240" w:lineRule="auto"/>
              <w:ind w:left="547"/>
              <w:contextualSpacing/>
              <w:rPr>
                <w:bCs/>
                <w:sz w:val="20"/>
                <w:szCs w:val="20"/>
              </w:rPr>
            </w:pPr>
            <w:r w:rsidRPr="00BD6E18">
              <w:rPr>
                <w:bCs/>
                <w:color w:val="000000"/>
                <w:sz w:val="20"/>
                <w:szCs w:val="20"/>
              </w:rPr>
              <w:t>(</w:t>
            </w:r>
            <w:r w:rsidRPr="00BD6E18">
              <w:rPr>
                <w:bCs/>
                <w:color w:val="000000"/>
                <w:sz w:val="20"/>
                <w:szCs w:val="20"/>
                <w:u w:val="single"/>
              </w:rPr>
              <w:t>1</w:t>
            </w:r>
            <w:r w:rsidRPr="00BD6E18">
              <w:rPr>
                <w:bCs/>
                <w:color w:val="000000"/>
                <w:sz w:val="20"/>
                <w:szCs w:val="20"/>
              </w:rPr>
              <w:t>) Date and t</w:t>
            </w:r>
            <w:r w:rsidRPr="00BD6E18">
              <w:rPr>
                <w:bCs/>
                <w:sz w:val="20"/>
                <w:szCs w:val="20"/>
              </w:rPr>
              <w:t xml:space="preserve">ime of vital sign measurement or end time of vital sign measurement; </w:t>
            </w:r>
          </w:p>
          <w:p w:rsidR="00476BE8" w:rsidRPr="00BD6E18" w:rsidRDefault="00476BE8" w:rsidP="00493245">
            <w:pPr>
              <w:spacing w:after="0" w:line="240" w:lineRule="auto"/>
              <w:ind w:left="547"/>
              <w:contextualSpacing/>
              <w:rPr>
                <w:bCs/>
                <w:sz w:val="20"/>
                <w:szCs w:val="20"/>
              </w:rPr>
            </w:pPr>
            <w:r w:rsidRPr="00BD6E18">
              <w:rPr>
                <w:bCs/>
                <w:sz w:val="20"/>
                <w:szCs w:val="20"/>
              </w:rPr>
              <w:t>(</w:t>
            </w:r>
            <w:r w:rsidRPr="00BD6E18">
              <w:rPr>
                <w:bCs/>
                <w:sz w:val="20"/>
                <w:szCs w:val="20"/>
                <w:u w:val="single"/>
              </w:rPr>
              <w:t>2</w:t>
            </w:r>
            <w:r w:rsidRPr="00BD6E18">
              <w:rPr>
                <w:bCs/>
                <w:sz w:val="20"/>
                <w:szCs w:val="20"/>
              </w:rPr>
              <w:t>) The measuring- or authoring-type source of the vital sign measurement; and</w:t>
            </w:r>
          </w:p>
          <w:p w:rsidR="00476BE8" w:rsidRPr="00BD6E18" w:rsidRDefault="00476BE8" w:rsidP="00493245">
            <w:pPr>
              <w:spacing w:after="0" w:line="240" w:lineRule="auto"/>
              <w:ind w:left="547"/>
              <w:contextualSpacing/>
              <w:rPr>
                <w:bCs/>
                <w:sz w:val="20"/>
                <w:szCs w:val="20"/>
              </w:rPr>
            </w:pPr>
            <w:r w:rsidRPr="00BD6E18">
              <w:rPr>
                <w:bCs/>
                <w:sz w:val="20"/>
                <w:szCs w:val="20"/>
              </w:rPr>
              <w:t>(</w:t>
            </w:r>
            <w:r w:rsidRPr="00BD6E18">
              <w:rPr>
                <w:bCs/>
                <w:sz w:val="20"/>
                <w:szCs w:val="20"/>
                <w:u w:val="single"/>
              </w:rPr>
              <w:t>3</w:t>
            </w:r>
            <w:r w:rsidRPr="00BD6E18">
              <w:rPr>
                <w:bCs/>
                <w:sz w:val="20"/>
                <w:szCs w:val="20"/>
              </w:rPr>
              <w:t xml:space="preserve">) </w:t>
            </w:r>
            <w:r w:rsidRPr="00BD6E18">
              <w:rPr>
                <w:bCs/>
                <w:sz w:val="20"/>
                <w:szCs w:val="20"/>
                <w:u w:val="single"/>
              </w:rPr>
              <w:t>Optional.</w:t>
            </w:r>
            <w:r w:rsidRPr="00BD6E18">
              <w:rPr>
                <w:bCs/>
                <w:sz w:val="20"/>
                <w:szCs w:val="20"/>
              </w:rPr>
              <w:t xml:space="preserve"> </w:t>
            </w:r>
            <w:r w:rsidRPr="00BD6E18">
              <w:rPr>
                <w:bCs/>
                <w:color w:val="000000"/>
                <w:sz w:val="20"/>
                <w:szCs w:val="20"/>
              </w:rPr>
              <w:t>Date and t</w:t>
            </w:r>
            <w:r w:rsidRPr="00BD6E18">
              <w:rPr>
                <w:bCs/>
                <w:sz w:val="20"/>
                <w:szCs w:val="20"/>
              </w:rPr>
              <w:t>ime of vital sign measurement or end time of vital sign measurement in accordance with the standard in § 170.210(g); and</w:t>
            </w:r>
          </w:p>
          <w:p w:rsidR="00476BE8" w:rsidRPr="00E20F00" w:rsidRDefault="00476BE8" w:rsidP="00493245">
            <w:pPr>
              <w:spacing w:after="0" w:line="240" w:lineRule="auto"/>
              <w:ind w:left="547"/>
              <w:contextualSpacing/>
              <w:rPr>
                <w:bCs/>
                <w:sz w:val="20"/>
                <w:szCs w:val="20"/>
              </w:rPr>
            </w:pPr>
            <w:r w:rsidRPr="00A01C00">
              <w:rPr>
                <w:sz w:val="20"/>
                <w:szCs w:val="20"/>
              </w:rPr>
              <w:t>(C)</w:t>
            </w:r>
            <w:r w:rsidRPr="00A01C00">
              <w:rPr>
                <w:sz w:val="20"/>
                <w:szCs w:val="20"/>
                <w:u w:val="single"/>
              </w:rPr>
              <w:t xml:space="preserve"> Metadata for </w:t>
            </w:r>
            <w:r w:rsidRPr="00A01C00">
              <w:rPr>
                <w:color w:val="000000"/>
                <w:sz w:val="20"/>
                <w:szCs w:val="20"/>
                <w:u w:val="single"/>
              </w:rPr>
              <w:t>oxygen saturation in arterial blood by pulse oximetry</w:t>
            </w:r>
            <w:r w:rsidRPr="00A01C00">
              <w:rPr>
                <w:sz w:val="20"/>
                <w:szCs w:val="20"/>
                <w:u w:val="single"/>
              </w:rPr>
              <w:t>.</w:t>
            </w:r>
            <w:r w:rsidRPr="00F57972">
              <w:rPr>
                <w:sz w:val="20"/>
                <w:szCs w:val="20"/>
              </w:rPr>
              <w:t xml:space="preserve"> </w:t>
            </w:r>
            <w:r w:rsidRPr="00A01C00">
              <w:rPr>
                <w:sz w:val="20"/>
                <w:szCs w:val="20"/>
              </w:rPr>
              <w:t xml:space="preserve">For the </w:t>
            </w:r>
            <w:r w:rsidRPr="00A01C00">
              <w:rPr>
                <w:color w:val="000000"/>
                <w:sz w:val="20"/>
                <w:szCs w:val="20"/>
              </w:rPr>
              <w:t>oxygen saturation in arterial blood by pulse oximetry</w:t>
            </w:r>
            <w:r w:rsidRPr="00A01C00">
              <w:rPr>
                <w:sz w:val="20"/>
                <w:szCs w:val="20"/>
              </w:rPr>
              <w:t>,</w:t>
            </w:r>
            <w:r w:rsidRPr="00426C0E">
              <w:rPr>
                <w:bCs/>
                <w:sz w:val="20"/>
                <w:szCs w:val="20"/>
              </w:rPr>
              <w:t xml:space="preserve"> </w:t>
            </w:r>
            <w:r w:rsidRPr="003457CB">
              <w:rPr>
                <w:bCs/>
                <w:sz w:val="20"/>
                <w:szCs w:val="20"/>
              </w:rPr>
              <w:t xml:space="preserve">the technology must enable a user to record, change, and access the patient’s inhaled oxygen concentration identified, at a minimum, with the version of the standard adopt in § 170.207(c)(3) and </w:t>
            </w:r>
            <w:r w:rsidRPr="00E900A1">
              <w:rPr>
                <w:bCs/>
                <w:sz w:val="20"/>
                <w:szCs w:val="20"/>
              </w:rPr>
              <w:t>attributed with LOINC</w:t>
            </w:r>
            <w:r w:rsidRPr="00E20F00">
              <w:rPr>
                <w:bCs/>
                <w:sz w:val="20"/>
                <w:szCs w:val="20"/>
                <w:vertAlign w:val="superscript"/>
              </w:rPr>
              <w:t xml:space="preserve">® </w:t>
            </w:r>
            <w:r w:rsidRPr="00E20F00">
              <w:rPr>
                <w:bCs/>
                <w:sz w:val="20"/>
                <w:szCs w:val="20"/>
              </w:rPr>
              <w:t xml:space="preserve">code 8478-0. </w:t>
            </w:r>
          </w:p>
          <w:p w:rsidR="00476BE8" w:rsidRPr="00BD6E18" w:rsidRDefault="00476BE8" w:rsidP="00493245">
            <w:pPr>
              <w:spacing w:after="0" w:line="240" w:lineRule="auto"/>
              <w:ind w:left="540"/>
              <w:rPr>
                <w:bCs/>
                <w:sz w:val="20"/>
                <w:szCs w:val="20"/>
              </w:rPr>
            </w:pPr>
            <w:r w:rsidRPr="00426C0E">
              <w:rPr>
                <w:bCs/>
                <w:sz w:val="20"/>
                <w:szCs w:val="20"/>
              </w:rPr>
              <w:t xml:space="preserve">(ii) </w:t>
            </w:r>
            <w:r w:rsidRPr="00BD6E18">
              <w:rPr>
                <w:bCs/>
                <w:sz w:val="20"/>
                <w:szCs w:val="20"/>
                <w:u w:val="single"/>
              </w:rPr>
              <w:t>Optional – Body mass index percentile per age and sex.</w:t>
            </w:r>
            <w:r w:rsidRPr="00BD6E18">
              <w:rPr>
                <w:bCs/>
                <w:sz w:val="20"/>
                <w:szCs w:val="20"/>
              </w:rPr>
              <w:t xml:space="preserve"> Enable a user to record, change, and access a patient’s body mass index [percentile] per age and sex for patients two to twenty years of age in accordance with the following (The patient’s body mass index [percentile] per age and sex must be recorded in numerical values only.):</w:t>
            </w:r>
          </w:p>
          <w:p w:rsidR="00476BE8" w:rsidRPr="00BD6E18" w:rsidRDefault="00476BE8" w:rsidP="00493245">
            <w:pPr>
              <w:spacing w:after="0" w:line="240" w:lineRule="auto"/>
              <w:ind w:left="540"/>
              <w:rPr>
                <w:bCs/>
                <w:color w:val="000000"/>
                <w:sz w:val="20"/>
                <w:szCs w:val="20"/>
              </w:rPr>
            </w:pPr>
            <w:r w:rsidRPr="00BD6E18">
              <w:rPr>
                <w:bCs/>
                <w:sz w:val="20"/>
                <w:szCs w:val="20"/>
              </w:rPr>
              <w:t>(A) Identified, at a minimum, with the version of the standard adopt in § 170.207(c)(3) and attributed with LOINC</w:t>
            </w:r>
            <w:r w:rsidRPr="00BD6E18">
              <w:rPr>
                <w:bCs/>
                <w:sz w:val="20"/>
                <w:szCs w:val="20"/>
                <w:vertAlign w:val="superscript"/>
              </w:rPr>
              <w:t xml:space="preserve">® </w:t>
            </w:r>
            <w:r w:rsidRPr="00BD6E18">
              <w:rPr>
                <w:bCs/>
                <w:sz w:val="20"/>
                <w:szCs w:val="20"/>
              </w:rPr>
              <w:t xml:space="preserve">code 59576-9 and with the associated applicable unit of measure in the standard specified in </w:t>
            </w:r>
            <w:r w:rsidRPr="00BD6E18">
              <w:rPr>
                <w:bCs/>
                <w:color w:val="000000"/>
                <w:sz w:val="20"/>
                <w:szCs w:val="20"/>
              </w:rPr>
              <w:t>§ 170.207(m)(1); and</w:t>
            </w:r>
          </w:p>
          <w:p w:rsidR="00476BE8" w:rsidRPr="00BD6E18" w:rsidRDefault="00476BE8" w:rsidP="00493245">
            <w:pPr>
              <w:spacing w:after="0" w:line="240" w:lineRule="auto"/>
              <w:ind w:left="540"/>
              <w:rPr>
                <w:bCs/>
                <w:sz w:val="20"/>
                <w:szCs w:val="20"/>
              </w:rPr>
            </w:pPr>
            <w:r w:rsidRPr="00BD6E18">
              <w:rPr>
                <w:bCs/>
                <w:sz w:val="20"/>
                <w:szCs w:val="20"/>
              </w:rPr>
              <w:t xml:space="preserve">(B) </w:t>
            </w:r>
            <w:r w:rsidRPr="00BD6E18">
              <w:rPr>
                <w:bCs/>
                <w:sz w:val="20"/>
                <w:szCs w:val="20"/>
                <w:u w:val="single"/>
              </w:rPr>
              <w:t>Metadata</w:t>
            </w:r>
            <w:r w:rsidRPr="00BD6E18">
              <w:rPr>
                <w:bCs/>
                <w:sz w:val="20"/>
                <w:szCs w:val="20"/>
              </w:rPr>
              <w:t>. T</w:t>
            </w:r>
            <w:r w:rsidRPr="00BD6E18">
              <w:rPr>
                <w:bCs/>
                <w:color w:val="000000"/>
                <w:sz w:val="20"/>
                <w:szCs w:val="20"/>
              </w:rPr>
              <w:t>he technology must also record the following:</w:t>
            </w:r>
          </w:p>
          <w:p w:rsidR="00476BE8" w:rsidRPr="00BD6E18" w:rsidRDefault="00476BE8" w:rsidP="00493245">
            <w:pPr>
              <w:spacing w:after="0" w:line="240" w:lineRule="auto"/>
              <w:ind w:left="540"/>
              <w:rPr>
                <w:bCs/>
                <w:sz w:val="20"/>
                <w:szCs w:val="20"/>
              </w:rPr>
            </w:pPr>
            <w:r w:rsidRPr="00BD6E18">
              <w:rPr>
                <w:bCs/>
                <w:sz w:val="20"/>
                <w:szCs w:val="20"/>
              </w:rPr>
              <w:t>(</w:t>
            </w:r>
            <w:r w:rsidRPr="00BD6E18">
              <w:rPr>
                <w:bCs/>
                <w:sz w:val="20"/>
                <w:szCs w:val="20"/>
                <w:u w:val="single"/>
              </w:rPr>
              <w:t>1</w:t>
            </w:r>
            <w:r w:rsidRPr="00BD6E18">
              <w:rPr>
                <w:bCs/>
                <w:sz w:val="20"/>
                <w:szCs w:val="20"/>
              </w:rPr>
              <w:t>) Date and time of vital sign measurement or end time of vital sign measurement;</w:t>
            </w:r>
          </w:p>
          <w:p w:rsidR="00476BE8" w:rsidRPr="00BD6E18" w:rsidRDefault="00476BE8" w:rsidP="00493245">
            <w:pPr>
              <w:spacing w:after="0" w:line="240" w:lineRule="auto"/>
              <w:ind w:left="540"/>
              <w:rPr>
                <w:bCs/>
                <w:sz w:val="20"/>
                <w:szCs w:val="20"/>
              </w:rPr>
            </w:pPr>
            <w:r w:rsidRPr="00BD6E18">
              <w:rPr>
                <w:bCs/>
                <w:sz w:val="20"/>
                <w:szCs w:val="20"/>
              </w:rPr>
              <w:t>(</w:t>
            </w:r>
            <w:r w:rsidRPr="00BD6E18">
              <w:rPr>
                <w:bCs/>
                <w:sz w:val="20"/>
                <w:szCs w:val="20"/>
                <w:u w:val="single"/>
              </w:rPr>
              <w:t>2</w:t>
            </w:r>
            <w:r w:rsidRPr="00BD6E18">
              <w:rPr>
                <w:bCs/>
                <w:sz w:val="20"/>
                <w:szCs w:val="20"/>
              </w:rPr>
              <w:t>) The measuring- or authoring-type source of the vital sign measurement;</w:t>
            </w:r>
          </w:p>
          <w:p w:rsidR="00476BE8" w:rsidRPr="00BD6E18" w:rsidRDefault="00476BE8" w:rsidP="00493245">
            <w:pPr>
              <w:spacing w:after="0" w:line="240" w:lineRule="auto"/>
              <w:ind w:left="540"/>
              <w:rPr>
                <w:bCs/>
                <w:sz w:val="20"/>
                <w:szCs w:val="20"/>
              </w:rPr>
            </w:pPr>
            <w:r w:rsidRPr="00BD6E18">
              <w:rPr>
                <w:bCs/>
                <w:sz w:val="20"/>
                <w:szCs w:val="20"/>
              </w:rPr>
              <w:t>(</w:t>
            </w:r>
            <w:r w:rsidRPr="00BD6E18">
              <w:rPr>
                <w:bCs/>
                <w:sz w:val="20"/>
                <w:szCs w:val="20"/>
                <w:u w:val="single"/>
              </w:rPr>
              <w:t>3</w:t>
            </w:r>
            <w:r w:rsidRPr="00BD6E18">
              <w:rPr>
                <w:bCs/>
                <w:sz w:val="20"/>
                <w:szCs w:val="20"/>
              </w:rPr>
              <w:t>) The patient’s date of birth;</w:t>
            </w:r>
          </w:p>
          <w:p w:rsidR="00476BE8" w:rsidRPr="00BD6E18" w:rsidRDefault="00476BE8" w:rsidP="00493245">
            <w:pPr>
              <w:spacing w:after="0" w:line="240" w:lineRule="auto"/>
              <w:ind w:left="540"/>
              <w:rPr>
                <w:bCs/>
                <w:sz w:val="20"/>
                <w:szCs w:val="20"/>
              </w:rPr>
            </w:pPr>
            <w:r w:rsidRPr="00BD6E18">
              <w:rPr>
                <w:bCs/>
                <w:sz w:val="20"/>
                <w:szCs w:val="20"/>
              </w:rPr>
              <w:t>(</w:t>
            </w:r>
            <w:r w:rsidRPr="00BD6E18">
              <w:rPr>
                <w:bCs/>
                <w:sz w:val="20"/>
                <w:szCs w:val="20"/>
                <w:u w:val="single"/>
              </w:rPr>
              <w:t>4</w:t>
            </w:r>
            <w:r w:rsidRPr="00BD6E18">
              <w:rPr>
                <w:bCs/>
                <w:sz w:val="20"/>
                <w:szCs w:val="20"/>
              </w:rPr>
              <w:t>) The patient’s sex in accordance with the standard specified in § 170.207(n)(1); and</w:t>
            </w:r>
          </w:p>
          <w:p w:rsidR="00476BE8" w:rsidRPr="00BD6E18" w:rsidRDefault="00476BE8" w:rsidP="00493245">
            <w:pPr>
              <w:spacing w:after="0" w:line="240" w:lineRule="auto"/>
              <w:ind w:left="540"/>
              <w:rPr>
                <w:bCs/>
                <w:sz w:val="20"/>
                <w:szCs w:val="20"/>
              </w:rPr>
            </w:pPr>
            <w:r w:rsidRPr="00BD6E18">
              <w:rPr>
                <w:bCs/>
                <w:sz w:val="20"/>
                <w:szCs w:val="20"/>
              </w:rPr>
              <w:t>(</w:t>
            </w:r>
            <w:r w:rsidRPr="00BD6E18">
              <w:rPr>
                <w:bCs/>
                <w:sz w:val="20"/>
                <w:szCs w:val="20"/>
                <w:u w:val="single"/>
              </w:rPr>
              <w:t>5</w:t>
            </w:r>
            <w:r w:rsidRPr="00BD6E18">
              <w:rPr>
                <w:bCs/>
                <w:sz w:val="20"/>
                <w:szCs w:val="20"/>
              </w:rPr>
              <w:t xml:space="preserve">) </w:t>
            </w:r>
            <w:r w:rsidRPr="00BD6E18">
              <w:rPr>
                <w:bCs/>
                <w:sz w:val="20"/>
                <w:szCs w:val="20"/>
                <w:u w:val="single"/>
              </w:rPr>
              <w:t>Optional.</w:t>
            </w:r>
            <w:r w:rsidRPr="00BD6E18">
              <w:rPr>
                <w:bCs/>
                <w:sz w:val="20"/>
                <w:szCs w:val="20"/>
              </w:rPr>
              <w:t xml:space="preserve"> Date and time of vital sign measurement or end time of vital sign measurement in accordance with the standard in § 170.210(g).</w:t>
            </w:r>
          </w:p>
          <w:p w:rsidR="00476BE8" w:rsidRPr="00BD6E18" w:rsidRDefault="00476BE8" w:rsidP="00493245">
            <w:pPr>
              <w:spacing w:after="0" w:line="240" w:lineRule="auto"/>
              <w:ind w:left="540"/>
              <w:rPr>
                <w:bCs/>
                <w:sz w:val="20"/>
                <w:szCs w:val="20"/>
              </w:rPr>
            </w:pPr>
            <w:r w:rsidRPr="00BD6E18">
              <w:rPr>
                <w:bCs/>
                <w:sz w:val="20"/>
                <w:szCs w:val="20"/>
              </w:rPr>
              <w:t xml:space="preserve">(iii) </w:t>
            </w:r>
            <w:r w:rsidRPr="00BD6E18">
              <w:rPr>
                <w:bCs/>
                <w:sz w:val="20"/>
                <w:szCs w:val="20"/>
                <w:u w:val="single"/>
              </w:rPr>
              <w:t>Optional – Weight for length per age and sex.</w:t>
            </w:r>
            <w:r w:rsidRPr="00BD6E18">
              <w:rPr>
                <w:bCs/>
                <w:sz w:val="20"/>
                <w:szCs w:val="20"/>
              </w:rPr>
              <w:t xml:space="preserve"> Enable a user to record, change, and access a patient’s weight for length per age and sex for patients less than three years of age in accordance with the following (The patient’s weight for length per age and sex must be recorded in numerical values only.):</w:t>
            </w:r>
          </w:p>
          <w:p w:rsidR="00476BE8" w:rsidRPr="00BD6E18" w:rsidRDefault="00476BE8" w:rsidP="00493245">
            <w:pPr>
              <w:spacing w:after="0" w:line="240" w:lineRule="auto"/>
              <w:ind w:left="540"/>
              <w:rPr>
                <w:bCs/>
                <w:color w:val="000000"/>
                <w:sz w:val="20"/>
                <w:szCs w:val="20"/>
              </w:rPr>
            </w:pPr>
            <w:r w:rsidRPr="00BD6E18">
              <w:rPr>
                <w:bCs/>
                <w:sz w:val="20"/>
                <w:szCs w:val="20"/>
              </w:rPr>
              <w:t>(A) Identified, at a minimum, with the version of the standard adopt in § 170.207(c)(3) and attributed with</w:t>
            </w:r>
            <w:r>
              <w:rPr>
                <w:bCs/>
                <w:sz w:val="20"/>
                <w:szCs w:val="20"/>
              </w:rPr>
              <w:t xml:space="preserve"> the</w:t>
            </w:r>
            <w:r w:rsidRPr="00E900A1">
              <w:rPr>
                <w:bCs/>
                <w:sz w:val="20"/>
                <w:szCs w:val="20"/>
              </w:rPr>
              <w:t xml:space="preserve"> LOINC</w:t>
            </w:r>
            <w:r w:rsidRPr="00E20F00">
              <w:rPr>
                <w:bCs/>
                <w:sz w:val="20"/>
                <w:szCs w:val="20"/>
                <w:vertAlign w:val="superscript"/>
              </w:rPr>
              <w:t xml:space="preserve">® </w:t>
            </w:r>
            <w:r w:rsidRPr="00E20F00">
              <w:rPr>
                <w:bCs/>
                <w:sz w:val="20"/>
                <w:szCs w:val="20"/>
              </w:rPr>
              <w:t xml:space="preserve">code </w:t>
            </w:r>
            <w:r w:rsidRPr="00BD6E18">
              <w:rPr>
                <w:bCs/>
                <w:sz w:val="20"/>
                <w:szCs w:val="20"/>
              </w:rPr>
              <w:t xml:space="preserve">and with the associated applicable unit of measure in the standard specified in </w:t>
            </w:r>
            <w:r w:rsidRPr="00BD6E18">
              <w:rPr>
                <w:bCs/>
                <w:color w:val="000000"/>
                <w:sz w:val="20"/>
                <w:szCs w:val="20"/>
              </w:rPr>
              <w:t>§ 170.207(m)(1); and</w:t>
            </w:r>
          </w:p>
          <w:p w:rsidR="00476BE8" w:rsidRPr="00BD6E18" w:rsidRDefault="00476BE8" w:rsidP="00493245">
            <w:pPr>
              <w:spacing w:after="0" w:line="240" w:lineRule="auto"/>
              <w:ind w:left="540"/>
              <w:rPr>
                <w:bCs/>
                <w:sz w:val="20"/>
                <w:szCs w:val="20"/>
              </w:rPr>
            </w:pPr>
            <w:r w:rsidRPr="00BD6E18">
              <w:rPr>
                <w:bCs/>
                <w:sz w:val="20"/>
                <w:szCs w:val="20"/>
              </w:rPr>
              <w:t xml:space="preserve">(B) </w:t>
            </w:r>
            <w:r w:rsidRPr="00BD6E18">
              <w:rPr>
                <w:bCs/>
                <w:sz w:val="20"/>
                <w:szCs w:val="20"/>
                <w:u w:val="single"/>
              </w:rPr>
              <w:t>Metadata.</w:t>
            </w:r>
            <w:r w:rsidRPr="00BD6E18">
              <w:rPr>
                <w:bCs/>
                <w:sz w:val="20"/>
                <w:szCs w:val="20"/>
              </w:rPr>
              <w:t xml:space="preserve"> T</w:t>
            </w:r>
            <w:r w:rsidRPr="00BD6E18">
              <w:rPr>
                <w:bCs/>
                <w:color w:val="000000"/>
                <w:sz w:val="20"/>
                <w:szCs w:val="20"/>
              </w:rPr>
              <w:t>he technology must record the following:</w:t>
            </w:r>
          </w:p>
          <w:p w:rsidR="00476BE8" w:rsidRPr="00BD6E18" w:rsidRDefault="00476BE8" w:rsidP="00493245">
            <w:pPr>
              <w:spacing w:after="0" w:line="240" w:lineRule="auto"/>
              <w:ind w:left="540"/>
              <w:rPr>
                <w:bCs/>
                <w:sz w:val="20"/>
                <w:szCs w:val="20"/>
              </w:rPr>
            </w:pPr>
            <w:r w:rsidRPr="00BD6E18">
              <w:rPr>
                <w:bCs/>
                <w:sz w:val="20"/>
                <w:szCs w:val="20"/>
              </w:rPr>
              <w:t>(</w:t>
            </w:r>
            <w:r w:rsidRPr="00BD6E18">
              <w:rPr>
                <w:bCs/>
                <w:sz w:val="20"/>
                <w:szCs w:val="20"/>
                <w:u w:val="single"/>
              </w:rPr>
              <w:t>1</w:t>
            </w:r>
            <w:r w:rsidRPr="00BD6E18">
              <w:rPr>
                <w:bCs/>
                <w:sz w:val="20"/>
                <w:szCs w:val="20"/>
              </w:rPr>
              <w:t>) Date and time of vital sign measurement or end time of vital sign measurement;</w:t>
            </w:r>
          </w:p>
          <w:p w:rsidR="00476BE8" w:rsidRPr="00BD6E18" w:rsidRDefault="00476BE8" w:rsidP="00493245">
            <w:pPr>
              <w:spacing w:after="0" w:line="240" w:lineRule="auto"/>
              <w:ind w:left="540"/>
              <w:rPr>
                <w:bCs/>
                <w:sz w:val="20"/>
                <w:szCs w:val="20"/>
              </w:rPr>
            </w:pPr>
            <w:r w:rsidRPr="00BD6E18">
              <w:rPr>
                <w:bCs/>
                <w:sz w:val="20"/>
                <w:szCs w:val="20"/>
              </w:rPr>
              <w:t>(</w:t>
            </w:r>
            <w:r w:rsidRPr="00BD6E18">
              <w:rPr>
                <w:bCs/>
                <w:sz w:val="20"/>
                <w:szCs w:val="20"/>
                <w:u w:val="single"/>
              </w:rPr>
              <w:t>2</w:t>
            </w:r>
            <w:r w:rsidRPr="00BD6E18">
              <w:rPr>
                <w:bCs/>
                <w:sz w:val="20"/>
                <w:szCs w:val="20"/>
              </w:rPr>
              <w:t xml:space="preserve">) The measuring- or authoring-type source of the vital sign measurement; </w:t>
            </w:r>
          </w:p>
          <w:p w:rsidR="00476BE8" w:rsidRPr="00BD6E18" w:rsidRDefault="00476BE8" w:rsidP="00493245">
            <w:pPr>
              <w:spacing w:after="0" w:line="240" w:lineRule="auto"/>
              <w:ind w:left="540"/>
              <w:rPr>
                <w:bCs/>
                <w:sz w:val="20"/>
                <w:szCs w:val="20"/>
              </w:rPr>
            </w:pPr>
            <w:r w:rsidRPr="00BD6E18">
              <w:rPr>
                <w:bCs/>
                <w:sz w:val="20"/>
                <w:szCs w:val="20"/>
              </w:rPr>
              <w:t>(</w:t>
            </w:r>
            <w:r w:rsidRPr="00BD6E18">
              <w:rPr>
                <w:bCs/>
                <w:sz w:val="20"/>
                <w:szCs w:val="20"/>
                <w:u w:val="single"/>
              </w:rPr>
              <w:t>3</w:t>
            </w:r>
            <w:r w:rsidRPr="00BD6E18">
              <w:rPr>
                <w:bCs/>
                <w:sz w:val="20"/>
                <w:szCs w:val="20"/>
              </w:rPr>
              <w:t>) The patient’s date of birth;</w:t>
            </w:r>
          </w:p>
          <w:p w:rsidR="00476BE8" w:rsidRPr="00BD6E18" w:rsidRDefault="00476BE8" w:rsidP="00493245">
            <w:pPr>
              <w:spacing w:after="0" w:line="240" w:lineRule="auto"/>
              <w:ind w:left="540"/>
              <w:rPr>
                <w:bCs/>
                <w:sz w:val="20"/>
                <w:szCs w:val="20"/>
              </w:rPr>
            </w:pPr>
            <w:r w:rsidRPr="00BD6E18">
              <w:rPr>
                <w:bCs/>
                <w:sz w:val="20"/>
                <w:szCs w:val="20"/>
              </w:rPr>
              <w:t>(</w:t>
            </w:r>
            <w:r w:rsidRPr="00BD6E18">
              <w:rPr>
                <w:bCs/>
                <w:sz w:val="20"/>
                <w:szCs w:val="20"/>
                <w:u w:val="single"/>
              </w:rPr>
              <w:t>4</w:t>
            </w:r>
            <w:r w:rsidRPr="00BD6E18">
              <w:rPr>
                <w:bCs/>
                <w:sz w:val="20"/>
                <w:szCs w:val="20"/>
              </w:rPr>
              <w:t>)  The patient’s sex in accordance with the standard specified in § 170.207(n)(1)</w:t>
            </w:r>
            <w:r>
              <w:rPr>
                <w:bCs/>
                <w:sz w:val="20"/>
                <w:szCs w:val="20"/>
              </w:rPr>
              <w:t>;</w:t>
            </w:r>
            <w:r w:rsidRPr="00BD6E18">
              <w:rPr>
                <w:bCs/>
                <w:sz w:val="20"/>
                <w:szCs w:val="20"/>
              </w:rPr>
              <w:t xml:space="preserve"> and</w:t>
            </w:r>
          </w:p>
          <w:p w:rsidR="00476BE8" w:rsidRPr="00BD6E18" w:rsidRDefault="00476BE8" w:rsidP="00493245">
            <w:pPr>
              <w:spacing w:after="0" w:line="240" w:lineRule="auto"/>
              <w:ind w:left="540"/>
              <w:rPr>
                <w:bCs/>
                <w:sz w:val="20"/>
                <w:szCs w:val="20"/>
              </w:rPr>
            </w:pPr>
            <w:r w:rsidRPr="00BD6E18">
              <w:rPr>
                <w:bCs/>
                <w:sz w:val="20"/>
                <w:szCs w:val="20"/>
              </w:rPr>
              <w:t>(</w:t>
            </w:r>
            <w:r w:rsidRPr="00BD6E18">
              <w:rPr>
                <w:bCs/>
                <w:sz w:val="20"/>
                <w:szCs w:val="20"/>
                <w:u w:val="single"/>
              </w:rPr>
              <w:t>5</w:t>
            </w:r>
            <w:r w:rsidRPr="00BD6E18">
              <w:rPr>
                <w:bCs/>
                <w:sz w:val="20"/>
                <w:szCs w:val="20"/>
              </w:rPr>
              <w:t xml:space="preserve">) </w:t>
            </w:r>
            <w:r w:rsidRPr="00BD6E18">
              <w:rPr>
                <w:bCs/>
                <w:sz w:val="20"/>
                <w:szCs w:val="20"/>
                <w:u w:val="single"/>
              </w:rPr>
              <w:t>Optional.</w:t>
            </w:r>
            <w:r w:rsidRPr="00BD6E18">
              <w:rPr>
                <w:bCs/>
                <w:sz w:val="20"/>
                <w:szCs w:val="20"/>
              </w:rPr>
              <w:t xml:space="preserve"> Date and time of vital sign measurement or end time of vital sign measurement in accordance with the standard in § 170.210(g). </w:t>
            </w:r>
          </w:p>
          <w:p w:rsidR="00476BE8" w:rsidRPr="00BD6E18" w:rsidRDefault="00476BE8" w:rsidP="00493245">
            <w:pPr>
              <w:spacing w:after="0" w:line="240" w:lineRule="auto"/>
              <w:ind w:left="540"/>
              <w:rPr>
                <w:bCs/>
                <w:sz w:val="20"/>
                <w:szCs w:val="20"/>
              </w:rPr>
            </w:pPr>
            <w:r w:rsidRPr="00BD6E18">
              <w:rPr>
                <w:bCs/>
                <w:sz w:val="20"/>
                <w:szCs w:val="20"/>
              </w:rPr>
              <w:t>(</w:t>
            </w:r>
            <w:proofErr w:type="gramStart"/>
            <w:r>
              <w:rPr>
                <w:bCs/>
                <w:sz w:val="20"/>
                <w:szCs w:val="20"/>
              </w:rPr>
              <w:t>iv</w:t>
            </w:r>
            <w:proofErr w:type="gramEnd"/>
            <w:r w:rsidRPr="00E20F00">
              <w:rPr>
                <w:bCs/>
                <w:sz w:val="20"/>
                <w:szCs w:val="20"/>
              </w:rPr>
              <w:t xml:space="preserve">) </w:t>
            </w:r>
            <w:r w:rsidRPr="00E20F00">
              <w:rPr>
                <w:bCs/>
                <w:sz w:val="20"/>
                <w:szCs w:val="20"/>
                <w:u w:val="single"/>
              </w:rPr>
              <w:t>Optional – Head occipital-frontal circumference.</w:t>
            </w:r>
            <w:r w:rsidRPr="00426C0E">
              <w:rPr>
                <w:bCs/>
                <w:sz w:val="20"/>
                <w:szCs w:val="20"/>
              </w:rPr>
              <w:t xml:space="preserve"> Enable a user to record, change, and access a patient’s head occipital-frontal circumference for patients less than three years of age in accordance with the following (The patient’s head occipital-frontal circumference must be recorded in numerical value</w:t>
            </w:r>
            <w:r w:rsidRPr="00BD6E18">
              <w:rPr>
                <w:bCs/>
                <w:sz w:val="20"/>
                <w:szCs w:val="20"/>
              </w:rPr>
              <w:t>s only.):</w:t>
            </w:r>
          </w:p>
          <w:p w:rsidR="00476BE8" w:rsidRPr="00BD6E18" w:rsidRDefault="00476BE8" w:rsidP="00493245">
            <w:pPr>
              <w:spacing w:after="0" w:line="240" w:lineRule="auto"/>
              <w:ind w:left="540"/>
              <w:rPr>
                <w:bCs/>
                <w:color w:val="000000"/>
                <w:sz w:val="20"/>
                <w:szCs w:val="20"/>
              </w:rPr>
            </w:pPr>
            <w:r w:rsidRPr="00BD6E18">
              <w:rPr>
                <w:bCs/>
                <w:sz w:val="20"/>
                <w:szCs w:val="20"/>
              </w:rPr>
              <w:t>(A) Identified, at a minimum, with the version of the standard adopt in § 170.207(c)(3) and attributed with LOINC</w:t>
            </w:r>
            <w:r w:rsidRPr="00BD6E18">
              <w:rPr>
                <w:bCs/>
                <w:sz w:val="20"/>
                <w:szCs w:val="20"/>
                <w:vertAlign w:val="superscript"/>
              </w:rPr>
              <w:t xml:space="preserve">® </w:t>
            </w:r>
            <w:r w:rsidRPr="00BD6E18">
              <w:rPr>
                <w:bCs/>
                <w:sz w:val="20"/>
                <w:szCs w:val="20"/>
              </w:rPr>
              <w:t>code 8287-</w:t>
            </w:r>
            <w:r w:rsidRPr="00BD6E18">
              <w:rPr>
                <w:bCs/>
                <w:sz w:val="20"/>
                <w:szCs w:val="20"/>
              </w:rPr>
              <w:lastRenderedPageBreak/>
              <w:t xml:space="preserve">5 and with the associated applicable unit of measure in the standard specified in </w:t>
            </w:r>
            <w:r w:rsidRPr="00BD6E18">
              <w:rPr>
                <w:bCs/>
                <w:color w:val="000000"/>
                <w:sz w:val="20"/>
                <w:szCs w:val="20"/>
              </w:rPr>
              <w:t>§ 170.207(m)(1); and</w:t>
            </w:r>
          </w:p>
          <w:p w:rsidR="00476BE8" w:rsidRDefault="00476BE8" w:rsidP="00493245">
            <w:pPr>
              <w:spacing w:after="0" w:line="240" w:lineRule="auto"/>
              <w:ind w:left="540"/>
              <w:rPr>
                <w:bCs/>
                <w:color w:val="000000"/>
                <w:sz w:val="20"/>
                <w:szCs w:val="20"/>
              </w:rPr>
            </w:pPr>
            <w:r w:rsidRPr="00BD6E18">
              <w:rPr>
                <w:bCs/>
                <w:sz w:val="20"/>
                <w:szCs w:val="20"/>
              </w:rPr>
              <w:t xml:space="preserve">(B) </w:t>
            </w:r>
            <w:r w:rsidRPr="00BD6E18">
              <w:rPr>
                <w:bCs/>
                <w:sz w:val="20"/>
                <w:szCs w:val="20"/>
                <w:u w:val="single"/>
              </w:rPr>
              <w:t>Metadata.</w:t>
            </w:r>
            <w:r w:rsidRPr="00BD6E18">
              <w:rPr>
                <w:bCs/>
                <w:sz w:val="20"/>
                <w:szCs w:val="20"/>
              </w:rPr>
              <w:t xml:space="preserve"> </w:t>
            </w:r>
            <w:r w:rsidRPr="00BD6E18">
              <w:rPr>
                <w:bCs/>
                <w:color w:val="000000"/>
                <w:sz w:val="20"/>
                <w:szCs w:val="20"/>
              </w:rPr>
              <w:t>The technology must also record the following:</w:t>
            </w:r>
          </w:p>
          <w:p w:rsidR="00476BE8" w:rsidRDefault="00476BE8" w:rsidP="00493245">
            <w:pPr>
              <w:spacing w:after="0" w:line="240" w:lineRule="auto"/>
              <w:ind w:left="540"/>
              <w:rPr>
                <w:bCs/>
                <w:sz w:val="20"/>
                <w:szCs w:val="20"/>
              </w:rPr>
            </w:pPr>
            <w:r w:rsidRPr="00BD6E18">
              <w:rPr>
                <w:bCs/>
                <w:sz w:val="20"/>
                <w:szCs w:val="20"/>
              </w:rPr>
              <w:t>(</w:t>
            </w:r>
            <w:r w:rsidRPr="00BD6E18">
              <w:rPr>
                <w:bCs/>
                <w:sz w:val="20"/>
                <w:szCs w:val="20"/>
                <w:u w:val="single"/>
              </w:rPr>
              <w:t>1</w:t>
            </w:r>
            <w:r w:rsidRPr="00BD6E18">
              <w:rPr>
                <w:bCs/>
                <w:sz w:val="20"/>
                <w:szCs w:val="20"/>
              </w:rPr>
              <w:t xml:space="preserve">) Date and time of vital sign measurement or end time  vital sign measurement; </w:t>
            </w:r>
          </w:p>
          <w:p w:rsidR="00476BE8" w:rsidRDefault="00476BE8" w:rsidP="00493245">
            <w:pPr>
              <w:spacing w:after="0" w:line="240" w:lineRule="auto"/>
              <w:ind w:left="540"/>
              <w:rPr>
                <w:bCs/>
                <w:sz w:val="20"/>
                <w:szCs w:val="20"/>
              </w:rPr>
            </w:pPr>
            <w:r w:rsidRPr="00BD6E18">
              <w:rPr>
                <w:bCs/>
                <w:sz w:val="20"/>
                <w:szCs w:val="20"/>
              </w:rPr>
              <w:t>(</w:t>
            </w:r>
            <w:r w:rsidRPr="00BD6E18">
              <w:rPr>
                <w:bCs/>
                <w:sz w:val="20"/>
                <w:szCs w:val="20"/>
                <w:u w:val="single"/>
              </w:rPr>
              <w:t>2</w:t>
            </w:r>
            <w:r w:rsidRPr="00BD6E18">
              <w:rPr>
                <w:bCs/>
                <w:sz w:val="20"/>
                <w:szCs w:val="20"/>
              </w:rPr>
              <w:t xml:space="preserve">) The measuring or authoring-type source of the vital sign measurement; </w:t>
            </w:r>
          </w:p>
          <w:p w:rsidR="00476BE8" w:rsidRPr="00BD6E18" w:rsidRDefault="00476BE8" w:rsidP="00493245">
            <w:pPr>
              <w:spacing w:after="0" w:line="240" w:lineRule="auto"/>
              <w:ind w:left="540"/>
              <w:rPr>
                <w:bCs/>
                <w:sz w:val="20"/>
                <w:szCs w:val="20"/>
              </w:rPr>
            </w:pPr>
            <w:r w:rsidRPr="00BD6E18">
              <w:rPr>
                <w:bCs/>
                <w:sz w:val="20"/>
                <w:szCs w:val="20"/>
              </w:rPr>
              <w:t>(</w:t>
            </w:r>
            <w:r w:rsidRPr="00BD6E18">
              <w:rPr>
                <w:bCs/>
                <w:sz w:val="20"/>
                <w:szCs w:val="20"/>
                <w:u w:val="single"/>
              </w:rPr>
              <w:t>3</w:t>
            </w:r>
            <w:r w:rsidRPr="00BD6E18">
              <w:rPr>
                <w:bCs/>
                <w:sz w:val="20"/>
                <w:szCs w:val="20"/>
              </w:rPr>
              <w:t xml:space="preserve">) The patient’s date of birth; </w:t>
            </w:r>
          </w:p>
          <w:p w:rsidR="00476BE8" w:rsidRPr="00BD6E18" w:rsidRDefault="00476BE8" w:rsidP="00493245">
            <w:pPr>
              <w:spacing w:after="0" w:line="240" w:lineRule="auto"/>
              <w:ind w:left="540"/>
              <w:rPr>
                <w:bCs/>
                <w:sz w:val="20"/>
                <w:szCs w:val="20"/>
              </w:rPr>
            </w:pPr>
            <w:r w:rsidRPr="00BD6E18">
              <w:rPr>
                <w:bCs/>
                <w:sz w:val="20"/>
                <w:szCs w:val="20"/>
              </w:rPr>
              <w:t>(</w:t>
            </w:r>
            <w:r w:rsidRPr="00BD6E18">
              <w:rPr>
                <w:bCs/>
                <w:sz w:val="20"/>
                <w:szCs w:val="20"/>
                <w:u w:val="single"/>
              </w:rPr>
              <w:t>4</w:t>
            </w:r>
            <w:r w:rsidRPr="00BD6E18">
              <w:rPr>
                <w:bCs/>
                <w:sz w:val="20"/>
                <w:szCs w:val="20"/>
              </w:rPr>
              <w:t>) The patient’s age in accordance with the standard specified in § 170.207(n)(1); and</w:t>
            </w:r>
          </w:p>
          <w:p w:rsidR="00476BE8" w:rsidRPr="00BD6E18" w:rsidRDefault="00476BE8" w:rsidP="00493245">
            <w:pPr>
              <w:spacing w:after="0" w:line="240" w:lineRule="auto"/>
              <w:ind w:left="540"/>
              <w:rPr>
                <w:bCs/>
                <w:sz w:val="20"/>
                <w:szCs w:val="20"/>
              </w:rPr>
            </w:pPr>
            <w:r w:rsidRPr="00BD6E18">
              <w:rPr>
                <w:bCs/>
                <w:sz w:val="20"/>
                <w:szCs w:val="20"/>
              </w:rPr>
              <w:t>(</w:t>
            </w:r>
            <w:r w:rsidRPr="00BD6E18">
              <w:rPr>
                <w:bCs/>
                <w:sz w:val="20"/>
                <w:szCs w:val="20"/>
                <w:u w:val="single"/>
              </w:rPr>
              <w:t>5</w:t>
            </w:r>
            <w:r w:rsidRPr="00BD6E18">
              <w:rPr>
                <w:bCs/>
                <w:sz w:val="20"/>
                <w:szCs w:val="20"/>
              </w:rPr>
              <w:t xml:space="preserve">) </w:t>
            </w:r>
            <w:r w:rsidRPr="00BD6E18">
              <w:rPr>
                <w:bCs/>
                <w:sz w:val="20"/>
                <w:szCs w:val="20"/>
                <w:u w:val="single"/>
              </w:rPr>
              <w:t>Optional.</w:t>
            </w:r>
            <w:r w:rsidRPr="00BD6E18">
              <w:rPr>
                <w:bCs/>
                <w:sz w:val="20"/>
                <w:szCs w:val="20"/>
              </w:rPr>
              <w:t xml:space="preserve"> Date and time of vital sign measurement or end time of vital sign measurement in accordance with the standard in § 170.210(g).</w:t>
            </w:r>
          </w:p>
          <w:p w:rsidR="00476BE8" w:rsidRPr="00BD6E18" w:rsidRDefault="00476BE8" w:rsidP="00493245">
            <w:pPr>
              <w:spacing w:after="0" w:line="240" w:lineRule="auto"/>
              <w:ind w:left="540"/>
              <w:rPr>
                <w:bCs/>
                <w:sz w:val="20"/>
                <w:szCs w:val="20"/>
              </w:rPr>
            </w:pPr>
            <w:r w:rsidRPr="00BD6E18">
              <w:rPr>
                <w:bCs/>
                <w:sz w:val="20"/>
                <w:szCs w:val="20"/>
              </w:rPr>
              <w:t>(v)</w:t>
            </w:r>
            <w:r w:rsidRPr="00BD6E18">
              <w:rPr>
                <w:bCs/>
                <w:iCs/>
                <w:sz w:val="20"/>
                <w:szCs w:val="20"/>
                <w:u w:val="words"/>
              </w:rPr>
              <w:t xml:space="preserve"> Optional</w:t>
            </w:r>
            <w:r w:rsidRPr="00BD6E18">
              <w:rPr>
                <w:bCs/>
                <w:iCs/>
                <w:sz w:val="20"/>
                <w:szCs w:val="20"/>
                <w:u w:val="single"/>
              </w:rPr>
              <w:t xml:space="preserve"> – Calculate body mass index.</w:t>
            </w:r>
            <w:r w:rsidRPr="00BD6E18">
              <w:rPr>
                <w:bCs/>
                <w:sz w:val="20"/>
                <w:szCs w:val="20"/>
              </w:rPr>
              <w:t xml:space="preserve"> Automatically calculate and display body mass index based on a patient's height and weight.</w:t>
            </w:r>
          </w:p>
          <w:p w:rsidR="00476BE8" w:rsidRPr="00E86D42" w:rsidRDefault="00476BE8" w:rsidP="00493245">
            <w:pPr>
              <w:spacing w:after="0" w:line="240" w:lineRule="auto"/>
              <w:ind w:left="540"/>
              <w:rPr>
                <w:sz w:val="20"/>
                <w:szCs w:val="20"/>
              </w:rPr>
            </w:pPr>
            <w:r w:rsidRPr="00BD6E18">
              <w:rPr>
                <w:bCs/>
                <w:sz w:val="20"/>
                <w:szCs w:val="20"/>
              </w:rPr>
              <w:t>(</w:t>
            </w:r>
            <w:proofErr w:type="gramStart"/>
            <w:r w:rsidRPr="00BD6E18">
              <w:rPr>
                <w:bCs/>
                <w:sz w:val="20"/>
                <w:szCs w:val="20"/>
              </w:rPr>
              <w:t>vi</w:t>
            </w:r>
            <w:proofErr w:type="gramEnd"/>
            <w:r w:rsidRPr="00BD6E18">
              <w:rPr>
                <w:bCs/>
                <w:sz w:val="20"/>
                <w:szCs w:val="20"/>
              </w:rPr>
              <w:t xml:space="preserve">) </w:t>
            </w:r>
            <w:r w:rsidRPr="00BD6E18">
              <w:rPr>
                <w:bCs/>
                <w:iCs/>
                <w:sz w:val="20"/>
                <w:szCs w:val="20"/>
                <w:u w:val="single"/>
              </w:rPr>
              <w:t>Optional – Plot and display growth charts.</w:t>
            </w:r>
            <w:r w:rsidRPr="00BD6E18">
              <w:rPr>
                <w:bCs/>
                <w:sz w:val="20"/>
                <w:szCs w:val="20"/>
              </w:rPr>
              <w:t xml:space="preserve"> Plot and display, upon request, growth charts for patients.</w:t>
            </w:r>
            <w:r w:rsidRPr="00BD6E18">
              <w:rPr>
                <w:bCs/>
                <w:color w:val="000000"/>
                <w:sz w:val="20"/>
                <w:szCs w:val="20"/>
              </w:rPr>
              <w:t xml:space="preserve"> </w:t>
            </w:r>
          </w:p>
        </w:tc>
      </w:tr>
      <w:tr w:rsidR="00476BE8" w:rsidRPr="00E86D42" w:rsidTr="00856F28">
        <w:trPr>
          <w:cantSplit/>
          <w:trHeight w:val="304"/>
          <w:jc w:val="center"/>
        </w:trPr>
        <w:tc>
          <w:tcPr>
            <w:tcW w:w="2500" w:type="pct"/>
            <w:shd w:val="clear" w:color="auto" w:fill="EAF1DD" w:themeFill="accent3" w:themeFillTint="33"/>
          </w:tcPr>
          <w:p w:rsidR="00476BE8" w:rsidRPr="00E86D42" w:rsidRDefault="00476BE8" w:rsidP="00493245">
            <w:pPr>
              <w:spacing w:after="0" w:line="240" w:lineRule="auto"/>
              <w:rPr>
                <w:sz w:val="20"/>
                <w:szCs w:val="20"/>
              </w:rPr>
            </w:pPr>
            <w:r w:rsidRPr="00E86D42">
              <w:rPr>
                <w:b/>
                <w:bCs/>
                <w:sz w:val="20"/>
                <w:szCs w:val="20"/>
              </w:rPr>
              <w:lastRenderedPageBreak/>
              <w:t xml:space="preserve">Preamble FR Citation: </w:t>
            </w:r>
            <w:r>
              <w:rPr>
                <w:b/>
                <w:bCs/>
                <w:sz w:val="20"/>
                <w:szCs w:val="20"/>
              </w:rPr>
              <w:t xml:space="preserve"> </w:t>
            </w:r>
            <w:r w:rsidRPr="003E7712">
              <w:rPr>
                <w:bCs/>
                <w:sz w:val="20"/>
                <w:szCs w:val="20"/>
              </w:rPr>
              <w:t>80 FR 1681</w:t>
            </w:r>
            <w:r>
              <w:rPr>
                <w:bCs/>
                <w:sz w:val="20"/>
                <w:szCs w:val="20"/>
              </w:rPr>
              <w:t>7</w:t>
            </w:r>
          </w:p>
        </w:tc>
        <w:tc>
          <w:tcPr>
            <w:tcW w:w="2500" w:type="pct"/>
            <w:shd w:val="clear" w:color="auto" w:fill="EAF1DD" w:themeFill="accent3" w:themeFillTint="33"/>
          </w:tcPr>
          <w:p w:rsidR="00476BE8" w:rsidRPr="00E86D42" w:rsidRDefault="00476BE8" w:rsidP="00493245">
            <w:pPr>
              <w:spacing w:after="0" w:line="240" w:lineRule="auto"/>
              <w:rPr>
                <w:b/>
                <w:bCs/>
                <w:sz w:val="20"/>
                <w:szCs w:val="20"/>
              </w:rPr>
            </w:pPr>
            <w:r w:rsidRPr="00E86D42">
              <w:rPr>
                <w:b/>
                <w:bCs/>
                <w:sz w:val="20"/>
                <w:szCs w:val="20"/>
              </w:rPr>
              <w:t xml:space="preserve">Specific questions in preamble?  </w:t>
            </w:r>
            <w:r w:rsidRPr="00E86D42">
              <w:rPr>
                <w:bCs/>
                <w:i/>
                <w:sz w:val="20"/>
                <w:szCs w:val="20"/>
              </w:rPr>
              <w:t>Yes</w:t>
            </w:r>
          </w:p>
        </w:tc>
      </w:tr>
      <w:tr w:rsidR="00476BE8" w:rsidRPr="00E86D42" w:rsidTr="00856F28">
        <w:trPr>
          <w:cantSplit/>
          <w:trHeight w:val="484"/>
          <w:jc w:val="center"/>
        </w:trPr>
        <w:tc>
          <w:tcPr>
            <w:tcW w:w="5000" w:type="pct"/>
            <w:gridSpan w:val="2"/>
            <w:shd w:val="clear" w:color="auto" w:fill="FFFFFF"/>
          </w:tcPr>
          <w:p w:rsidR="00476BE8" w:rsidRDefault="00476BE8" w:rsidP="00493245">
            <w:pPr>
              <w:spacing w:after="60" w:line="240" w:lineRule="auto"/>
              <w:rPr>
                <w:b/>
                <w:bCs/>
                <w:sz w:val="20"/>
                <w:szCs w:val="20"/>
              </w:rPr>
            </w:pPr>
            <w:r w:rsidRPr="00E86D42">
              <w:rPr>
                <w:b/>
                <w:bCs/>
                <w:sz w:val="20"/>
                <w:szCs w:val="20"/>
              </w:rPr>
              <w:t xml:space="preserve">Public Comment Field: </w:t>
            </w:r>
          </w:p>
          <w:p w:rsidR="00CB035D" w:rsidRPr="00936E9B" w:rsidRDefault="00CB035D" w:rsidP="00936E9B">
            <w:pPr>
              <w:pStyle w:val="ListParagraph"/>
              <w:numPr>
                <w:ilvl w:val="0"/>
                <w:numId w:val="5"/>
              </w:numPr>
              <w:spacing w:after="60" w:line="240" w:lineRule="auto"/>
              <w:rPr>
                <w:rFonts w:ascii="Times New Roman" w:hAnsi="Times New Roman"/>
                <w:sz w:val="20"/>
                <w:szCs w:val="20"/>
              </w:rPr>
            </w:pPr>
            <w:r w:rsidRPr="00936E9B">
              <w:rPr>
                <w:rFonts w:ascii="Times New Roman" w:hAnsi="Times New Roman"/>
                <w:sz w:val="20"/>
                <w:szCs w:val="20"/>
              </w:rPr>
              <w:t>Re: vital signs measurements that may be calculated based on other vital signs measurements (e.g. BMI, BMI percentile</w:t>
            </w:r>
            <w:r w:rsidR="00C64088" w:rsidRPr="00936E9B">
              <w:rPr>
                <w:rFonts w:ascii="Times New Roman" w:hAnsi="Times New Roman"/>
                <w:sz w:val="20"/>
                <w:szCs w:val="20"/>
              </w:rPr>
              <w:t>, mean blood pressure</w:t>
            </w:r>
            <w:r w:rsidRPr="00936E9B">
              <w:rPr>
                <w:rFonts w:ascii="Times New Roman" w:hAnsi="Times New Roman"/>
                <w:sz w:val="20"/>
                <w:szCs w:val="20"/>
              </w:rPr>
              <w:t xml:space="preserve">): The regulation should explicitly state that </w:t>
            </w:r>
            <w:r w:rsidR="00C64088" w:rsidRPr="00936E9B">
              <w:rPr>
                <w:rFonts w:ascii="Times New Roman" w:hAnsi="Times New Roman"/>
                <w:sz w:val="20"/>
                <w:szCs w:val="20"/>
              </w:rPr>
              <w:t xml:space="preserve">if a </w:t>
            </w:r>
            <w:r w:rsidRPr="00936E9B">
              <w:rPr>
                <w:rFonts w:ascii="Times New Roman" w:hAnsi="Times New Roman"/>
                <w:sz w:val="20"/>
                <w:szCs w:val="20"/>
              </w:rPr>
              <w:t xml:space="preserve">CEHRT </w:t>
            </w:r>
            <w:r w:rsidR="00D5396F" w:rsidRPr="00936E9B">
              <w:rPr>
                <w:rFonts w:ascii="Times New Roman" w:hAnsi="Times New Roman"/>
                <w:sz w:val="20"/>
                <w:szCs w:val="20"/>
              </w:rPr>
              <w:t xml:space="preserve">provides the capability to </w:t>
            </w:r>
            <w:r w:rsidRPr="00936E9B">
              <w:rPr>
                <w:rFonts w:ascii="Times New Roman" w:hAnsi="Times New Roman"/>
                <w:sz w:val="20"/>
                <w:szCs w:val="20"/>
              </w:rPr>
              <w:t>calculate these values</w:t>
            </w:r>
            <w:r w:rsidR="00D5396F" w:rsidRPr="00936E9B">
              <w:rPr>
                <w:rFonts w:ascii="Times New Roman" w:hAnsi="Times New Roman"/>
                <w:sz w:val="20"/>
                <w:szCs w:val="20"/>
              </w:rPr>
              <w:t>, it need not provide the ability to directly enter them (which would be superfluous and introduce the possibility of error)</w:t>
            </w:r>
            <w:r w:rsidRPr="00936E9B">
              <w:rPr>
                <w:rFonts w:ascii="Times New Roman" w:hAnsi="Times New Roman"/>
                <w:sz w:val="20"/>
                <w:szCs w:val="20"/>
              </w:rPr>
              <w:t>.</w:t>
            </w:r>
          </w:p>
          <w:p w:rsidR="00C470AE" w:rsidRPr="00936E9B" w:rsidRDefault="00CB035D" w:rsidP="00936E9B">
            <w:pPr>
              <w:pStyle w:val="ListParagraph"/>
              <w:numPr>
                <w:ilvl w:val="0"/>
                <w:numId w:val="5"/>
              </w:numPr>
              <w:spacing w:after="60" w:line="240" w:lineRule="auto"/>
              <w:rPr>
                <w:rFonts w:ascii="Times New Roman" w:hAnsi="Times New Roman"/>
                <w:sz w:val="20"/>
                <w:szCs w:val="20"/>
              </w:rPr>
            </w:pPr>
            <w:r w:rsidRPr="00936E9B">
              <w:rPr>
                <w:rFonts w:ascii="Times New Roman" w:hAnsi="Times New Roman"/>
                <w:sz w:val="20"/>
                <w:szCs w:val="20"/>
              </w:rPr>
              <w:t>Re: The stipulation of specific LOINCs.  For several reasons, it would be advisable to avoid identifying specific LOINC codes for storage of vital signs (or any data).  For one thing, LOINC codes may be updated or deprecated by the publishers of LOINC, and if this were to occur for these stated LOINCs, the regulation would be impossible to comply with.  More to the point, t</w:t>
            </w:r>
            <w:r w:rsidR="0090688B" w:rsidRPr="00936E9B">
              <w:rPr>
                <w:rFonts w:ascii="Times New Roman" w:hAnsi="Times New Roman"/>
                <w:sz w:val="20"/>
                <w:szCs w:val="20"/>
              </w:rPr>
              <w:t xml:space="preserve">he specific LOINCs listed </w:t>
            </w:r>
            <w:r w:rsidRPr="00936E9B">
              <w:rPr>
                <w:rFonts w:ascii="Times New Roman" w:hAnsi="Times New Roman"/>
                <w:sz w:val="20"/>
                <w:szCs w:val="20"/>
              </w:rPr>
              <w:t xml:space="preserve">are </w:t>
            </w:r>
            <w:r w:rsidR="0090688B" w:rsidRPr="00936E9B">
              <w:rPr>
                <w:rFonts w:ascii="Times New Roman" w:hAnsi="Times New Roman"/>
                <w:sz w:val="20"/>
                <w:szCs w:val="20"/>
              </w:rPr>
              <w:t>unduly restrictive</w:t>
            </w:r>
            <w:r w:rsidRPr="00936E9B">
              <w:rPr>
                <w:rFonts w:ascii="Times New Roman" w:hAnsi="Times New Roman"/>
                <w:sz w:val="20"/>
                <w:szCs w:val="20"/>
              </w:rPr>
              <w:t xml:space="preserve"> since other, more specific, LOINCs exist that are pre-coordinated with relevant details, e.g. </w:t>
            </w:r>
            <w:r w:rsidR="0090688B" w:rsidRPr="00936E9B">
              <w:rPr>
                <w:rFonts w:ascii="Times New Roman" w:hAnsi="Times New Roman"/>
                <w:sz w:val="20"/>
                <w:szCs w:val="20"/>
              </w:rPr>
              <w:t>the route by which temperature was measured (e.g. oral, tympanic, rectal, etc.)</w:t>
            </w:r>
            <w:r w:rsidRPr="00936E9B">
              <w:rPr>
                <w:rFonts w:ascii="Times New Roman" w:hAnsi="Times New Roman"/>
                <w:sz w:val="20"/>
                <w:szCs w:val="20"/>
              </w:rPr>
              <w:t xml:space="preserve"> or the patient position in which body height was measured.  </w:t>
            </w:r>
            <w:r w:rsidR="009B274C" w:rsidRPr="00936E9B">
              <w:rPr>
                <w:rFonts w:ascii="Times New Roman" w:hAnsi="Times New Roman"/>
                <w:sz w:val="20"/>
                <w:szCs w:val="20"/>
              </w:rPr>
              <w:t xml:space="preserve">These measurements are </w:t>
            </w:r>
            <w:r w:rsidR="009B274C" w:rsidRPr="00936E9B">
              <w:rPr>
                <w:rFonts w:ascii="Times New Roman" w:hAnsi="Times New Roman"/>
                <w:b/>
                <w:i/>
                <w:sz w:val="20"/>
                <w:szCs w:val="20"/>
              </w:rPr>
              <w:t>not</w:t>
            </w:r>
            <w:r w:rsidRPr="00936E9B">
              <w:rPr>
                <w:rFonts w:ascii="Times New Roman" w:hAnsi="Times New Roman"/>
                <w:sz w:val="20"/>
                <w:szCs w:val="20"/>
              </w:rPr>
              <w:t xml:space="preserve"> semantically identical, and to promote </w:t>
            </w:r>
            <w:r w:rsidR="009B274C" w:rsidRPr="00936E9B">
              <w:rPr>
                <w:rFonts w:ascii="Times New Roman" w:hAnsi="Times New Roman"/>
                <w:sz w:val="20"/>
                <w:szCs w:val="20"/>
              </w:rPr>
              <w:t>admix</w:t>
            </w:r>
            <w:r w:rsidRPr="00936E9B">
              <w:rPr>
                <w:rFonts w:ascii="Times New Roman" w:hAnsi="Times New Roman"/>
                <w:sz w:val="20"/>
                <w:szCs w:val="20"/>
              </w:rPr>
              <w:t>ture</w:t>
            </w:r>
            <w:r w:rsidR="009B274C" w:rsidRPr="00936E9B">
              <w:rPr>
                <w:rFonts w:ascii="Times New Roman" w:hAnsi="Times New Roman"/>
                <w:sz w:val="20"/>
                <w:szCs w:val="20"/>
              </w:rPr>
              <w:t xml:space="preserve"> </w:t>
            </w:r>
            <w:r w:rsidRPr="00936E9B">
              <w:rPr>
                <w:rFonts w:ascii="Times New Roman" w:hAnsi="Times New Roman"/>
                <w:sz w:val="20"/>
                <w:szCs w:val="20"/>
              </w:rPr>
              <w:t xml:space="preserve">of </w:t>
            </w:r>
            <w:r w:rsidR="009B274C" w:rsidRPr="00936E9B">
              <w:rPr>
                <w:rFonts w:ascii="Times New Roman" w:hAnsi="Times New Roman"/>
                <w:sz w:val="20"/>
                <w:szCs w:val="20"/>
              </w:rPr>
              <w:t>instance data as if they are</w:t>
            </w:r>
            <w:r w:rsidRPr="00936E9B">
              <w:rPr>
                <w:rFonts w:ascii="Times New Roman" w:hAnsi="Times New Roman"/>
                <w:sz w:val="20"/>
                <w:szCs w:val="20"/>
              </w:rPr>
              <w:t xml:space="preserve"> (which would be the effect of the regulation as written)</w:t>
            </w:r>
            <w:r w:rsidR="009B274C" w:rsidRPr="00936E9B">
              <w:rPr>
                <w:rFonts w:ascii="Times New Roman" w:hAnsi="Times New Roman"/>
                <w:sz w:val="20"/>
                <w:szCs w:val="20"/>
              </w:rPr>
              <w:t xml:space="preserve"> would potentially be detrimental to patient care.</w:t>
            </w:r>
            <w:r w:rsidR="00D80136" w:rsidRPr="00936E9B">
              <w:rPr>
                <w:rFonts w:ascii="Times New Roman" w:hAnsi="Times New Roman"/>
                <w:sz w:val="20"/>
                <w:szCs w:val="20"/>
              </w:rPr>
              <w:t xml:space="preserve">  </w:t>
            </w:r>
            <w:r w:rsidRPr="00936E9B">
              <w:rPr>
                <w:rFonts w:ascii="Times New Roman" w:hAnsi="Times New Roman"/>
                <w:sz w:val="20"/>
                <w:szCs w:val="20"/>
              </w:rPr>
              <w:t>In brief</w:t>
            </w:r>
            <w:r w:rsidR="00D80136" w:rsidRPr="00936E9B">
              <w:rPr>
                <w:rFonts w:ascii="Times New Roman" w:hAnsi="Times New Roman"/>
                <w:sz w:val="20"/>
                <w:szCs w:val="20"/>
              </w:rPr>
              <w:t xml:space="preserve">, if LOINC allows for metadata </w:t>
            </w:r>
            <w:proofErr w:type="gramStart"/>
            <w:r w:rsidR="00D80136" w:rsidRPr="00936E9B">
              <w:rPr>
                <w:rFonts w:ascii="Times New Roman" w:hAnsi="Times New Roman"/>
                <w:sz w:val="20"/>
                <w:szCs w:val="20"/>
              </w:rPr>
              <w:t>to be</w:t>
            </w:r>
            <w:proofErr w:type="gramEnd"/>
            <w:r w:rsidR="00D80136" w:rsidRPr="00936E9B">
              <w:rPr>
                <w:rFonts w:ascii="Times New Roman" w:hAnsi="Times New Roman"/>
                <w:sz w:val="20"/>
                <w:szCs w:val="20"/>
              </w:rPr>
              <w:t xml:space="preserve"> </w:t>
            </w:r>
            <w:proofErr w:type="spellStart"/>
            <w:r w:rsidR="00D80136" w:rsidRPr="00936E9B">
              <w:rPr>
                <w:rFonts w:ascii="Times New Roman" w:hAnsi="Times New Roman"/>
                <w:sz w:val="20"/>
                <w:szCs w:val="20"/>
              </w:rPr>
              <w:t>precoordinated</w:t>
            </w:r>
            <w:proofErr w:type="spellEnd"/>
            <w:r w:rsidR="00D80136" w:rsidRPr="00936E9B">
              <w:rPr>
                <w:rFonts w:ascii="Times New Roman" w:hAnsi="Times New Roman"/>
                <w:sz w:val="20"/>
                <w:szCs w:val="20"/>
              </w:rPr>
              <w:t xml:space="preserve">, use of such </w:t>
            </w:r>
            <w:proofErr w:type="spellStart"/>
            <w:r w:rsidR="00D80136" w:rsidRPr="00936E9B">
              <w:rPr>
                <w:rFonts w:ascii="Times New Roman" w:hAnsi="Times New Roman"/>
                <w:sz w:val="20"/>
                <w:szCs w:val="20"/>
              </w:rPr>
              <w:t>precoordinated</w:t>
            </w:r>
            <w:proofErr w:type="spellEnd"/>
            <w:r w:rsidR="00D80136" w:rsidRPr="00936E9B">
              <w:rPr>
                <w:rFonts w:ascii="Times New Roman" w:hAnsi="Times New Roman"/>
                <w:sz w:val="20"/>
                <w:szCs w:val="20"/>
              </w:rPr>
              <w:t xml:space="preserve"> codes should be allowed.</w:t>
            </w:r>
          </w:p>
          <w:p w:rsidR="00C64088" w:rsidRPr="00936E9B" w:rsidRDefault="00C64088" w:rsidP="00936E9B">
            <w:pPr>
              <w:pStyle w:val="ListParagraph"/>
              <w:numPr>
                <w:ilvl w:val="0"/>
                <w:numId w:val="5"/>
              </w:numPr>
              <w:spacing w:after="60" w:line="240" w:lineRule="auto"/>
              <w:rPr>
                <w:rFonts w:ascii="Times New Roman" w:hAnsi="Times New Roman"/>
                <w:sz w:val="20"/>
                <w:szCs w:val="20"/>
              </w:rPr>
            </w:pPr>
            <w:r w:rsidRPr="00936E9B">
              <w:rPr>
                <w:rFonts w:ascii="Times New Roman" w:hAnsi="Times New Roman"/>
                <w:sz w:val="20"/>
                <w:szCs w:val="20"/>
              </w:rPr>
              <w:t>Re: The requirement to record date of birth and sex along with BMI percentile</w:t>
            </w:r>
            <w:r w:rsidR="00D5396F" w:rsidRPr="00936E9B">
              <w:rPr>
                <w:rFonts w:ascii="Times New Roman" w:hAnsi="Times New Roman"/>
                <w:sz w:val="20"/>
                <w:szCs w:val="20"/>
              </w:rPr>
              <w:t>, weight for length, and occipital-frontal circumference</w:t>
            </w:r>
            <w:r w:rsidRPr="00936E9B">
              <w:rPr>
                <w:rFonts w:ascii="Times New Roman" w:hAnsi="Times New Roman"/>
                <w:sz w:val="20"/>
                <w:szCs w:val="20"/>
              </w:rPr>
              <w:t>.  This seems redundant, as recording of sex and DOB would be part of the demographic recording function of the EHR and would generally be performed one time only for every patient.  The mention here seems to imply that this data should be captured separately for each instance where BMI percentile is calculated, which would be unnecessary and superfluous.</w:t>
            </w:r>
          </w:p>
          <w:p w:rsidR="00D5396F" w:rsidRPr="00936E9B" w:rsidRDefault="00D5396F" w:rsidP="00936E9B">
            <w:pPr>
              <w:pStyle w:val="ListParagraph"/>
              <w:numPr>
                <w:ilvl w:val="0"/>
                <w:numId w:val="5"/>
              </w:numPr>
              <w:spacing w:after="60" w:line="240" w:lineRule="auto"/>
              <w:rPr>
                <w:rFonts w:ascii="Times New Roman" w:hAnsi="Times New Roman"/>
                <w:sz w:val="20"/>
                <w:szCs w:val="20"/>
              </w:rPr>
            </w:pPr>
            <w:r w:rsidRPr="00936E9B">
              <w:rPr>
                <w:rFonts w:ascii="Times New Roman" w:hAnsi="Times New Roman"/>
                <w:sz w:val="20"/>
                <w:szCs w:val="20"/>
              </w:rPr>
              <w:t xml:space="preserve">Re: Weight for length-It seems that this is likely to reflect weight for length </w:t>
            </w:r>
            <w:r w:rsidRPr="00936E9B">
              <w:rPr>
                <w:rFonts w:ascii="Times New Roman" w:hAnsi="Times New Roman"/>
                <w:b/>
                <w:i/>
                <w:sz w:val="20"/>
                <w:szCs w:val="20"/>
              </w:rPr>
              <w:t>percentile</w:t>
            </w:r>
            <w:r w:rsidRPr="00936E9B">
              <w:rPr>
                <w:rFonts w:ascii="Times New Roman" w:hAnsi="Times New Roman"/>
                <w:sz w:val="20"/>
                <w:szCs w:val="20"/>
              </w:rPr>
              <w:t>.</w:t>
            </w:r>
          </w:p>
          <w:p w:rsidR="00CB035D" w:rsidRPr="009B274C" w:rsidRDefault="00CB035D" w:rsidP="00F70C20">
            <w:pPr>
              <w:pStyle w:val="ListParagraph"/>
              <w:numPr>
                <w:ilvl w:val="0"/>
                <w:numId w:val="5"/>
              </w:numPr>
              <w:spacing w:after="60" w:line="240" w:lineRule="auto"/>
              <w:rPr>
                <w:rFonts w:ascii="Times New Roman" w:hAnsi="Times New Roman"/>
                <w:sz w:val="20"/>
                <w:szCs w:val="20"/>
              </w:rPr>
            </w:pPr>
            <w:r w:rsidRPr="00936E9B">
              <w:rPr>
                <w:rFonts w:ascii="Times New Roman" w:hAnsi="Times New Roman"/>
                <w:sz w:val="20"/>
                <w:szCs w:val="20"/>
              </w:rPr>
              <w:t>Re: “measuring- or authoring-type source of the vital sign measurement”-Should ideally be standardized (</w:t>
            </w:r>
            <w:r w:rsidR="00F70C20">
              <w:rPr>
                <w:rFonts w:ascii="Times New Roman" w:hAnsi="Times New Roman"/>
                <w:sz w:val="20"/>
                <w:szCs w:val="20"/>
              </w:rPr>
              <w:t>SNOMED has some codes that would be applicable, e.g. for type of sphygmomanometer; Might need to be built out in some areas e.g. source of information).</w:t>
            </w:r>
          </w:p>
        </w:tc>
      </w:tr>
    </w:tbl>
    <w:p w:rsidR="00476BE8" w:rsidRDefault="00476BE8"/>
    <w:p w:rsidR="003E551F" w:rsidRDefault="003E551F"/>
    <w:tbl>
      <w:tblPr>
        <w:tblW w:w="5000" w:type="pct"/>
        <w:jc w:val="center"/>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8" w:space="0" w:color="4F6228" w:themeColor="accent3" w:themeShade="80"/>
          <w:insideV w:val="single" w:sz="8" w:space="0" w:color="4F6228" w:themeColor="accent3" w:themeShade="80"/>
        </w:tblBorders>
        <w:tblLook w:val="04A0" w:firstRow="1" w:lastRow="0" w:firstColumn="1" w:lastColumn="0" w:noHBand="0" w:noVBand="1"/>
      </w:tblPr>
      <w:tblGrid>
        <w:gridCol w:w="5508"/>
        <w:gridCol w:w="5508"/>
      </w:tblGrid>
      <w:tr w:rsidR="00476BE8" w:rsidRPr="00E86D42" w:rsidTr="00C2780B">
        <w:trPr>
          <w:cantSplit/>
          <w:trHeight w:val="296"/>
          <w:tblHeader/>
          <w:jc w:val="center"/>
        </w:trPr>
        <w:tc>
          <w:tcPr>
            <w:tcW w:w="5000" w:type="pct"/>
            <w:gridSpan w:val="2"/>
            <w:shd w:val="clear" w:color="auto" w:fill="D6E3BC" w:themeFill="accent3" w:themeFillTint="66"/>
          </w:tcPr>
          <w:p w:rsidR="00476BE8" w:rsidRPr="00E86D42" w:rsidRDefault="007D4D0E" w:rsidP="00493245">
            <w:pPr>
              <w:spacing w:after="0" w:line="240" w:lineRule="auto"/>
              <w:rPr>
                <w:b/>
                <w:bCs/>
                <w:color w:val="FFFFFF"/>
              </w:rPr>
            </w:pPr>
            <w:hyperlink r:id="rId16" w:history="1">
              <w:r w:rsidR="00476BE8" w:rsidRPr="00C2780B">
                <w:rPr>
                  <w:rStyle w:val="Hyperlink"/>
                  <w:b/>
                  <w:bCs/>
                </w:rPr>
                <w:t xml:space="preserve">§ 170.315(a)(12) Smoking status </w:t>
              </w:r>
            </w:hyperlink>
            <w:r w:rsidR="00476BE8">
              <w:rPr>
                <w:b/>
                <w:bCs/>
                <w:color w:val="FFFFFF"/>
              </w:rPr>
              <w:t xml:space="preserve"> </w:t>
            </w:r>
            <w:r w:rsidR="00EE182F" w:rsidRPr="00C2780B">
              <w:rPr>
                <w:b/>
                <w:bCs/>
                <w:color w:val="000000" w:themeColor="text1"/>
              </w:rPr>
              <w:t>p.</w:t>
            </w:r>
            <w:r w:rsidR="00476BE8" w:rsidRPr="00C2780B">
              <w:rPr>
                <w:b/>
                <w:bCs/>
                <w:color w:val="000000" w:themeColor="text1"/>
              </w:rPr>
              <w:t>67</w:t>
            </w:r>
          </w:p>
        </w:tc>
      </w:tr>
      <w:tr w:rsidR="00476BE8" w:rsidRPr="00E86D42" w:rsidTr="00856F28">
        <w:trPr>
          <w:cantSplit/>
          <w:trHeight w:val="682"/>
          <w:jc w:val="center"/>
        </w:trPr>
        <w:tc>
          <w:tcPr>
            <w:tcW w:w="5000" w:type="pct"/>
            <w:gridSpan w:val="2"/>
            <w:shd w:val="clear" w:color="auto" w:fill="EAF1DD" w:themeFill="accent3" w:themeFillTint="33"/>
          </w:tcPr>
          <w:p w:rsidR="00476BE8" w:rsidRPr="00E86D42" w:rsidRDefault="00476BE8" w:rsidP="00493245">
            <w:pPr>
              <w:spacing w:after="60" w:line="240" w:lineRule="auto"/>
              <w:ind w:left="90" w:hanging="90"/>
              <w:rPr>
                <w:b/>
                <w:bCs/>
                <w:sz w:val="20"/>
                <w:szCs w:val="20"/>
              </w:rPr>
            </w:pPr>
            <w:r w:rsidRPr="00E86D42">
              <w:rPr>
                <w:b/>
                <w:bCs/>
                <w:sz w:val="20"/>
                <w:szCs w:val="20"/>
              </w:rPr>
              <w:t>Included in 2015 Edition Base EHR Definition?</w:t>
            </w:r>
          </w:p>
          <w:p w:rsidR="00476BE8" w:rsidRPr="00E86D42" w:rsidRDefault="00476BE8" w:rsidP="00493245">
            <w:pPr>
              <w:spacing w:after="60" w:line="240" w:lineRule="auto"/>
              <w:ind w:left="90" w:hanging="90"/>
              <w:rPr>
                <w:b/>
                <w:bCs/>
                <w:sz w:val="20"/>
                <w:szCs w:val="20"/>
              </w:rPr>
            </w:pPr>
            <w:r w:rsidRPr="00E86D42">
              <w:rPr>
                <w:bCs/>
                <w:sz w:val="20"/>
                <w:szCs w:val="20"/>
              </w:rPr>
              <w:t>Yes</w:t>
            </w:r>
          </w:p>
        </w:tc>
      </w:tr>
      <w:tr w:rsidR="00476BE8" w:rsidRPr="00E86D42" w:rsidTr="00856F28">
        <w:trPr>
          <w:cantSplit/>
          <w:trHeight w:val="682"/>
          <w:jc w:val="center"/>
        </w:trPr>
        <w:tc>
          <w:tcPr>
            <w:tcW w:w="5000" w:type="pct"/>
            <w:gridSpan w:val="2"/>
            <w:shd w:val="clear" w:color="auto" w:fill="EAF1DD" w:themeFill="accent3" w:themeFillTint="33"/>
          </w:tcPr>
          <w:p w:rsidR="00476BE8" w:rsidRPr="00E86D42" w:rsidRDefault="00476BE8" w:rsidP="00493245">
            <w:pPr>
              <w:spacing w:after="60" w:line="240" w:lineRule="auto"/>
              <w:ind w:left="90" w:hanging="90"/>
              <w:rPr>
                <w:b/>
                <w:bCs/>
                <w:sz w:val="20"/>
                <w:szCs w:val="20"/>
              </w:rPr>
            </w:pPr>
            <w:r>
              <w:rPr>
                <w:b/>
                <w:bCs/>
                <w:sz w:val="20"/>
                <w:szCs w:val="20"/>
              </w:rPr>
              <w:t xml:space="preserve">Stage 3 </w:t>
            </w:r>
            <w:r w:rsidRPr="00E86D42">
              <w:rPr>
                <w:b/>
                <w:bCs/>
                <w:sz w:val="20"/>
                <w:szCs w:val="20"/>
              </w:rPr>
              <w:t>MU Objective</w:t>
            </w:r>
          </w:p>
          <w:p w:rsidR="00476BE8" w:rsidRPr="00E86D42" w:rsidRDefault="00476BE8" w:rsidP="00493245">
            <w:pPr>
              <w:spacing w:after="0" w:line="240" w:lineRule="auto"/>
              <w:rPr>
                <w:sz w:val="20"/>
                <w:szCs w:val="20"/>
              </w:rPr>
            </w:pPr>
            <w:r w:rsidRPr="00E86D42">
              <w:rPr>
                <w:bCs/>
                <w:sz w:val="20"/>
              </w:rPr>
              <w:t>N/A</w:t>
            </w:r>
          </w:p>
        </w:tc>
      </w:tr>
      <w:tr w:rsidR="00476BE8" w:rsidRPr="00E86D42" w:rsidTr="00856F28">
        <w:trPr>
          <w:cantSplit/>
          <w:trHeight w:val="934"/>
          <w:jc w:val="center"/>
        </w:trPr>
        <w:tc>
          <w:tcPr>
            <w:tcW w:w="5000" w:type="pct"/>
            <w:gridSpan w:val="2"/>
            <w:shd w:val="clear" w:color="auto" w:fill="EAF1DD" w:themeFill="accent3" w:themeFillTint="33"/>
          </w:tcPr>
          <w:p w:rsidR="00476BE8" w:rsidRPr="00E86D42" w:rsidRDefault="00476BE8" w:rsidP="00493245">
            <w:pPr>
              <w:spacing w:after="60" w:line="240" w:lineRule="auto"/>
              <w:rPr>
                <w:b/>
                <w:bCs/>
                <w:sz w:val="20"/>
                <w:szCs w:val="20"/>
              </w:rPr>
            </w:pPr>
            <w:r w:rsidRPr="00E86D42">
              <w:rPr>
                <w:b/>
                <w:bCs/>
                <w:sz w:val="20"/>
                <w:szCs w:val="20"/>
              </w:rPr>
              <w:t xml:space="preserve">2015 Edition </w:t>
            </w:r>
            <w:r>
              <w:rPr>
                <w:b/>
                <w:bCs/>
                <w:sz w:val="20"/>
                <w:szCs w:val="20"/>
              </w:rPr>
              <w:t>Health IT</w:t>
            </w:r>
            <w:r w:rsidRPr="00E86D42">
              <w:rPr>
                <w:b/>
                <w:bCs/>
                <w:sz w:val="20"/>
                <w:szCs w:val="20"/>
              </w:rPr>
              <w:t xml:space="preserve"> Certification Criterion</w:t>
            </w:r>
          </w:p>
          <w:p w:rsidR="00476BE8" w:rsidRPr="00E86D42" w:rsidRDefault="00476BE8" w:rsidP="00493245">
            <w:pPr>
              <w:spacing w:after="0" w:line="240" w:lineRule="auto"/>
              <w:rPr>
                <w:rFonts w:eastAsia="Times New Roman"/>
                <w:bCs/>
                <w:sz w:val="20"/>
              </w:rPr>
            </w:pPr>
            <w:r w:rsidRPr="003C5B5C">
              <w:rPr>
                <w:bCs/>
                <w:sz w:val="20"/>
                <w:szCs w:val="20"/>
              </w:rPr>
              <w:t>(12)</w:t>
            </w:r>
            <w:r w:rsidRPr="00F7339C">
              <w:rPr>
                <w:bCs/>
                <w:iCs/>
                <w:sz w:val="20"/>
                <w:szCs w:val="20"/>
                <w:u w:val="words"/>
              </w:rPr>
              <w:t xml:space="preserve"> </w:t>
            </w:r>
            <w:r w:rsidRPr="00F7339C">
              <w:rPr>
                <w:bCs/>
                <w:iCs/>
                <w:sz w:val="20"/>
                <w:szCs w:val="20"/>
                <w:u w:val="single"/>
              </w:rPr>
              <w:t>Smoking status.</w:t>
            </w:r>
            <w:r w:rsidRPr="00A270A1">
              <w:rPr>
                <w:bCs/>
                <w:sz w:val="20"/>
                <w:szCs w:val="20"/>
              </w:rPr>
              <w:t xml:space="preserve"> Enable a user to record, change, and access the smoking status of a patient in accordance with, at a minimum, the version of the standard specified in § 170.207(a)(4).</w:t>
            </w:r>
          </w:p>
        </w:tc>
      </w:tr>
      <w:tr w:rsidR="00476BE8" w:rsidRPr="00E86D42" w:rsidTr="00856F28">
        <w:trPr>
          <w:cantSplit/>
          <w:trHeight w:val="403"/>
          <w:jc w:val="center"/>
        </w:trPr>
        <w:tc>
          <w:tcPr>
            <w:tcW w:w="2500" w:type="pct"/>
            <w:shd w:val="clear" w:color="auto" w:fill="EAF1DD" w:themeFill="accent3" w:themeFillTint="33"/>
          </w:tcPr>
          <w:p w:rsidR="00476BE8" w:rsidRPr="00E86D42" w:rsidRDefault="00476BE8" w:rsidP="00493245">
            <w:pPr>
              <w:spacing w:after="0" w:line="240" w:lineRule="auto"/>
              <w:rPr>
                <w:sz w:val="20"/>
                <w:szCs w:val="20"/>
              </w:rPr>
            </w:pPr>
            <w:r w:rsidRPr="00E86D42">
              <w:rPr>
                <w:b/>
                <w:bCs/>
                <w:sz w:val="20"/>
                <w:szCs w:val="20"/>
              </w:rPr>
              <w:t xml:space="preserve">Preamble FR Citation:  </w:t>
            </w:r>
            <w:r>
              <w:rPr>
                <w:bCs/>
                <w:sz w:val="20"/>
                <w:szCs w:val="20"/>
              </w:rPr>
              <w:t>80 FR 16822</w:t>
            </w:r>
          </w:p>
        </w:tc>
        <w:tc>
          <w:tcPr>
            <w:tcW w:w="2500" w:type="pct"/>
            <w:shd w:val="clear" w:color="auto" w:fill="EAF1DD" w:themeFill="accent3" w:themeFillTint="33"/>
          </w:tcPr>
          <w:p w:rsidR="00476BE8" w:rsidRPr="00E86D42" w:rsidRDefault="00476BE8" w:rsidP="00493245">
            <w:pPr>
              <w:spacing w:after="0" w:line="240" w:lineRule="auto"/>
              <w:rPr>
                <w:b/>
                <w:bCs/>
                <w:sz w:val="20"/>
                <w:szCs w:val="20"/>
              </w:rPr>
            </w:pPr>
            <w:r w:rsidRPr="00E86D42">
              <w:rPr>
                <w:b/>
                <w:bCs/>
                <w:sz w:val="20"/>
                <w:szCs w:val="20"/>
              </w:rPr>
              <w:t xml:space="preserve">Specific questions in preamble?  </w:t>
            </w:r>
            <w:r w:rsidRPr="00E86D42">
              <w:rPr>
                <w:i/>
                <w:sz w:val="20"/>
                <w:szCs w:val="20"/>
              </w:rPr>
              <w:t>No</w:t>
            </w:r>
          </w:p>
        </w:tc>
      </w:tr>
      <w:tr w:rsidR="00476BE8" w:rsidRPr="00E86D42" w:rsidTr="00856F28">
        <w:trPr>
          <w:cantSplit/>
          <w:trHeight w:val="574"/>
          <w:jc w:val="center"/>
        </w:trPr>
        <w:tc>
          <w:tcPr>
            <w:tcW w:w="5000" w:type="pct"/>
            <w:gridSpan w:val="2"/>
            <w:shd w:val="clear" w:color="auto" w:fill="FFFFFF"/>
          </w:tcPr>
          <w:p w:rsidR="00476BE8" w:rsidRPr="00E86D42" w:rsidRDefault="00476BE8" w:rsidP="00493245">
            <w:pPr>
              <w:spacing w:after="60" w:line="240" w:lineRule="auto"/>
              <w:rPr>
                <w:b/>
                <w:bCs/>
                <w:sz w:val="20"/>
                <w:szCs w:val="20"/>
              </w:rPr>
            </w:pPr>
            <w:r w:rsidRPr="00E86D42">
              <w:rPr>
                <w:b/>
                <w:bCs/>
                <w:sz w:val="20"/>
                <w:szCs w:val="20"/>
              </w:rPr>
              <w:lastRenderedPageBreak/>
              <w:t xml:space="preserve">Public Comment Field: </w:t>
            </w:r>
          </w:p>
          <w:p w:rsidR="00DF64F6" w:rsidRDefault="00DF64F6" w:rsidP="003C11A6">
            <w:pPr>
              <w:spacing w:after="60" w:line="240" w:lineRule="auto"/>
              <w:rPr>
                <w:rFonts w:ascii="Times New Roman" w:hAnsi="Times New Roman"/>
                <w:sz w:val="20"/>
                <w:szCs w:val="20"/>
              </w:rPr>
            </w:pPr>
            <w:r>
              <w:rPr>
                <w:rFonts w:ascii="Times New Roman" w:hAnsi="Times New Roman"/>
                <w:sz w:val="20"/>
                <w:szCs w:val="20"/>
              </w:rPr>
              <w:t xml:space="preserve">ER: It is laudable that ONC proposes to liberalize the use of SNOMED CT codes to represent smoking status beyond the 8 codes that were required under the 2014 edition certification criteria.  However, it is still a problem that only those 8 codes are permissible for representing smoking status in the Common Clinical Data Set and for electronic transmission in a summary care record.  The premise that any other smoking status code could be mapped to one of those 8 (as stated in the preamble) is erroneous.  For instance, SNOMED </w:t>
            </w:r>
            <w:r w:rsidRPr="00DF64F6">
              <w:rPr>
                <w:rFonts w:ascii="Times New Roman" w:hAnsi="Times New Roman"/>
                <w:sz w:val="20"/>
                <w:szCs w:val="20"/>
              </w:rPr>
              <w:t>266920004</w:t>
            </w:r>
            <w:r>
              <w:rPr>
                <w:rFonts w:ascii="Times New Roman" w:hAnsi="Times New Roman"/>
                <w:sz w:val="20"/>
                <w:szCs w:val="20"/>
              </w:rPr>
              <w:t>, “</w:t>
            </w:r>
            <w:r w:rsidRPr="00DF64F6">
              <w:rPr>
                <w:rFonts w:ascii="Times New Roman" w:hAnsi="Times New Roman"/>
                <w:sz w:val="20"/>
                <w:szCs w:val="20"/>
              </w:rPr>
              <w:t>trivial cigarette smoker (less than one cigarette/day)</w:t>
            </w:r>
            <w:r>
              <w:rPr>
                <w:rFonts w:ascii="Times New Roman" w:hAnsi="Times New Roman"/>
                <w:sz w:val="20"/>
                <w:szCs w:val="20"/>
              </w:rPr>
              <w:t xml:space="preserve">” is not a child, in the SNOMED hierarchy, of any of the 8 smoking-related </w:t>
            </w:r>
            <w:r w:rsidR="00530C71">
              <w:rPr>
                <w:rFonts w:ascii="Times New Roman" w:hAnsi="Times New Roman"/>
                <w:sz w:val="20"/>
                <w:szCs w:val="20"/>
              </w:rPr>
              <w:t>codes required in the 2014 edition certification rule.  Lastly, it would be helpful to clarify that this refers to tobacco smoking status, rather than information on the smoking of other substances, since the intent of this criterion appears to be tobacco-specific.</w:t>
            </w:r>
          </w:p>
          <w:p w:rsidR="00DF64F6" w:rsidRPr="00493245" w:rsidRDefault="00DF64F6" w:rsidP="003C11A6">
            <w:pPr>
              <w:spacing w:after="60" w:line="240" w:lineRule="auto"/>
              <w:rPr>
                <w:rFonts w:ascii="Times New Roman" w:hAnsi="Times New Roman"/>
                <w:sz w:val="20"/>
                <w:szCs w:val="20"/>
                <w:vertAlign w:val="subscript"/>
              </w:rPr>
            </w:pPr>
          </w:p>
          <w:p w:rsidR="00476BE8" w:rsidRPr="00E86D42" w:rsidRDefault="00936E9B" w:rsidP="003C11A6">
            <w:pPr>
              <w:spacing w:after="60" w:line="240" w:lineRule="auto"/>
              <w:rPr>
                <w:rFonts w:ascii="Times New Roman" w:hAnsi="Times New Roman"/>
                <w:sz w:val="20"/>
                <w:szCs w:val="20"/>
              </w:rPr>
            </w:pPr>
            <w:r>
              <w:rPr>
                <w:rFonts w:ascii="Times New Roman" w:hAnsi="Times New Roman"/>
                <w:sz w:val="20"/>
                <w:szCs w:val="20"/>
              </w:rPr>
              <w:t xml:space="preserve">BH: </w:t>
            </w:r>
            <w:r w:rsidRPr="00936E9B">
              <w:rPr>
                <w:rFonts w:ascii="Times New Roman" w:hAnsi="Times New Roman"/>
                <w:sz w:val="20"/>
                <w:szCs w:val="20"/>
              </w:rPr>
              <w:t xml:space="preserve">NLM admires the work done by the IOM committee that looked at social and behavioral domains and measures (see summary at </w:t>
            </w:r>
            <w:hyperlink r:id="rId17" w:history="1">
              <w:r w:rsidR="003C11A6" w:rsidRPr="00EF1E81">
                <w:rPr>
                  <w:rStyle w:val="Hyperlink"/>
                  <w:rFonts w:ascii="Times New Roman" w:hAnsi="Times New Roman"/>
                  <w:sz w:val="20"/>
                  <w:szCs w:val="20"/>
                </w:rPr>
                <w:t>http://www.iom.edu/~/media/Files/Report%20Files/2014/EHR-phase-2/EHRfindingsrecs.pdf</w:t>
              </w:r>
            </w:hyperlink>
            <w:r w:rsidR="003C11A6">
              <w:rPr>
                <w:rFonts w:ascii="Times New Roman" w:hAnsi="Times New Roman"/>
                <w:sz w:val="20"/>
                <w:szCs w:val="20"/>
              </w:rPr>
              <w:t>)</w:t>
            </w:r>
            <w:r w:rsidRPr="00936E9B">
              <w:rPr>
                <w:rFonts w:ascii="Times New Roman" w:hAnsi="Times New Roman"/>
                <w:sz w:val="20"/>
                <w:szCs w:val="20"/>
              </w:rPr>
              <w:t>.  The Committee recommended a different and shorter (2 questions) measure for tobacco use and exposure than the one previously established as the standard for EHR certification.  In other cases, the NPRM follows the recommendations in the IOM report.  Shorter seems better, even if it requires making a change.  I understand that this is matter on which intelligent and well-meaning people can disagree</w:t>
            </w:r>
            <w:r w:rsidR="003C11A6">
              <w:rPr>
                <w:rFonts w:ascii="Times New Roman" w:hAnsi="Times New Roman"/>
                <w:sz w:val="20"/>
                <w:szCs w:val="20"/>
              </w:rPr>
              <w:t>.</w:t>
            </w:r>
          </w:p>
        </w:tc>
      </w:tr>
    </w:tbl>
    <w:p w:rsidR="00A41C9D" w:rsidRDefault="00A41C9D"/>
    <w:p w:rsidR="00D41022" w:rsidRDefault="00D41022"/>
    <w:tbl>
      <w:tblPr>
        <w:tblW w:w="5000" w:type="pct"/>
        <w:jc w:val="center"/>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8" w:space="0" w:color="4F6228" w:themeColor="accent3" w:themeShade="80"/>
          <w:insideV w:val="single" w:sz="8" w:space="0" w:color="4F6228" w:themeColor="accent3" w:themeShade="80"/>
        </w:tblBorders>
        <w:tblLook w:val="04A0" w:firstRow="1" w:lastRow="0" w:firstColumn="1" w:lastColumn="0" w:noHBand="0" w:noVBand="1"/>
      </w:tblPr>
      <w:tblGrid>
        <w:gridCol w:w="5508"/>
        <w:gridCol w:w="5508"/>
      </w:tblGrid>
      <w:tr w:rsidR="00476BE8" w:rsidRPr="00E86D42" w:rsidTr="00C2780B">
        <w:trPr>
          <w:trHeight w:val="151"/>
          <w:tblHeader/>
          <w:jc w:val="center"/>
        </w:trPr>
        <w:tc>
          <w:tcPr>
            <w:tcW w:w="5000" w:type="pct"/>
            <w:gridSpan w:val="2"/>
            <w:shd w:val="clear" w:color="auto" w:fill="D6E3BC" w:themeFill="accent3" w:themeFillTint="66"/>
          </w:tcPr>
          <w:p w:rsidR="00476BE8" w:rsidRPr="00E86D42" w:rsidRDefault="007D4D0E" w:rsidP="00493245">
            <w:pPr>
              <w:spacing w:after="0" w:line="240" w:lineRule="auto"/>
              <w:rPr>
                <w:b/>
                <w:bCs/>
                <w:color w:val="FFFFFF"/>
              </w:rPr>
            </w:pPr>
            <w:hyperlink r:id="rId18" w:history="1">
              <w:r w:rsidR="00476BE8" w:rsidRPr="00C2780B">
                <w:rPr>
                  <w:rStyle w:val="Hyperlink"/>
                  <w:b/>
                  <w:bCs/>
                </w:rPr>
                <w:t xml:space="preserve">§ 170.315(a)(21) Social, psychological, and behavioral data </w:t>
              </w:r>
            </w:hyperlink>
            <w:r w:rsidR="00476BE8">
              <w:rPr>
                <w:b/>
                <w:bCs/>
                <w:color w:val="FFFFFF"/>
              </w:rPr>
              <w:t xml:space="preserve"> </w:t>
            </w:r>
            <w:r w:rsidR="00EE182F" w:rsidRPr="00C2780B">
              <w:rPr>
                <w:b/>
                <w:bCs/>
                <w:color w:val="000000" w:themeColor="text1"/>
              </w:rPr>
              <w:t>p.</w:t>
            </w:r>
            <w:r w:rsidR="00476BE8" w:rsidRPr="00C2780B">
              <w:rPr>
                <w:b/>
                <w:bCs/>
                <w:color w:val="000000" w:themeColor="text1"/>
              </w:rPr>
              <w:t>81</w:t>
            </w:r>
          </w:p>
        </w:tc>
      </w:tr>
      <w:tr w:rsidR="00476BE8" w:rsidRPr="00E86D42" w:rsidTr="00856F28">
        <w:trPr>
          <w:trHeight w:val="439"/>
          <w:jc w:val="center"/>
        </w:trPr>
        <w:tc>
          <w:tcPr>
            <w:tcW w:w="5000" w:type="pct"/>
            <w:gridSpan w:val="2"/>
            <w:shd w:val="clear" w:color="auto" w:fill="EAF1DD" w:themeFill="accent3" w:themeFillTint="33"/>
          </w:tcPr>
          <w:p w:rsidR="00476BE8" w:rsidRPr="00E86D42" w:rsidRDefault="00476BE8" w:rsidP="00493245">
            <w:pPr>
              <w:spacing w:after="60" w:line="240" w:lineRule="auto"/>
              <w:ind w:left="90" w:hanging="90"/>
              <w:rPr>
                <w:b/>
                <w:bCs/>
                <w:sz w:val="20"/>
                <w:szCs w:val="20"/>
              </w:rPr>
            </w:pPr>
            <w:r w:rsidRPr="00E86D42">
              <w:rPr>
                <w:b/>
                <w:bCs/>
                <w:sz w:val="20"/>
                <w:szCs w:val="20"/>
              </w:rPr>
              <w:t>Included in 2015 Edition Base EHR Definition?</w:t>
            </w:r>
          </w:p>
          <w:p w:rsidR="00476BE8" w:rsidRPr="00E86D42" w:rsidRDefault="00476BE8" w:rsidP="00493245">
            <w:pPr>
              <w:spacing w:after="60" w:line="240" w:lineRule="auto"/>
              <w:ind w:left="90" w:hanging="90"/>
              <w:rPr>
                <w:b/>
                <w:bCs/>
                <w:sz w:val="20"/>
                <w:szCs w:val="20"/>
              </w:rPr>
            </w:pPr>
            <w:r w:rsidRPr="00E86D42">
              <w:rPr>
                <w:bCs/>
                <w:sz w:val="20"/>
                <w:szCs w:val="20"/>
              </w:rPr>
              <w:t>No</w:t>
            </w:r>
          </w:p>
        </w:tc>
      </w:tr>
      <w:tr w:rsidR="00476BE8" w:rsidRPr="00E86D42" w:rsidTr="00856F28">
        <w:trPr>
          <w:trHeight w:val="439"/>
          <w:jc w:val="center"/>
        </w:trPr>
        <w:tc>
          <w:tcPr>
            <w:tcW w:w="5000" w:type="pct"/>
            <w:gridSpan w:val="2"/>
            <w:shd w:val="clear" w:color="auto" w:fill="EAF1DD" w:themeFill="accent3" w:themeFillTint="33"/>
          </w:tcPr>
          <w:p w:rsidR="00476BE8" w:rsidRPr="00E86D42" w:rsidRDefault="00476BE8" w:rsidP="00493245">
            <w:pPr>
              <w:spacing w:after="60" w:line="240" w:lineRule="auto"/>
              <w:ind w:left="90" w:hanging="90"/>
              <w:rPr>
                <w:b/>
                <w:bCs/>
                <w:sz w:val="20"/>
                <w:szCs w:val="20"/>
              </w:rPr>
            </w:pPr>
            <w:r>
              <w:rPr>
                <w:b/>
                <w:bCs/>
                <w:sz w:val="20"/>
                <w:szCs w:val="20"/>
              </w:rPr>
              <w:t xml:space="preserve">Stage 3 </w:t>
            </w:r>
            <w:r w:rsidRPr="00E86D42">
              <w:rPr>
                <w:b/>
                <w:bCs/>
                <w:sz w:val="20"/>
                <w:szCs w:val="20"/>
              </w:rPr>
              <w:t>MU Objective</w:t>
            </w:r>
          </w:p>
          <w:p w:rsidR="00476BE8" w:rsidRPr="00E86D42" w:rsidRDefault="00476BE8" w:rsidP="00493245">
            <w:pPr>
              <w:spacing w:after="0" w:line="240" w:lineRule="auto"/>
              <w:rPr>
                <w:sz w:val="20"/>
                <w:szCs w:val="20"/>
              </w:rPr>
            </w:pPr>
            <w:r w:rsidRPr="00E86D42">
              <w:rPr>
                <w:sz w:val="20"/>
                <w:szCs w:val="20"/>
                <w:lang w:bidi="en-US"/>
              </w:rPr>
              <w:t xml:space="preserve">N/A </w:t>
            </w:r>
          </w:p>
        </w:tc>
      </w:tr>
      <w:tr w:rsidR="00476BE8" w:rsidRPr="00E86D42" w:rsidTr="00856F28">
        <w:trPr>
          <w:trHeight w:val="1375"/>
          <w:jc w:val="center"/>
        </w:trPr>
        <w:tc>
          <w:tcPr>
            <w:tcW w:w="5000" w:type="pct"/>
            <w:gridSpan w:val="2"/>
            <w:shd w:val="clear" w:color="auto" w:fill="EAF1DD" w:themeFill="accent3" w:themeFillTint="33"/>
          </w:tcPr>
          <w:p w:rsidR="00476BE8" w:rsidRPr="00E86D42" w:rsidRDefault="00476BE8" w:rsidP="00493245">
            <w:pPr>
              <w:spacing w:after="60" w:line="240" w:lineRule="auto"/>
              <w:rPr>
                <w:b/>
                <w:bCs/>
                <w:sz w:val="20"/>
                <w:szCs w:val="20"/>
              </w:rPr>
            </w:pPr>
            <w:r w:rsidRPr="00E86D42">
              <w:rPr>
                <w:b/>
                <w:bCs/>
                <w:sz w:val="20"/>
                <w:szCs w:val="20"/>
              </w:rPr>
              <w:t xml:space="preserve">2015 Edition </w:t>
            </w:r>
            <w:r>
              <w:rPr>
                <w:b/>
                <w:bCs/>
                <w:sz w:val="20"/>
                <w:szCs w:val="20"/>
              </w:rPr>
              <w:t>Health IT</w:t>
            </w:r>
            <w:r w:rsidRPr="00E86D42">
              <w:rPr>
                <w:b/>
                <w:bCs/>
                <w:sz w:val="20"/>
                <w:szCs w:val="20"/>
              </w:rPr>
              <w:t xml:space="preserve"> Certification </w:t>
            </w:r>
            <w:r>
              <w:rPr>
                <w:b/>
                <w:bCs/>
                <w:sz w:val="20"/>
                <w:szCs w:val="20"/>
              </w:rPr>
              <w:t>Criterion</w:t>
            </w:r>
          </w:p>
          <w:p w:rsidR="00476BE8" w:rsidRPr="003746A3" w:rsidRDefault="00476BE8" w:rsidP="00493245">
            <w:pPr>
              <w:spacing w:after="0" w:line="240" w:lineRule="auto"/>
              <w:rPr>
                <w:sz w:val="20"/>
                <w:szCs w:val="20"/>
              </w:rPr>
            </w:pPr>
            <w:r w:rsidRPr="003C5B5C">
              <w:rPr>
                <w:bCs/>
                <w:sz w:val="20"/>
                <w:szCs w:val="20"/>
              </w:rPr>
              <w:t xml:space="preserve">(21) </w:t>
            </w:r>
            <w:r w:rsidRPr="00A270A1">
              <w:rPr>
                <w:bCs/>
                <w:sz w:val="20"/>
                <w:szCs w:val="20"/>
                <w:u w:val="single"/>
              </w:rPr>
              <w:t>Social, psychological, and behavioral data.</w:t>
            </w:r>
            <w:r w:rsidRPr="003746A3">
              <w:rPr>
                <w:bCs/>
                <w:sz w:val="20"/>
                <w:szCs w:val="20"/>
              </w:rPr>
              <w:t xml:space="preserve"> Enable a user to record, change, and access, at a minimum, one of the following patient social, psychological, and behavioral data.</w:t>
            </w:r>
          </w:p>
          <w:p w:rsidR="00476BE8" w:rsidRPr="00E20F00" w:rsidRDefault="00476BE8" w:rsidP="00493245">
            <w:pPr>
              <w:spacing w:after="0" w:line="240" w:lineRule="auto"/>
              <w:ind w:left="540"/>
              <w:rPr>
                <w:bCs/>
                <w:sz w:val="20"/>
                <w:szCs w:val="20"/>
              </w:rPr>
            </w:pPr>
            <w:r w:rsidRPr="00C67322">
              <w:rPr>
                <w:bCs/>
                <w:sz w:val="20"/>
                <w:szCs w:val="20"/>
              </w:rPr>
              <w:t xml:space="preserve">(i) </w:t>
            </w:r>
            <w:r w:rsidRPr="00467330">
              <w:rPr>
                <w:bCs/>
                <w:sz w:val="20"/>
                <w:szCs w:val="20"/>
                <w:u w:val="single"/>
              </w:rPr>
              <w:t>Sexual orientation.</w:t>
            </w:r>
            <w:r w:rsidRPr="00E900A1">
              <w:rPr>
                <w:bCs/>
                <w:sz w:val="20"/>
                <w:szCs w:val="20"/>
              </w:rPr>
              <w:t xml:space="preserve"> Enable se</w:t>
            </w:r>
            <w:r w:rsidRPr="00E20F00">
              <w:rPr>
                <w:bCs/>
                <w:sz w:val="20"/>
                <w:szCs w:val="20"/>
              </w:rPr>
              <w:t>xual orientation to be recorded in accordance with the standard specified in § 170.207(o</w:t>
            </w:r>
            <w:proofErr w:type="gramStart"/>
            <w:r w:rsidRPr="00E20F00">
              <w:rPr>
                <w:bCs/>
                <w:sz w:val="20"/>
                <w:szCs w:val="20"/>
              </w:rPr>
              <w:t>)(</w:t>
            </w:r>
            <w:proofErr w:type="gramEnd"/>
            <w:r w:rsidRPr="00E20F00">
              <w:rPr>
                <w:bCs/>
                <w:sz w:val="20"/>
                <w:szCs w:val="20"/>
              </w:rPr>
              <w:t>1) and whether a patient declines to specify sexual orientation.</w:t>
            </w:r>
          </w:p>
          <w:p w:rsidR="00476BE8" w:rsidRPr="00BD6E18" w:rsidRDefault="00476BE8" w:rsidP="00493245">
            <w:pPr>
              <w:spacing w:after="0" w:line="240" w:lineRule="auto"/>
              <w:ind w:left="540"/>
              <w:rPr>
                <w:bCs/>
                <w:sz w:val="20"/>
                <w:szCs w:val="20"/>
              </w:rPr>
            </w:pPr>
            <w:r w:rsidRPr="00E20F00">
              <w:rPr>
                <w:bCs/>
                <w:sz w:val="20"/>
                <w:szCs w:val="20"/>
              </w:rPr>
              <w:t xml:space="preserve">(ii) </w:t>
            </w:r>
            <w:r w:rsidRPr="00426C0E">
              <w:rPr>
                <w:bCs/>
                <w:sz w:val="20"/>
                <w:szCs w:val="20"/>
                <w:u w:val="single"/>
              </w:rPr>
              <w:t>Gender identity.</w:t>
            </w:r>
            <w:r w:rsidRPr="00BD6E18">
              <w:rPr>
                <w:bCs/>
                <w:sz w:val="20"/>
                <w:szCs w:val="20"/>
              </w:rPr>
              <w:t xml:space="preserve"> Enable gender identity to be recorded in accordance with the standard specified in § 170.207(o</w:t>
            </w:r>
            <w:proofErr w:type="gramStart"/>
            <w:r w:rsidRPr="00BD6E18">
              <w:rPr>
                <w:bCs/>
                <w:sz w:val="20"/>
                <w:szCs w:val="20"/>
              </w:rPr>
              <w:t>)(</w:t>
            </w:r>
            <w:proofErr w:type="gramEnd"/>
            <w:r w:rsidRPr="00BD6E18">
              <w:rPr>
                <w:bCs/>
                <w:sz w:val="20"/>
                <w:szCs w:val="20"/>
              </w:rPr>
              <w:t>2) and whether a patient declines to specify gender identity.</w:t>
            </w:r>
          </w:p>
          <w:p w:rsidR="00476BE8" w:rsidRPr="00BD6E18" w:rsidRDefault="00476BE8" w:rsidP="00493245">
            <w:pPr>
              <w:spacing w:after="0" w:line="240" w:lineRule="auto"/>
              <w:ind w:left="540"/>
              <w:rPr>
                <w:bCs/>
                <w:sz w:val="20"/>
                <w:szCs w:val="20"/>
              </w:rPr>
            </w:pPr>
            <w:r w:rsidRPr="00BD6E18">
              <w:rPr>
                <w:bCs/>
                <w:sz w:val="20"/>
                <w:szCs w:val="20"/>
              </w:rPr>
              <w:t xml:space="preserve">(iii) </w:t>
            </w:r>
            <w:r w:rsidRPr="00BD6E18">
              <w:rPr>
                <w:bCs/>
                <w:sz w:val="20"/>
                <w:szCs w:val="20"/>
                <w:u w:val="single"/>
              </w:rPr>
              <w:t>Financial resource strain.</w:t>
            </w:r>
            <w:r w:rsidRPr="00BD6E18">
              <w:rPr>
                <w:bCs/>
                <w:sz w:val="20"/>
                <w:szCs w:val="20"/>
              </w:rPr>
              <w:t xml:space="preserve"> Enable financial resource strain to be recorded in accordance with the standard specified in § 170.207(o</w:t>
            </w:r>
            <w:proofErr w:type="gramStart"/>
            <w:r w:rsidRPr="00BD6E18">
              <w:rPr>
                <w:bCs/>
                <w:sz w:val="20"/>
                <w:szCs w:val="20"/>
              </w:rPr>
              <w:t>)(</w:t>
            </w:r>
            <w:proofErr w:type="gramEnd"/>
            <w:r w:rsidRPr="00BD6E18">
              <w:rPr>
                <w:bCs/>
                <w:sz w:val="20"/>
                <w:szCs w:val="20"/>
              </w:rPr>
              <w:t>3) and whether a patient declines to specify financial resource strain.</w:t>
            </w:r>
          </w:p>
          <w:p w:rsidR="00476BE8" w:rsidRPr="00BD6E18" w:rsidRDefault="00476BE8" w:rsidP="00493245">
            <w:pPr>
              <w:spacing w:after="0" w:line="240" w:lineRule="auto"/>
              <w:ind w:left="540"/>
              <w:rPr>
                <w:bCs/>
                <w:sz w:val="20"/>
                <w:szCs w:val="20"/>
              </w:rPr>
            </w:pPr>
            <w:r w:rsidRPr="00BD6E18">
              <w:rPr>
                <w:bCs/>
                <w:sz w:val="20"/>
                <w:szCs w:val="20"/>
              </w:rPr>
              <w:t xml:space="preserve">(iv) </w:t>
            </w:r>
            <w:r w:rsidRPr="00BD6E18">
              <w:rPr>
                <w:bCs/>
                <w:sz w:val="20"/>
                <w:szCs w:val="20"/>
                <w:u w:val="single"/>
              </w:rPr>
              <w:t>Education.</w:t>
            </w:r>
            <w:r w:rsidRPr="00BD6E18">
              <w:rPr>
                <w:bCs/>
                <w:sz w:val="20"/>
                <w:szCs w:val="20"/>
              </w:rPr>
              <w:t xml:space="preserve"> Enable education to be recorded in accordance with the standard specified in § 170.207(o</w:t>
            </w:r>
            <w:proofErr w:type="gramStart"/>
            <w:r w:rsidRPr="00BD6E18">
              <w:rPr>
                <w:bCs/>
                <w:sz w:val="20"/>
                <w:szCs w:val="20"/>
              </w:rPr>
              <w:t>)(</w:t>
            </w:r>
            <w:proofErr w:type="gramEnd"/>
            <w:r w:rsidRPr="00BD6E18">
              <w:rPr>
                <w:bCs/>
                <w:sz w:val="20"/>
                <w:szCs w:val="20"/>
              </w:rPr>
              <w:t>4) and whether a patient declines to specify education.</w:t>
            </w:r>
          </w:p>
          <w:p w:rsidR="00476BE8" w:rsidRPr="00BD6E18" w:rsidRDefault="00476BE8" w:rsidP="00493245">
            <w:pPr>
              <w:spacing w:after="0" w:line="240" w:lineRule="auto"/>
              <w:ind w:left="540"/>
              <w:rPr>
                <w:bCs/>
                <w:sz w:val="20"/>
                <w:szCs w:val="20"/>
              </w:rPr>
            </w:pPr>
            <w:r w:rsidRPr="00BD6E18">
              <w:rPr>
                <w:bCs/>
                <w:sz w:val="20"/>
                <w:szCs w:val="20"/>
              </w:rPr>
              <w:t xml:space="preserve">(v) </w:t>
            </w:r>
            <w:r w:rsidRPr="00BD6E18">
              <w:rPr>
                <w:bCs/>
                <w:sz w:val="20"/>
                <w:szCs w:val="20"/>
                <w:u w:val="single"/>
              </w:rPr>
              <w:t>Stress.</w:t>
            </w:r>
            <w:r w:rsidRPr="00BD6E18">
              <w:rPr>
                <w:bCs/>
                <w:sz w:val="20"/>
                <w:szCs w:val="20"/>
              </w:rPr>
              <w:t xml:space="preserve"> Enable stress to be recorded in accordance with the standard specified in § 170.207(o</w:t>
            </w:r>
            <w:proofErr w:type="gramStart"/>
            <w:r w:rsidRPr="00BD6E18">
              <w:rPr>
                <w:bCs/>
                <w:sz w:val="20"/>
                <w:szCs w:val="20"/>
              </w:rPr>
              <w:t>)(</w:t>
            </w:r>
            <w:proofErr w:type="gramEnd"/>
            <w:r w:rsidRPr="00BD6E18">
              <w:rPr>
                <w:bCs/>
                <w:sz w:val="20"/>
                <w:szCs w:val="20"/>
              </w:rPr>
              <w:t>5) and whether a patient declines to specify stress.</w:t>
            </w:r>
          </w:p>
          <w:p w:rsidR="00476BE8" w:rsidRPr="00BD6E18" w:rsidRDefault="00476BE8" w:rsidP="00493245">
            <w:pPr>
              <w:spacing w:after="0" w:line="240" w:lineRule="auto"/>
              <w:ind w:left="540"/>
              <w:rPr>
                <w:bCs/>
                <w:sz w:val="20"/>
                <w:szCs w:val="20"/>
              </w:rPr>
            </w:pPr>
            <w:r w:rsidRPr="00BD6E18">
              <w:rPr>
                <w:bCs/>
                <w:sz w:val="20"/>
                <w:szCs w:val="20"/>
              </w:rPr>
              <w:t xml:space="preserve">(vi) </w:t>
            </w:r>
            <w:r w:rsidRPr="00BD6E18">
              <w:rPr>
                <w:bCs/>
                <w:sz w:val="20"/>
                <w:szCs w:val="20"/>
                <w:u w:val="single"/>
              </w:rPr>
              <w:t>Depression.</w:t>
            </w:r>
            <w:r w:rsidRPr="00BD6E18">
              <w:rPr>
                <w:bCs/>
                <w:sz w:val="20"/>
                <w:szCs w:val="20"/>
              </w:rPr>
              <w:t xml:space="preserve"> Enable depression to be recorded in accordance with the standard specified in § 170.207(o</w:t>
            </w:r>
            <w:proofErr w:type="gramStart"/>
            <w:r w:rsidRPr="00BD6E18">
              <w:rPr>
                <w:bCs/>
                <w:sz w:val="20"/>
                <w:szCs w:val="20"/>
              </w:rPr>
              <w:t>)(</w:t>
            </w:r>
            <w:proofErr w:type="gramEnd"/>
            <w:r w:rsidRPr="00BD6E18">
              <w:rPr>
                <w:bCs/>
                <w:sz w:val="20"/>
                <w:szCs w:val="20"/>
              </w:rPr>
              <w:t>6) and whether a patient declines to specify stress.</w:t>
            </w:r>
          </w:p>
          <w:p w:rsidR="00476BE8" w:rsidRPr="00BD6E18" w:rsidRDefault="00476BE8" w:rsidP="00493245">
            <w:pPr>
              <w:spacing w:after="0" w:line="240" w:lineRule="auto"/>
              <w:ind w:left="540"/>
              <w:rPr>
                <w:bCs/>
                <w:sz w:val="20"/>
                <w:szCs w:val="20"/>
              </w:rPr>
            </w:pPr>
            <w:r w:rsidRPr="00BD6E18">
              <w:rPr>
                <w:bCs/>
                <w:sz w:val="20"/>
                <w:szCs w:val="20"/>
              </w:rPr>
              <w:t xml:space="preserve">(vii) </w:t>
            </w:r>
            <w:r w:rsidRPr="00BD6E18">
              <w:rPr>
                <w:bCs/>
                <w:sz w:val="20"/>
                <w:szCs w:val="20"/>
                <w:u w:val="single"/>
              </w:rPr>
              <w:t>Physical activity.</w:t>
            </w:r>
            <w:r w:rsidRPr="00BD6E18">
              <w:rPr>
                <w:bCs/>
                <w:sz w:val="20"/>
                <w:szCs w:val="20"/>
              </w:rPr>
              <w:t xml:space="preserve"> Enable physical activity to be recorded in accordance with the standard specified in § 170.207(o</w:t>
            </w:r>
            <w:proofErr w:type="gramStart"/>
            <w:r w:rsidRPr="00BD6E18">
              <w:rPr>
                <w:bCs/>
                <w:sz w:val="20"/>
                <w:szCs w:val="20"/>
              </w:rPr>
              <w:t>)(</w:t>
            </w:r>
            <w:proofErr w:type="gramEnd"/>
            <w:r w:rsidRPr="00BD6E18">
              <w:rPr>
                <w:bCs/>
                <w:sz w:val="20"/>
                <w:szCs w:val="20"/>
              </w:rPr>
              <w:t>7) and whether a patient declines to specify physical activity.</w:t>
            </w:r>
          </w:p>
          <w:p w:rsidR="00476BE8" w:rsidRPr="00BD6E18" w:rsidRDefault="00476BE8" w:rsidP="00493245">
            <w:pPr>
              <w:spacing w:after="0" w:line="240" w:lineRule="auto"/>
              <w:ind w:left="540"/>
              <w:rPr>
                <w:bCs/>
                <w:sz w:val="20"/>
                <w:szCs w:val="20"/>
              </w:rPr>
            </w:pPr>
            <w:r w:rsidRPr="00BD6E18">
              <w:rPr>
                <w:bCs/>
                <w:sz w:val="20"/>
                <w:szCs w:val="20"/>
              </w:rPr>
              <w:t xml:space="preserve">(viii) </w:t>
            </w:r>
            <w:r w:rsidRPr="00BD6E18">
              <w:rPr>
                <w:bCs/>
                <w:sz w:val="20"/>
                <w:szCs w:val="20"/>
                <w:u w:val="single"/>
              </w:rPr>
              <w:t>Alcohol use.</w:t>
            </w:r>
            <w:r w:rsidRPr="00BD6E18">
              <w:rPr>
                <w:bCs/>
                <w:sz w:val="20"/>
                <w:szCs w:val="20"/>
              </w:rPr>
              <w:t xml:space="preserve"> Enable alcohol use to be recorded in accordance with the standard specified in § 170.207(o</w:t>
            </w:r>
            <w:proofErr w:type="gramStart"/>
            <w:r w:rsidRPr="00BD6E18">
              <w:rPr>
                <w:bCs/>
                <w:sz w:val="20"/>
                <w:szCs w:val="20"/>
              </w:rPr>
              <w:t>)(</w:t>
            </w:r>
            <w:proofErr w:type="gramEnd"/>
            <w:r w:rsidRPr="00BD6E18">
              <w:rPr>
                <w:bCs/>
                <w:sz w:val="20"/>
                <w:szCs w:val="20"/>
              </w:rPr>
              <w:t>8) and whether a patient declines to specify alcohol use.</w:t>
            </w:r>
          </w:p>
          <w:p w:rsidR="00476BE8" w:rsidRPr="00BD6E18" w:rsidRDefault="00476BE8" w:rsidP="00493245">
            <w:pPr>
              <w:spacing w:after="0" w:line="240" w:lineRule="auto"/>
              <w:ind w:left="540"/>
              <w:rPr>
                <w:bCs/>
                <w:sz w:val="20"/>
                <w:szCs w:val="20"/>
              </w:rPr>
            </w:pPr>
            <w:r w:rsidRPr="00BD6E18">
              <w:rPr>
                <w:bCs/>
                <w:sz w:val="20"/>
                <w:szCs w:val="20"/>
              </w:rPr>
              <w:t xml:space="preserve">(ix) </w:t>
            </w:r>
            <w:r w:rsidRPr="00BD6E18">
              <w:rPr>
                <w:bCs/>
                <w:sz w:val="20"/>
                <w:szCs w:val="20"/>
                <w:u w:val="single"/>
              </w:rPr>
              <w:t>Social connection and isolation.</w:t>
            </w:r>
            <w:r w:rsidRPr="00BD6E18">
              <w:rPr>
                <w:bCs/>
                <w:sz w:val="20"/>
                <w:szCs w:val="20"/>
              </w:rPr>
              <w:t xml:space="preserve"> Enable social connection and isolation to be recorded in accordance the standard specified in § 170.207(o</w:t>
            </w:r>
            <w:proofErr w:type="gramStart"/>
            <w:r w:rsidRPr="00BD6E18">
              <w:rPr>
                <w:bCs/>
                <w:sz w:val="20"/>
                <w:szCs w:val="20"/>
              </w:rPr>
              <w:t>)(</w:t>
            </w:r>
            <w:proofErr w:type="gramEnd"/>
            <w:r w:rsidRPr="00BD6E18">
              <w:rPr>
                <w:bCs/>
                <w:sz w:val="20"/>
                <w:szCs w:val="20"/>
              </w:rPr>
              <w:t>9) and whether a patient declines to specify social connection and isolation.</w:t>
            </w:r>
          </w:p>
          <w:p w:rsidR="00476BE8" w:rsidRPr="00E86D42" w:rsidRDefault="00476BE8" w:rsidP="00493245">
            <w:pPr>
              <w:spacing w:after="0" w:line="240" w:lineRule="auto"/>
              <w:ind w:left="540"/>
              <w:rPr>
                <w:rFonts w:eastAsia="Times New Roman"/>
                <w:bCs/>
                <w:sz w:val="20"/>
              </w:rPr>
            </w:pPr>
            <w:r w:rsidRPr="00BD6E18">
              <w:rPr>
                <w:bCs/>
                <w:sz w:val="20"/>
                <w:szCs w:val="20"/>
              </w:rPr>
              <w:t xml:space="preserve">(x) </w:t>
            </w:r>
            <w:r w:rsidRPr="00BD6E18">
              <w:rPr>
                <w:bCs/>
                <w:sz w:val="20"/>
                <w:szCs w:val="20"/>
                <w:u w:val="single"/>
              </w:rPr>
              <w:t>Exposure to violence (intimate partner violence).</w:t>
            </w:r>
            <w:r w:rsidRPr="00BD6E18">
              <w:rPr>
                <w:bCs/>
                <w:sz w:val="20"/>
                <w:szCs w:val="20"/>
              </w:rPr>
              <w:t xml:space="preserve"> Enable exposure to violence (intimate partner violence) to be recorded in accordance with the standard specified in § 170.207(o</w:t>
            </w:r>
            <w:proofErr w:type="gramStart"/>
            <w:r w:rsidRPr="00BD6E18">
              <w:rPr>
                <w:bCs/>
                <w:sz w:val="20"/>
                <w:szCs w:val="20"/>
              </w:rPr>
              <w:t>)(</w:t>
            </w:r>
            <w:proofErr w:type="gramEnd"/>
            <w:r w:rsidRPr="00BD6E18">
              <w:rPr>
                <w:bCs/>
                <w:sz w:val="20"/>
                <w:szCs w:val="20"/>
              </w:rPr>
              <w:t>10) and whether a patient declines to specify exposure to violence (intimate partner violence).</w:t>
            </w:r>
          </w:p>
        </w:tc>
      </w:tr>
      <w:tr w:rsidR="00476BE8" w:rsidRPr="00E86D42" w:rsidTr="00856F28">
        <w:trPr>
          <w:trHeight w:val="439"/>
          <w:jc w:val="center"/>
        </w:trPr>
        <w:tc>
          <w:tcPr>
            <w:tcW w:w="2500" w:type="pct"/>
            <w:shd w:val="clear" w:color="auto" w:fill="EAF1DD" w:themeFill="accent3" w:themeFillTint="33"/>
          </w:tcPr>
          <w:p w:rsidR="00476BE8" w:rsidRPr="00E86D42" w:rsidRDefault="00476BE8" w:rsidP="00493245">
            <w:pPr>
              <w:spacing w:after="0" w:line="240" w:lineRule="auto"/>
              <w:rPr>
                <w:sz w:val="20"/>
                <w:szCs w:val="20"/>
              </w:rPr>
            </w:pPr>
            <w:r w:rsidRPr="00E86D42">
              <w:rPr>
                <w:b/>
                <w:bCs/>
                <w:sz w:val="20"/>
                <w:szCs w:val="20"/>
              </w:rPr>
              <w:t xml:space="preserve">Preamble FR Citation: </w:t>
            </w:r>
            <w:r w:rsidRPr="003E7712">
              <w:rPr>
                <w:bCs/>
                <w:sz w:val="20"/>
                <w:szCs w:val="20"/>
              </w:rPr>
              <w:t>80 FR 1682</w:t>
            </w:r>
            <w:r>
              <w:rPr>
                <w:bCs/>
                <w:sz w:val="20"/>
                <w:szCs w:val="20"/>
              </w:rPr>
              <w:t>6</w:t>
            </w:r>
          </w:p>
        </w:tc>
        <w:tc>
          <w:tcPr>
            <w:tcW w:w="2500" w:type="pct"/>
            <w:shd w:val="clear" w:color="auto" w:fill="EAF1DD" w:themeFill="accent3" w:themeFillTint="33"/>
          </w:tcPr>
          <w:p w:rsidR="00476BE8" w:rsidRPr="00E86D42" w:rsidRDefault="00476BE8" w:rsidP="00493245">
            <w:pPr>
              <w:spacing w:after="0" w:line="240" w:lineRule="auto"/>
              <w:rPr>
                <w:b/>
                <w:bCs/>
                <w:sz w:val="20"/>
                <w:szCs w:val="20"/>
              </w:rPr>
            </w:pPr>
            <w:r w:rsidRPr="00E86D42">
              <w:rPr>
                <w:b/>
                <w:bCs/>
                <w:sz w:val="20"/>
                <w:szCs w:val="20"/>
              </w:rPr>
              <w:t xml:space="preserve">Specific questions in preamble?  </w:t>
            </w:r>
            <w:r w:rsidRPr="00E86D42">
              <w:rPr>
                <w:bCs/>
                <w:i/>
                <w:sz w:val="20"/>
                <w:szCs w:val="20"/>
              </w:rPr>
              <w:t>Yes</w:t>
            </w:r>
            <w:r>
              <w:rPr>
                <w:bCs/>
                <w:i/>
                <w:sz w:val="20"/>
                <w:szCs w:val="20"/>
              </w:rPr>
              <w:t>, and also see requests for comment on work information (industry/occupation) data and U.S. uniformed/military service data</w:t>
            </w:r>
          </w:p>
        </w:tc>
      </w:tr>
      <w:tr w:rsidR="00476BE8" w:rsidRPr="00E86D42" w:rsidTr="00856F28">
        <w:trPr>
          <w:trHeight w:val="628"/>
          <w:jc w:val="center"/>
        </w:trPr>
        <w:tc>
          <w:tcPr>
            <w:tcW w:w="5000" w:type="pct"/>
            <w:gridSpan w:val="2"/>
            <w:shd w:val="clear" w:color="auto" w:fill="FFFFFF"/>
          </w:tcPr>
          <w:p w:rsidR="00476BE8" w:rsidRPr="00E86D42" w:rsidRDefault="00476BE8" w:rsidP="00493245">
            <w:pPr>
              <w:spacing w:after="60" w:line="240" w:lineRule="auto"/>
              <w:rPr>
                <w:b/>
                <w:bCs/>
                <w:sz w:val="20"/>
                <w:szCs w:val="20"/>
              </w:rPr>
            </w:pPr>
            <w:r w:rsidRPr="00E86D42">
              <w:rPr>
                <w:b/>
                <w:bCs/>
                <w:sz w:val="20"/>
                <w:szCs w:val="20"/>
              </w:rPr>
              <w:lastRenderedPageBreak/>
              <w:t xml:space="preserve">Public Comment Field: </w:t>
            </w:r>
          </w:p>
          <w:p w:rsidR="00E3357E" w:rsidRDefault="00D869CF" w:rsidP="00E3357E">
            <w:pPr>
              <w:spacing w:after="60" w:line="240" w:lineRule="auto"/>
              <w:rPr>
                <w:rFonts w:ascii="Times New Roman" w:hAnsi="Times New Roman"/>
                <w:bCs/>
                <w:sz w:val="20"/>
                <w:szCs w:val="20"/>
              </w:rPr>
            </w:pPr>
            <w:r>
              <w:rPr>
                <w:rFonts w:ascii="Times New Roman" w:hAnsi="Times New Roman"/>
                <w:bCs/>
                <w:sz w:val="20"/>
                <w:szCs w:val="20"/>
              </w:rPr>
              <w:t>ER:</w:t>
            </w:r>
          </w:p>
          <w:p w:rsidR="00476BE8" w:rsidRDefault="00E3357E" w:rsidP="00E3357E">
            <w:pPr>
              <w:pStyle w:val="ListParagraph"/>
              <w:numPr>
                <w:ilvl w:val="0"/>
                <w:numId w:val="6"/>
              </w:numPr>
              <w:spacing w:after="60" w:line="240" w:lineRule="auto"/>
              <w:rPr>
                <w:rFonts w:ascii="Times New Roman" w:hAnsi="Times New Roman"/>
                <w:bCs/>
                <w:sz w:val="20"/>
                <w:szCs w:val="20"/>
              </w:rPr>
            </w:pPr>
            <w:r w:rsidRPr="00E3357E">
              <w:rPr>
                <w:rFonts w:ascii="Times New Roman" w:hAnsi="Times New Roman"/>
                <w:bCs/>
                <w:sz w:val="20"/>
                <w:szCs w:val="20"/>
              </w:rPr>
              <w:t xml:space="preserve">It will be valuable to be able to capture psychosocial and behavioral data in EHRs in structured and coded form.  The proposal to encode “answer” data (e.g. for financial resource strain, the responses “very hard”, “somewhat hard”, etc.) should be rethought, as this is generally not in the semantic scope of LOINC.  The SNOMED “qualifier value” hierarchy </w:t>
            </w:r>
            <w:r w:rsidRPr="00E3357E">
              <w:rPr>
                <w:rFonts w:ascii="Times New Roman" w:hAnsi="Times New Roman"/>
                <w:b/>
                <w:bCs/>
                <w:i/>
                <w:sz w:val="20"/>
                <w:szCs w:val="20"/>
              </w:rPr>
              <w:t>does</w:t>
            </w:r>
            <w:r w:rsidRPr="00E3357E">
              <w:rPr>
                <w:rFonts w:ascii="Times New Roman" w:hAnsi="Times New Roman"/>
                <w:bCs/>
                <w:sz w:val="20"/>
                <w:szCs w:val="20"/>
              </w:rPr>
              <w:t xml:space="preserve"> cover this semantic area, and is commonly used in other similar use cases, e.g. to record categorical or ordinal results for laboratory data (e.g. “mild”, “moderate”, etc.).  For the “questions”, however, e.g. “highest level of education completed”, LOINC would certainly be appropriate.</w:t>
            </w:r>
          </w:p>
          <w:p w:rsidR="00CB0AFF" w:rsidRDefault="00CB0AFF" w:rsidP="00E3357E">
            <w:pPr>
              <w:pStyle w:val="ListParagraph"/>
              <w:numPr>
                <w:ilvl w:val="0"/>
                <w:numId w:val="6"/>
              </w:numPr>
              <w:spacing w:after="60" w:line="240" w:lineRule="auto"/>
              <w:rPr>
                <w:rFonts w:ascii="Times New Roman" w:hAnsi="Times New Roman"/>
                <w:bCs/>
                <w:sz w:val="20"/>
                <w:szCs w:val="20"/>
              </w:rPr>
            </w:pPr>
            <w:r>
              <w:rPr>
                <w:rFonts w:ascii="Times New Roman" w:hAnsi="Times New Roman"/>
                <w:bCs/>
                <w:sz w:val="20"/>
                <w:szCs w:val="20"/>
              </w:rPr>
              <w:t>Regulation should not be based on any premises of action by entities outside the regulator’s control, such as addition of new codes to a standardized terminology.  In cases where the NRPM refers to a “pending” code, if there are assurances from the SDO that the code will be released, those should be made publicly available.  Otherwise, regulation should not require use of not-yet-existing codes.</w:t>
            </w:r>
          </w:p>
          <w:p w:rsidR="004503B6" w:rsidRDefault="004503B6" w:rsidP="00E3357E">
            <w:pPr>
              <w:pStyle w:val="ListParagraph"/>
              <w:numPr>
                <w:ilvl w:val="0"/>
                <w:numId w:val="6"/>
              </w:numPr>
              <w:spacing w:after="60" w:line="240" w:lineRule="auto"/>
              <w:rPr>
                <w:rFonts w:ascii="Times New Roman" w:hAnsi="Times New Roman"/>
                <w:bCs/>
                <w:sz w:val="20"/>
                <w:szCs w:val="20"/>
              </w:rPr>
            </w:pPr>
            <w:r>
              <w:rPr>
                <w:rFonts w:ascii="Times New Roman" w:hAnsi="Times New Roman"/>
                <w:bCs/>
                <w:sz w:val="20"/>
                <w:szCs w:val="20"/>
              </w:rPr>
              <w:t>The ability to record gender identity separate from biological sex is important and its inclusion is laudable.</w:t>
            </w:r>
          </w:p>
          <w:p w:rsidR="00006102" w:rsidRDefault="00006102" w:rsidP="00E3357E">
            <w:pPr>
              <w:pStyle w:val="ListParagraph"/>
              <w:numPr>
                <w:ilvl w:val="0"/>
                <w:numId w:val="6"/>
              </w:numPr>
              <w:spacing w:after="60" w:line="240" w:lineRule="auto"/>
              <w:rPr>
                <w:rFonts w:ascii="Times New Roman" w:hAnsi="Times New Roman"/>
                <w:bCs/>
                <w:sz w:val="20"/>
                <w:szCs w:val="20"/>
              </w:rPr>
            </w:pPr>
            <w:r>
              <w:rPr>
                <w:rFonts w:ascii="Times New Roman" w:hAnsi="Times New Roman"/>
                <w:bCs/>
                <w:sz w:val="20"/>
                <w:szCs w:val="20"/>
              </w:rPr>
              <w:t>Regarding sexual orientation, rather than limit recording of data to 3 specific SNOMED codes, it would be advisable to allow any SNOMED code describing sexual orientation to be used.</w:t>
            </w:r>
          </w:p>
          <w:p w:rsidR="00E3357E" w:rsidRDefault="00E3357E" w:rsidP="00E3357E">
            <w:pPr>
              <w:pStyle w:val="ListParagraph"/>
              <w:numPr>
                <w:ilvl w:val="0"/>
                <w:numId w:val="6"/>
              </w:numPr>
              <w:spacing w:after="60" w:line="240" w:lineRule="auto"/>
              <w:rPr>
                <w:rFonts w:ascii="Times New Roman" w:hAnsi="Times New Roman"/>
                <w:bCs/>
                <w:sz w:val="20"/>
                <w:szCs w:val="20"/>
              </w:rPr>
            </w:pPr>
            <w:r>
              <w:rPr>
                <w:rFonts w:ascii="Times New Roman" w:hAnsi="Times New Roman"/>
                <w:bCs/>
                <w:sz w:val="20"/>
                <w:szCs w:val="20"/>
              </w:rPr>
              <w:t>The list of specific data required to be captured is quite extensive, and probably exceeds what is needed to fulfill the basic requirements for expected use of this data, e.g. increasing knowledge of, and reducing, health and health care disparities based on psychosocial parameters.  For instance, requiring the ability to capture how many times a week someone talks by phone with family, friends, and neighbors seems excessive.</w:t>
            </w:r>
          </w:p>
          <w:p w:rsidR="00E3357E" w:rsidRPr="00822ABA" w:rsidRDefault="007F4252" w:rsidP="00E3357E">
            <w:pPr>
              <w:pStyle w:val="ListParagraph"/>
              <w:numPr>
                <w:ilvl w:val="0"/>
                <w:numId w:val="6"/>
              </w:numPr>
              <w:spacing w:after="60" w:line="240" w:lineRule="auto"/>
              <w:rPr>
                <w:rFonts w:ascii="Times New Roman" w:hAnsi="Times New Roman"/>
                <w:bCs/>
                <w:sz w:val="20"/>
                <w:szCs w:val="20"/>
              </w:rPr>
            </w:pPr>
            <w:r>
              <w:rPr>
                <w:rFonts w:ascii="Times New Roman" w:hAnsi="Times New Roman"/>
                <w:bCs/>
                <w:sz w:val="20"/>
                <w:szCs w:val="20"/>
              </w:rPr>
              <w:t>Use of psychoactive substances other than alcohol and nicotine should be added</w:t>
            </w:r>
            <w:r w:rsidR="00822ABA">
              <w:rPr>
                <w:rFonts w:ascii="Times New Roman" w:hAnsi="Times New Roman"/>
                <w:bCs/>
                <w:sz w:val="20"/>
                <w:szCs w:val="20"/>
              </w:rPr>
              <w:t>, as well as dietary habits</w:t>
            </w:r>
          </w:p>
        </w:tc>
      </w:tr>
    </w:tbl>
    <w:p w:rsidR="008D031C" w:rsidRDefault="008D031C"/>
    <w:tbl>
      <w:tblPr>
        <w:tblW w:w="5000" w:type="pct"/>
        <w:jc w:val="center"/>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8" w:space="0" w:color="4F6228" w:themeColor="accent3" w:themeShade="80"/>
          <w:insideV w:val="single" w:sz="8" w:space="0" w:color="4F6228" w:themeColor="accent3" w:themeShade="80"/>
        </w:tblBorders>
        <w:tblLook w:val="04A0" w:firstRow="1" w:lastRow="0" w:firstColumn="1" w:lastColumn="0" w:noHBand="0" w:noVBand="1"/>
      </w:tblPr>
      <w:tblGrid>
        <w:gridCol w:w="11016"/>
      </w:tblGrid>
      <w:tr w:rsidR="008D031C" w:rsidRPr="00E86D42" w:rsidTr="00C2780B">
        <w:trPr>
          <w:tblHeader/>
          <w:jc w:val="center"/>
        </w:trPr>
        <w:tc>
          <w:tcPr>
            <w:tcW w:w="5000" w:type="pct"/>
            <w:shd w:val="clear" w:color="auto" w:fill="D6E3BC" w:themeFill="accent3" w:themeFillTint="66"/>
          </w:tcPr>
          <w:p w:rsidR="008D031C" w:rsidRPr="00E86D42" w:rsidRDefault="007D4D0E" w:rsidP="00493245">
            <w:pPr>
              <w:spacing w:after="0" w:line="240" w:lineRule="auto"/>
              <w:rPr>
                <w:b/>
                <w:bCs/>
                <w:color w:val="FFFFFF"/>
              </w:rPr>
            </w:pPr>
            <w:hyperlink r:id="rId19" w:history="1">
              <w:r w:rsidR="00D41022" w:rsidRPr="00C2780B">
                <w:rPr>
                  <w:rStyle w:val="Hyperlink"/>
                  <w:b/>
                  <w:bCs/>
                </w:rPr>
                <w:t xml:space="preserve">Work Information – Industry/Occupation Data </w:t>
              </w:r>
            </w:hyperlink>
            <w:r w:rsidR="00D41022">
              <w:rPr>
                <w:b/>
                <w:bCs/>
                <w:color w:val="FFFFFF"/>
              </w:rPr>
              <w:t xml:space="preserve"> </w:t>
            </w:r>
            <w:r w:rsidR="00476BE8" w:rsidRPr="00C2780B">
              <w:rPr>
                <w:b/>
                <w:bCs/>
                <w:color w:val="000000" w:themeColor="text1"/>
              </w:rPr>
              <w:t>pp. 90-92</w:t>
            </w:r>
          </w:p>
        </w:tc>
      </w:tr>
      <w:tr w:rsidR="008D031C" w:rsidRPr="00990F80" w:rsidTr="00493245">
        <w:trPr>
          <w:trHeight w:val="970"/>
          <w:tblHeader/>
          <w:jc w:val="center"/>
        </w:trPr>
        <w:tc>
          <w:tcPr>
            <w:tcW w:w="5000" w:type="pct"/>
            <w:shd w:val="clear" w:color="auto" w:fill="EAF1DD" w:themeFill="accent3" w:themeFillTint="33"/>
          </w:tcPr>
          <w:p w:rsidR="008D031C" w:rsidRPr="00BD6E18" w:rsidRDefault="00D41022" w:rsidP="00182780">
            <w:pPr>
              <w:spacing w:after="0"/>
              <w:rPr>
                <w:bCs/>
                <w:sz w:val="20"/>
                <w:szCs w:val="20"/>
              </w:rPr>
            </w:pPr>
            <w:r w:rsidRPr="00D41022">
              <w:rPr>
                <w:bCs/>
                <w:sz w:val="20"/>
                <w:szCs w:val="20"/>
              </w:rPr>
              <w:t>The Institute of Medicine identified patients’ work information as valuable data that could</w:t>
            </w:r>
            <w:r>
              <w:rPr>
                <w:bCs/>
                <w:sz w:val="20"/>
                <w:szCs w:val="20"/>
              </w:rPr>
              <w:t xml:space="preserve"> </w:t>
            </w:r>
            <w:r w:rsidRPr="00D41022">
              <w:rPr>
                <w:bCs/>
                <w:sz w:val="20"/>
                <w:szCs w:val="20"/>
              </w:rPr>
              <w:t>be recorded by health IT and used by both health care providers and public health agencies.65</w:t>
            </w:r>
            <w:r>
              <w:rPr>
                <w:bCs/>
                <w:sz w:val="20"/>
                <w:szCs w:val="20"/>
              </w:rPr>
              <w:t xml:space="preserve"> </w:t>
            </w:r>
            <w:r w:rsidRPr="00D41022">
              <w:rPr>
                <w:bCs/>
                <w:sz w:val="20"/>
                <w:szCs w:val="20"/>
              </w:rPr>
              <w:t>Similarly, the 2012 HHS Environmental Justice Strategy and Implementation Plan echoed the</w:t>
            </w:r>
            <w:r>
              <w:rPr>
                <w:bCs/>
                <w:sz w:val="20"/>
                <w:szCs w:val="20"/>
              </w:rPr>
              <w:t xml:space="preserve"> </w:t>
            </w:r>
            <w:r w:rsidRPr="00D41022">
              <w:rPr>
                <w:bCs/>
                <w:sz w:val="20"/>
                <w:szCs w:val="20"/>
              </w:rPr>
              <w:t>potential benefits of having work information in EHR technology. 66 The combination of industry</w:t>
            </w:r>
            <w:r w:rsidR="00182780">
              <w:rPr>
                <w:bCs/>
                <w:sz w:val="20"/>
                <w:szCs w:val="20"/>
              </w:rPr>
              <w:t xml:space="preserve"> </w:t>
            </w:r>
            <w:r w:rsidRPr="00D41022">
              <w:rPr>
                <w:bCs/>
                <w:sz w:val="20"/>
                <w:szCs w:val="20"/>
              </w:rPr>
              <w:t>and occupation (I/O) information provides opportunities for health care providers to improve</w:t>
            </w:r>
            <w:r>
              <w:rPr>
                <w:bCs/>
                <w:sz w:val="20"/>
                <w:szCs w:val="20"/>
              </w:rPr>
              <w:t xml:space="preserve"> </w:t>
            </w:r>
            <w:r w:rsidRPr="00D41022">
              <w:rPr>
                <w:bCs/>
                <w:sz w:val="20"/>
                <w:szCs w:val="20"/>
              </w:rPr>
              <w:t>patient health outcomes – for health issues wholly or partially caused by work and for health</w:t>
            </w:r>
            <w:r>
              <w:rPr>
                <w:bCs/>
                <w:sz w:val="20"/>
                <w:szCs w:val="20"/>
              </w:rPr>
              <w:t xml:space="preserve"> </w:t>
            </w:r>
            <w:r w:rsidRPr="00D41022">
              <w:rPr>
                <w:bCs/>
                <w:sz w:val="20"/>
                <w:szCs w:val="20"/>
              </w:rPr>
              <w:t>conditions whose management is affected by work. For example, “Usual” (longest-held) I/O</w:t>
            </w:r>
            <w:r>
              <w:rPr>
                <w:bCs/>
                <w:sz w:val="20"/>
                <w:szCs w:val="20"/>
              </w:rPr>
              <w:t xml:space="preserve"> </w:t>
            </w:r>
            <w:r w:rsidRPr="00D41022">
              <w:rPr>
                <w:bCs/>
                <w:sz w:val="20"/>
                <w:szCs w:val="20"/>
              </w:rPr>
              <w:t>information can be key for health care improvement and population-based health investigations,</w:t>
            </w:r>
            <w:r w:rsidR="00182780">
              <w:rPr>
                <w:bCs/>
                <w:sz w:val="20"/>
                <w:szCs w:val="20"/>
              </w:rPr>
              <w:t xml:space="preserve"> </w:t>
            </w:r>
            <w:r w:rsidRPr="00D41022">
              <w:rPr>
                <w:bCs/>
                <w:sz w:val="20"/>
                <w:szCs w:val="20"/>
              </w:rPr>
              <w:t>and is already a required data element for cancer reporting.67 Health care providers also can use</w:t>
            </w:r>
            <w:r>
              <w:rPr>
                <w:bCs/>
                <w:sz w:val="20"/>
                <w:szCs w:val="20"/>
              </w:rPr>
              <w:t xml:space="preserve"> </w:t>
            </w:r>
            <w:r w:rsidRPr="00D41022">
              <w:rPr>
                <w:bCs/>
                <w:sz w:val="20"/>
                <w:szCs w:val="20"/>
              </w:rPr>
              <w:t>current I/O information to assess symptoms in the context of work activities and environments,</w:t>
            </w:r>
            <w:r>
              <w:rPr>
                <w:bCs/>
                <w:sz w:val="20"/>
                <w:szCs w:val="20"/>
              </w:rPr>
              <w:t xml:space="preserve"> </w:t>
            </w:r>
            <w:r w:rsidRPr="00D41022">
              <w:rPr>
                <w:bCs/>
                <w:sz w:val="20"/>
                <w:szCs w:val="20"/>
              </w:rPr>
              <w:t>inform patients of risks, obtain information to assist in return-to-work determinations, and</w:t>
            </w:r>
            <w:r>
              <w:rPr>
                <w:bCs/>
                <w:sz w:val="20"/>
                <w:szCs w:val="20"/>
              </w:rPr>
              <w:t xml:space="preserve"> </w:t>
            </w:r>
            <w:r w:rsidRPr="00D41022">
              <w:rPr>
                <w:bCs/>
                <w:sz w:val="20"/>
                <w:szCs w:val="20"/>
              </w:rPr>
              <w:t xml:space="preserve">evaluate the health and informational needs of groups of patients. </w:t>
            </w:r>
            <w:r w:rsidR="00476BE8">
              <w:rPr>
                <w:bCs/>
                <w:sz w:val="20"/>
                <w:szCs w:val="20"/>
              </w:rPr>
              <w:t>(Continued on page #90</w:t>
            </w:r>
            <w:r w:rsidR="008D031C">
              <w:rPr>
                <w:bCs/>
                <w:sz w:val="20"/>
                <w:szCs w:val="20"/>
              </w:rPr>
              <w:t>)</w:t>
            </w:r>
          </w:p>
        </w:tc>
      </w:tr>
      <w:tr w:rsidR="008D031C" w:rsidRPr="00E86D42" w:rsidTr="00493245">
        <w:trPr>
          <w:tblHeader/>
          <w:jc w:val="center"/>
        </w:trPr>
        <w:tc>
          <w:tcPr>
            <w:tcW w:w="5000" w:type="pct"/>
            <w:shd w:val="clear" w:color="auto" w:fill="FFFFFF"/>
          </w:tcPr>
          <w:p w:rsidR="008D031C" w:rsidRPr="00E86D42" w:rsidRDefault="008D031C" w:rsidP="00493245">
            <w:pPr>
              <w:spacing w:after="60" w:line="240" w:lineRule="auto"/>
              <w:rPr>
                <w:b/>
                <w:bCs/>
                <w:sz w:val="20"/>
                <w:szCs w:val="20"/>
              </w:rPr>
            </w:pPr>
            <w:r w:rsidRPr="00E86D42">
              <w:rPr>
                <w:b/>
                <w:bCs/>
                <w:sz w:val="20"/>
                <w:szCs w:val="20"/>
              </w:rPr>
              <w:t xml:space="preserve">Public Comment Field: </w:t>
            </w:r>
          </w:p>
          <w:p w:rsidR="008D031C" w:rsidRPr="00E86D42" w:rsidRDefault="00182780" w:rsidP="00D37330">
            <w:pPr>
              <w:spacing w:after="60" w:line="240" w:lineRule="auto"/>
              <w:rPr>
                <w:rFonts w:ascii="Times New Roman" w:hAnsi="Times New Roman"/>
                <w:bCs/>
                <w:sz w:val="20"/>
                <w:szCs w:val="20"/>
              </w:rPr>
            </w:pPr>
            <w:r>
              <w:rPr>
                <w:rFonts w:ascii="Times New Roman" w:hAnsi="Times New Roman"/>
                <w:bCs/>
                <w:sz w:val="20"/>
                <w:szCs w:val="20"/>
              </w:rPr>
              <w:t>ER: While there are likely standards for describing occupation that have been developed outside health care, and utilization of those standards would facilitate analysis of data by entities that utilize those standards (e.g. perhaps NIOSH), utilization of SNOMED CT for encoding occupation should be given strong consideration.</w:t>
            </w:r>
            <w:r w:rsidR="00CB0AFF">
              <w:rPr>
                <w:rFonts w:ascii="Times New Roman" w:hAnsi="Times New Roman"/>
                <w:bCs/>
                <w:sz w:val="20"/>
                <w:szCs w:val="20"/>
              </w:rPr>
              <w:t xml:space="preserve">  SNOMED currently has 3,750 distinct codes for occupation.</w:t>
            </w:r>
            <w:r>
              <w:rPr>
                <w:rFonts w:ascii="Times New Roman" w:hAnsi="Times New Roman"/>
                <w:bCs/>
                <w:sz w:val="20"/>
                <w:szCs w:val="20"/>
              </w:rPr>
              <w:t xml:space="preserve">  For one thing, since SNOMED CT is already well-established as a health care terminology for use in CEHRT, there may be less overhead in its adoption for encoding occupation data.  More importantly, SNOMED’s hierarchical structure facilitates its use for reporting, decision support, and other uses that rely on logic that groups together similar concepts.  For instance, there are 462 SNOMED codes for occupation that all fall into the SNOMED sub-hierarchy “healthcare professional”, as varied as “oral surgeon” and “paramedic”.  Having occupation data encoded in SNOMED would facilitate easily identifying all patients who are healthcare professionals, e.g. to make sure they have been vaccinated for hepatitis B or get annual screening for tuberculosis.</w:t>
            </w:r>
            <w:r w:rsidR="00D37330">
              <w:rPr>
                <w:rFonts w:ascii="Times New Roman" w:hAnsi="Times New Roman"/>
                <w:bCs/>
                <w:sz w:val="20"/>
                <w:szCs w:val="20"/>
              </w:rPr>
              <w:t xml:space="preserve">  Note that one option would be to analyze SNOMED CT for gaps vis-à-vis other preferred lists like the CDC occupation list and propose addition of any cap concepts to SNOMED CT US Extension.</w:t>
            </w:r>
            <w:r w:rsidR="008D7774">
              <w:rPr>
                <w:rFonts w:ascii="Times New Roman" w:hAnsi="Times New Roman"/>
                <w:bCs/>
                <w:sz w:val="20"/>
                <w:szCs w:val="20"/>
              </w:rPr>
              <w:t xml:space="preserve">  Another option would be to cross-map SNOMED occupation codes with the CDC’s occupation codes to allow analysis that combines data encoded in both.</w:t>
            </w:r>
          </w:p>
        </w:tc>
      </w:tr>
    </w:tbl>
    <w:p w:rsidR="008D031C" w:rsidRDefault="008D031C"/>
    <w:tbl>
      <w:tblPr>
        <w:tblW w:w="5000" w:type="pct"/>
        <w:jc w:val="center"/>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8" w:space="0" w:color="4F6228" w:themeColor="accent3" w:themeShade="80"/>
          <w:insideV w:val="single" w:sz="8" w:space="0" w:color="4F6228" w:themeColor="accent3" w:themeShade="80"/>
        </w:tblBorders>
        <w:tblLook w:val="04A0" w:firstRow="1" w:lastRow="0" w:firstColumn="1" w:lastColumn="0" w:noHBand="0" w:noVBand="1"/>
      </w:tblPr>
      <w:tblGrid>
        <w:gridCol w:w="11016"/>
      </w:tblGrid>
      <w:tr w:rsidR="00D41022" w:rsidRPr="00E86D42" w:rsidTr="00C2780B">
        <w:trPr>
          <w:tblHeader/>
          <w:jc w:val="center"/>
        </w:trPr>
        <w:tc>
          <w:tcPr>
            <w:tcW w:w="5000" w:type="pct"/>
            <w:shd w:val="clear" w:color="auto" w:fill="D6E3BC" w:themeFill="accent3" w:themeFillTint="66"/>
          </w:tcPr>
          <w:p w:rsidR="00D41022" w:rsidRPr="00E86D42" w:rsidRDefault="007D4D0E" w:rsidP="008836BE">
            <w:pPr>
              <w:spacing w:after="0" w:line="240" w:lineRule="auto"/>
              <w:rPr>
                <w:b/>
                <w:bCs/>
                <w:color w:val="FFFFFF"/>
              </w:rPr>
            </w:pPr>
            <w:hyperlink r:id="rId20" w:history="1">
              <w:r w:rsidR="00D41022" w:rsidRPr="00C2780B">
                <w:rPr>
                  <w:rStyle w:val="Hyperlink"/>
                  <w:b/>
                  <w:bCs/>
                </w:rPr>
                <w:t xml:space="preserve">U.S. Uniformed/Military Service Data </w:t>
              </w:r>
            </w:hyperlink>
            <w:r w:rsidR="00D41022">
              <w:rPr>
                <w:b/>
                <w:bCs/>
                <w:color w:val="FFFFFF"/>
              </w:rPr>
              <w:t xml:space="preserve"> </w:t>
            </w:r>
            <w:r w:rsidR="00EE182F" w:rsidRPr="00C2780B">
              <w:rPr>
                <w:b/>
                <w:bCs/>
                <w:color w:val="000000" w:themeColor="text1"/>
              </w:rPr>
              <w:t>p.</w:t>
            </w:r>
            <w:r w:rsidR="008836BE" w:rsidRPr="00C2780B">
              <w:rPr>
                <w:b/>
                <w:bCs/>
                <w:color w:val="000000" w:themeColor="text1"/>
              </w:rPr>
              <w:t xml:space="preserve"> </w:t>
            </w:r>
            <w:r w:rsidR="00D41022" w:rsidRPr="00C2780B">
              <w:rPr>
                <w:b/>
                <w:bCs/>
                <w:color w:val="000000" w:themeColor="text1"/>
              </w:rPr>
              <w:t>92</w:t>
            </w:r>
          </w:p>
        </w:tc>
      </w:tr>
      <w:tr w:rsidR="00D41022" w:rsidRPr="00E86D42" w:rsidTr="00493245">
        <w:trPr>
          <w:trHeight w:val="970"/>
          <w:tblHeader/>
          <w:jc w:val="center"/>
        </w:trPr>
        <w:tc>
          <w:tcPr>
            <w:tcW w:w="5000" w:type="pct"/>
            <w:shd w:val="clear" w:color="auto" w:fill="EAF1DD" w:themeFill="accent3" w:themeFillTint="33"/>
          </w:tcPr>
          <w:p w:rsidR="00D41022" w:rsidRPr="00D41022" w:rsidRDefault="00D41022" w:rsidP="00D41022">
            <w:pPr>
              <w:spacing w:after="0"/>
              <w:rPr>
                <w:bCs/>
                <w:sz w:val="20"/>
                <w:szCs w:val="20"/>
              </w:rPr>
            </w:pPr>
            <w:r w:rsidRPr="00D41022">
              <w:rPr>
                <w:bCs/>
                <w:sz w:val="20"/>
                <w:szCs w:val="20"/>
              </w:rPr>
              <w:lastRenderedPageBreak/>
              <w:t>In the Voluntary Edition proposed rule (79 FR 10924), we outlined rationale for a</w:t>
            </w:r>
            <w:r>
              <w:rPr>
                <w:bCs/>
                <w:sz w:val="20"/>
                <w:szCs w:val="20"/>
              </w:rPr>
              <w:t xml:space="preserve"> </w:t>
            </w:r>
            <w:r w:rsidRPr="00D41022">
              <w:rPr>
                <w:bCs/>
                <w:sz w:val="20"/>
                <w:szCs w:val="20"/>
              </w:rPr>
              <w:t>potential certification criterion that would assess the capability of health IT to enable a user to</w:t>
            </w:r>
            <w:r>
              <w:rPr>
                <w:bCs/>
                <w:sz w:val="20"/>
                <w:szCs w:val="20"/>
              </w:rPr>
              <w:t xml:space="preserve"> </w:t>
            </w:r>
            <w:r w:rsidRPr="00D41022">
              <w:rPr>
                <w:bCs/>
                <w:sz w:val="20"/>
                <w:szCs w:val="20"/>
              </w:rPr>
              <w:t>record, change, and access U.S. military service or all uniformed service (including</w:t>
            </w:r>
          </w:p>
          <w:p w:rsidR="00D41022" w:rsidRPr="00BD6E18" w:rsidRDefault="00D41022" w:rsidP="00D41022">
            <w:pPr>
              <w:spacing w:after="0"/>
              <w:rPr>
                <w:bCs/>
                <w:sz w:val="20"/>
                <w:szCs w:val="20"/>
              </w:rPr>
            </w:pPr>
            <w:proofErr w:type="gramStart"/>
            <w:r w:rsidRPr="00D41022">
              <w:rPr>
                <w:bCs/>
                <w:sz w:val="20"/>
                <w:szCs w:val="20"/>
              </w:rPr>
              <w:t>commissioned</w:t>
            </w:r>
            <w:proofErr w:type="gramEnd"/>
            <w:r w:rsidRPr="00D41022">
              <w:rPr>
                <w:bCs/>
                <w:sz w:val="20"/>
                <w:szCs w:val="20"/>
              </w:rPr>
              <w:t xml:space="preserve"> officers of the U.S. Public Health Service (USPHS) and the National</w:t>
            </w:r>
            <w:r>
              <w:rPr>
                <w:bCs/>
                <w:sz w:val="20"/>
                <w:szCs w:val="20"/>
              </w:rPr>
              <w:t xml:space="preserve"> </w:t>
            </w:r>
            <w:r w:rsidRPr="00D41022">
              <w:rPr>
                <w:bCs/>
                <w:sz w:val="20"/>
                <w:szCs w:val="20"/>
              </w:rPr>
              <w:t>Oceanographic and Atmospheric Administration (NOAA) as they too are eligible for military</w:t>
            </w:r>
            <w:r>
              <w:rPr>
                <w:bCs/>
                <w:sz w:val="20"/>
                <w:szCs w:val="20"/>
              </w:rPr>
              <w:t xml:space="preserve"> </w:t>
            </w:r>
            <w:r w:rsidRPr="00D41022">
              <w:rPr>
                <w:bCs/>
                <w:sz w:val="20"/>
                <w:szCs w:val="20"/>
              </w:rPr>
              <w:t>health services, veterans benefits, and related services). We reiterate the rationale here as we</w:t>
            </w:r>
            <w:r>
              <w:rPr>
                <w:bCs/>
                <w:sz w:val="20"/>
                <w:szCs w:val="20"/>
              </w:rPr>
              <w:t xml:space="preserve"> </w:t>
            </w:r>
            <w:r w:rsidRPr="00D41022">
              <w:rPr>
                <w:bCs/>
                <w:sz w:val="20"/>
                <w:szCs w:val="20"/>
              </w:rPr>
              <w:t xml:space="preserve">continue to believe it is persuasive for adopting such a certification criterion. </w:t>
            </w:r>
            <w:r>
              <w:rPr>
                <w:bCs/>
                <w:sz w:val="20"/>
                <w:szCs w:val="20"/>
              </w:rPr>
              <w:t>(Continued on page #93)</w:t>
            </w:r>
          </w:p>
        </w:tc>
      </w:tr>
      <w:tr w:rsidR="00D41022" w:rsidRPr="00E86D42" w:rsidTr="00493245">
        <w:trPr>
          <w:tblHeader/>
          <w:jc w:val="center"/>
        </w:trPr>
        <w:tc>
          <w:tcPr>
            <w:tcW w:w="5000" w:type="pct"/>
            <w:shd w:val="clear" w:color="auto" w:fill="FFFFFF"/>
          </w:tcPr>
          <w:p w:rsidR="00D41022" w:rsidRPr="00E86D42" w:rsidRDefault="00D41022" w:rsidP="00493245">
            <w:pPr>
              <w:spacing w:after="60" w:line="240" w:lineRule="auto"/>
              <w:rPr>
                <w:b/>
                <w:bCs/>
                <w:sz w:val="20"/>
                <w:szCs w:val="20"/>
              </w:rPr>
            </w:pPr>
            <w:r w:rsidRPr="00E86D42">
              <w:rPr>
                <w:b/>
                <w:bCs/>
                <w:sz w:val="20"/>
                <w:szCs w:val="20"/>
              </w:rPr>
              <w:t xml:space="preserve">Public Comment Field: </w:t>
            </w:r>
          </w:p>
          <w:p w:rsidR="00EB40A4" w:rsidRDefault="00182780" w:rsidP="00EB40A4">
            <w:pPr>
              <w:spacing w:after="60" w:line="240" w:lineRule="auto"/>
              <w:rPr>
                <w:rFonts w:ascii="Times New Roman" w:hAnsi="Times New Roman"/>
                <w:bCs/>
                <w:sz w:val="20"/>
                <w:szCs w:val="20"/>
              </w:rPr>
            </w:pPr>
            <w:r>
              <w:rPr>
                <w:rFonts w:ascii="Times New Roman" w:hAnsi="Times New Roman"/>
                <w:bCs/>
                <w:sz w:val="20"/>
                <w:szCs w:val="20"/>
              </w:rPr>
              <w:t>ER: It is unclear why this is necessarily separate from occupational history.  Some of the uniformed services</w:t>
            </w:r>
            <w:r w:rsidR="00C2780C">
              <w:rPr>
                <w:rFonts w:ascii="Times New Roman" w:hAnsi="Times New Roman"/>
                <w:bCs/>
                <w:sz w:val="20"/>
                <w:szCs w:val="20"/>
              </w:rPr>
              <w:t xml:space="preserve"> (e.g. U.S. Public </w:t>
            </w:r>
            <w:proofErr w:type="spellStart"/>
            <w:r w:rsidR="00C2780C">
              <w:rPr>
                <w:rFonts w:ascii="Times New Roman" w:hAnsi="Times New Roman"/>
                <w:bCs/>
                <w:sz w:val="20"/>
                <w:szCs w:val="20"/>
              </w:rPr>
              <w:t>HealthService</w:t>
            </w:r>
            <w:proofErr w:type="spellEnd"/>
            <w:r w:rsidR="00C2780C">
              <w:rPr>
                <w:rFonts w:ascii="Times New Roman" w:hAnsi="Times New Roman"/>
                <w:bCs/>
                <w:sz w:val="20"/>
                <w:szCs w:val="20"/>
              </w:rPr>
              <w:t xml:space="preserve"> or NOAA)</w:t>
            </w:r>
            <w:r>
              <w:rPr>
                <w:rFonts w:ascii="Times New Roman" w:hAnsi="Times New Roman"/>
                <w:bCs/>
                <w:sz w:val="20"/>
                <w:szCs w:val="20"/>
              </w:rPr>
              <w:t xml:space="preserve"> do not share the particular hazards or benefits issues</w:t>
            </w:r>
            <w:r w:rsidR="00C2780C">
              <w:rPr>
                <w:rFonts w:ascii="Times New Roman" w:hAnsi="Times New Roman"/>
                <w:bCs/>
                <w:sz w:val="20"/>
                <w:szCs w:val="20"/>
              </w:rPr>
              <w:t xml:space="preserve"> particular to military service, and some non-uniformed occupations (e.g. law enforcement, military contractor) </w:t>
            </w:r>
            <w:r w:rsidR="00C2780C">
              <w:rPr>
                <w:rFonts w:ascii="Times New Roman" w:hAnsi="Times New Roman"/>
                <w:b/>
                <w:bCs/>
                <w:i/>
                <w:sz w:val="20"/>
                <w:szCs w:val="20"/>
              </w:rPr>
              <w:t>do</w:t>
            </w:r>
            <w:r w:rsidR="00C2780C">
              <w:rPr>
                <w:rFonts w:ascii="Times New Roman" w:hAnsi="Times New Roman"/>
                <w:bCs/>
                <w:sz w:val="20"/>
                <w:szCs w:val="20"/>
              </w:rPr>
              <w:t xml:space="preserve"> share them.  Of note, SNOMED CT does contain a sub-hierarchy “military personnel” wi</w:t>
            </w:r>
            <w:r w:rsidR="008D7774">
              <w:rPr>
                <w:rFonts w:ascii="Times New Roman" w:hAnsi="Times New Roman"/>
                <w:bCs/>
                <w:sz w:val="20"/>
                <w:szCs w:val="20"/>
              </w:rPr>
              <w:t xml:space="preserve">thin the “occupation” hierarchy, as well as codes to represent particular characteristics of uniformed service that may be relevant to future health risks, e.g. “exposure to combat” (SNOMED </w:t>
            </w:r>
            <w:r w:rsidR="008D7774" w:rsidRPr="008D7774">
              <w:rPr>
                <w:rFonts w:ascii="Times New Roman" w:hAnsi="Times New Roman"/>
                <w:bCs/>
                <w:sz w:val="20"/>
                <w:szCs w:val="20"/>
              </w:rPr>
              <w:t>224356007</w:t>
            </w:r>
            <w:r w:rsidR="008D7774">
              <w:rPr>
                <w:rFonts w:ascii="Times New Roman" w:hAnsi="Times New Roman"/>
                <w:bCs/>
                <w:sz w:val="20"/>
                <w:szCs w:val="20"/>
              </w:rPr>
              <w:t>).</w:t>
            </w:r>
          </w:p>
          <w:p w:rsidR="00EB40A4" w:rsidRPr="00C2780C" w:rsidRDefault="00EB40A4" w:rsidP="00EB40A4">
            <w:pPr>
              <w:spacing w:after="60" w:line="240" w:lineRule="auto"/>
              <w:rPr>
                <w:rFonts w:ascii="Times New Roman" w:hAnsi="Times New Roman"/>
                <w:bCs/>
                <w:sz w:val="20"/>
                <w:szCs w:val="20"/>
              </w:rPr>
            </w:pPr>
          </w:p>
        </w:tc>
      </w:tr>
    </w:tbl>
    <w:p w:rsidR="00D41022" w:rsidRDefault="00D41022"/>
    <w:tbl>
      <w:tblPr>
        <w:tblW w:w="5000" w:type="pct"/>
        <w:jc w:val="center"/>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8" w:space="0" w:color="4F6228" w:themeColor="accent3" w:themeShade="80"/>
          <w:insideV w:val="single" w:sz="8" w:space="0" w:color="4F6228" w:themeColor="accent3" w:themeShade="80"/>
        </w:tblBorders>
        <w:tblLook w:val="04A0" w:firstRow="1" w:lastRow="0" w:firstColumn="1" w:lastColumn="0" w:noHBand="0" w:noVBand="1"/>
      </w:tblPr>
      <w:tblGrid>
        <w:gridCol w:w="11016"/>
      </w:tblGrid>
      <w:tr w:rsidR="00BE4717" w:rsidRPr="00E86D42" w:rsidTr="00C2780B">
        <w:trPr>
          <w:tblHeader/>
          <w:jc w:val="center"/>
        </w:trPr>
        <w:tc>
          <w:tcPr>
            <w:tcW w:w="5000" w:type="pct"/>
            <w:shd w:val="clear" w:color="auto" w:fill="D6E3BC" w:themeFill="accent3" w:themeFillTint="66"/>
          </w:tcPr>
          <w:p w:rsidR="00BE4717" w:rsidRPr="00E86D42" w:rsidRDefault="007D4D0E" w:rsidP="008836BE">
            <w:pPr>
              <w:spacing w:after="0" w:line="240" w:lineRule="auto"/>
              <w:rPr>
                <w:b/>
                <w:bCs/>
                <w:color w:val="FFFFFF"/>
              </w:rPr>
            </w:pPr>
            <w:hyperlink r:id="rId21" w:history="1">
              <w:r w:rsidR="00BE4717" w:rsidRPr="00C2780B">
                <w:rPr>
                  <w:rStyle w:val="Hyperlink"/>
                  <w:b/>
                  <w:bCs/>
                </w:rPr>
                <w:t xml:space="preserve">Encounter Diagnoses </w:t>
              </w:r>
            </w:hyperlink>
            <w:r w:rsidR="00BE4717">
              <w:rPr>
                <w:b/>
                <w:bCs/>
                <w:color w:val="FFFFFF"/>
              </w:rPr>
              <w:t xml:space="preserve"> </w:t>
            </w:r>
            <w:r w:rsidR="00EE182F" w:rsidRPr="00C2780B">
              <w:rPr>
                <w:b/>
                <w:bCs/>
                <w:color w:val="000000" w:themeColor="text1"/>
              </w:rPr>
              <w:t>p.</w:t>
            </w:r>
            <w:r w:rsidR="008836BE" w:rsidRPr="00C2780B">
              <w:rPr>
                <w:b/>
                <w:bCs/>
                <w:color w:val="000000" w:themeColor="text1"/>
              </w:rPr>
              <w:t xml:space="preserve"> </w:t>
            </w:r>
            <w:r w:rsidR="00BE4717" w:rsidRPr="00C2780B">
              <w:rPr>
                <w:b/>
                <w:bCs/>
                <w:color w:val="000000" w:themeColor="text1"/>
              </w:rPr>
              <w:t>105</w:t>
            </w:r>
          </w:p>
        </w:tc>
      </w:tr>
      <w:tr w:rsidR="00BE4717" w:rsidRPr="00E86D42" w:rsidTr="00493245">
        <w:trPr>
          <w:trHeight w:val="970"/>
          <w:tblHeader/>
          <w:jc w:val="center"/>
        </w:trPr>
        <w:tc>
          <w:tcPr>
            <w:tcW w:w="5000" w:type="pct"/>
            <w:shd w:val="clear" w:color="auto" w:fill="EAF1DD" w:themeFill="accent3" w:themeFillTint="33"/>
          </w:tcPr>
          <w:p w:rsidR="00BE4717" w:rsidRPr="00BD6E18" w:rsidRDefault="00BE4717" w:rsidP="00BE4717">
            <w:pPr>
              <w:spacing w:after="0"/>
              <w:rPr>
                <w:bCs/>
                <w:sz w:val="20"/>
                <w:szCs w:val="20"/>
              </w:rPr>
            </w:pPr>
            <w:r w:rsidRPr="00BE4717">
              <w:rPr>
                <w:bCs/>
                <w:sz w:val="20"/>
                <w:szCs w:val="20"/>
              </w:rPr>
              <w:t>For encounter diagnoses, we are carrying over the requirement from the 2014 Edition</w:t>
            </w:r>
            <w:r>
              <w:rPr>
                <w:bCs/>
                <w:sz w:val="20"/>
                <w:szCs w:val="20"/>
              </w:rPr>
              <w:t xml:space="preserve"> </w:t>
            </w:r>
            <w:r w:rsidRPr="00BE4717">
              <w:rPr>
                <w:bCs/>
                <w:sz w:val="20"/>
                <w:szCs w:val="20"/>
              </w:rPr>
              <w:t>“</w:t>
            </w:r>
            <w:proofErr w:type="spellStart"/>
            <w:r w:rsidRPr="00BE4717">
              <w:rPr>
                <w:bCs/>
                <w:sz w:val="20"/>
                <w:szCs w:val="20"/>
              </w:rPr>
              <w:t>ToC</w:t>
            </w:r>
            <w:proofErr w:type="spellEnd"/>
            <w:r w:rsidRPr="00BE4717">
              <w:rPr>
                <w:bCs/>
                <w:sz w:val="20"/>
                <w:szCs w:val="20"/>
              </w:rPr>
              <w:t>” certification criterion that a Health IT Module must enable a user to create a transition of</w:t>
            </w:r>
            <w:r>
              <w:rPr>
                <w:bCs/>
                <w:sz w:val="20"/>
                <w:szCs w:val="20"/>
              </w:rPr>
              <w:t xml:space="preserve"> </w:t>
            </w:r>
            <w:r w:rsidRPr="00BE4717">
              <w:rPr>
                <w:bCs/>
                <w:sz w:val="20"/>
                <w:szCs w:val="20"/>
              </w:rPr>
              <w:t xml:space="preserve">care/referral summary that also includes encounter diagnoses using either SNOMED CT® </w:t>
            </w:r>
            <w:r>
              <w:rPr>
                <w:bCs/>
                <w:sz w:val="20"/>
                <w:szCs w:val="20"/>
              </w:rPr>
              <w:t>(Continued on page #106)</w:t>
            </w:r>
          </w:p>
        </w:tc>
      </w:tr>
      <w:tr w:rsidR="00BE4717" w:rsidRPr="00E86D42" w:rsidTr="00493245">
        <w:trPr>
          <w:tblHeader/>
          <w:jc w:val="center"/>
        </w:trPr>
        <w:tc>
          <w:tcPr>
            <w:tcW w:w="5000" w:type="pct"/>
            <w:shd w:val="clear" w:color="auto" w:fill="FFFFFF"/>
          </w:tcPr>
          <w:p w:rsidR="00BE4717" w:rsidRPr="00E86D42" w:rsidRDefault="00BE4717" w:rsidP="00493245">
            <w:pPr>
              <w:spacing w:after="60" w:line="240" w:lineRule="auto"/>
              <w:rPr>
                <w:b/>
                <w:bCs/>
                <w:sz w:val="20"/>
                <w:szCs w:val="20"/>
              </w:rPr>
            </w:pPr>
            <w:r w:rsidRPr="00E86D42">
              <w:rPr>
                <w:b/>
                <w:bCs/>
                <w:sz w:val="20"/>
                <w:szCs w:val="20"/>
              </w:rPr>
              <w:t xml:space="preserve">Public Comment Field: </w:t>
            </w:r>
          </w:p>
          <w:p w:rsidR="00BE4717" w:rsidRDefault="004F7336" w:rsidP="00493245">
            <w:pPr>
              <w:spacing w:after="60" w:line="240" w:lineRule="auto"/>
              <w:rPr>
                <w:rFonts w:ascii="Times New Roman" w:hAnsi="Times New Roman"/>
                <w:bCs/>
                <w:sz w:val="20"/>
                <w:szCs w:val="20"/>
              </w:rPr>
            </w:pPr>
            <w:r>
              <w:rPr>
                <w:rFonts w:ascii="Times New Roman" w:hAnsi="Times New Roman"/>
                <w:bCs/>
                <w:sz w:val="20"/>
                <w:szCs w:val="20"/>
              </w:rPr>
              <w:t>ER: No comment</w:t>
            </w:r>
          </w:p>
          <w:p w:rsidR="00EB40A4" w:rsidRPr="00E86D42" w:rsidRDefault="00EB40A4" w:rsidP="00493245">
            <w:pPr>
              <w:spacing w:after="60" w:line="240" w:lineRule="auto"/>
              <w:rPr>
                <w:rFonts w:ascii="Times New Roman" w:hAnsi="Times New Roman"/>
                <w:bCs/>
                <w:sz w:val="20"/>
                <w:szCs w:val="20"/>
              </w:rPr>
            </w:pPr>
          </w:p>
        </w:tc>
      </w:tr>
    </w:tbl>
    <w:p w:rsidR="00BE4717" w:rsidRDefault="00BE4717"/>
    <w:tbl>
      <w:tblPr>
        <w:tblW w:w="5000" w:type="pct"/>
        <w:jc w:val="center"/>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8" w:space="0" w:color="4F6228" w:themeColor="accent3" w:themeShade="80"/>
          <w:insideV w:val="single" w:sz="8" w:space="0" w:color="4F6228" w:themeColor="accent3" w:themeShade="80"/>
        </w:tblBorders>
        <w:tblLook w:val="04A0" w:firstRow="1" w:lastRow="0" w:firstColumn="1" w:lastColumn="0" w:noHBand="0" w:noVBand="1"/>
      </w:tblPr>
      <w:tblGrid>
        <w:gridCol w:w="11016"/>
      </w:tblGrid>
      <w:tr w:rsidR="00A6741E" w:rsidRPr="00E86D42" w:rsidTr="00C2780B">
        <w:trPr>
          <w:tblHeader/>
          <w:jc w:val="center"/>
        </w:trPr>
        <w:tc>
          <w:tcPr>
            <w:tcW w:w="5000" w:type="pct"/>
            <w:shd w:val="clear" w:color="auto" w:fill="D6E3BC" w:themeFill="accent3" w:themeFillTint="66"/>
          </w:tcPr>
          <w:p w:rsidR="00A6741E" w:rsidRPr="00E86D42" w:rsidRDefault="007D4D0E" w:rsidP="008836BE">
            <w:pPr>
              <w:spacing w:after="0" w:line="240" w:lineRule="auto"/>
              <w:rPr>
                <w:b/>
                <w:bCs/>
                <w:color w:val="FFFFFF"/>
              </w:rPr>
            </w:pPr>
            <w:hyperlink r:id="rId22" w:history="1">
              <w:r w:rsidR="00A6741E" w:rsidRPr="00C2780B">
                <w:rPr>
                  <w:rStyle w:val="Hyperlink"/>
                  <w:b/>
                  <w:bCs/>
                </w:rPr>
                <w:t xml:space="preserve">Medication Dosing </w:t>
              </w:r>
            </w:hyperlink>
            <w:r w:rsidR="00A6741E">
              <w:rPr>
                <w:b/>
                <w:bCs/>
                <w:color w:val="FFFFFF"/>
              </w:rPr>
              <w:t xml:space="preserve"> </w:t>
            </w:r>
            <w:r w:rsidR="00EE182F" w:rsidRPr="00C2780B">
              <w:rPr>
                <w:b/>
                <w:bCs/>
                <w:color w:val="000000" w:themeColor="text1"/>
              </w:rPr>
              <w:t>p.</w:t>
            </w:r>
            <w:r w:rsidR="008836BE" w:rsidRPr="00C2780B">
              <w:rPr>
                <w:b/>
                <w:bCs/>
                <w:color w:val="000000" w:themeColor="text1"/>
              </w:rPr>
              <w:t xml:space="preserve"> </w:t>
            </w:r>
            <w:r w:rsidR="00A6741E" w:rsidRPr="00C2780B">
              <w:rPr>
                <w:b/>
                <w:bCs/>
                <w:color w:val="000000" w:themeColor="text1"/>
              </w:rPr>
              <w:t>118</w:t>
            </w:r>
          </w:p>
        </w:tc>
      </w:tr>
      <w:tr w:rsidR="00A6741E" w:rsidRPr="00E86D42" w:rsidTr="00493245">
        <w:trPr>
          <w:trHeight w:val="970"/>
          <w:tblHeader/>
          <w:jc w:val="center"/>
        </w:trPr>
        <w:tc>
          <w:tcPr>
            <w:tcW w:w="5000" w:type="pct"/>
            <w:shd w:val="clear" w:color="auto" w:fill="EAF1DD" w:themeFill="accent3" w:themeFillTint="33"/>
          </w:tcPr>
          <w:p w:rsidR="00A6741E" w:rsidRPr="00A6741E" w:rsidRDefault="00A6741E" w:rsidP="00A6741E">
            <w:pPr>
              <w:spacing w:after="0"/>
              <w:rPr>
                <w:bCs/>
                <w:sz w:val="20"/>
                <w:szCs w:val="20"/>
              </w:rPr>
            </w:pPr>
            <w:r w:rsidRPr="00A6741E">
              <w:rPr>
                <w:bCs/>
                <w:sz w:val="20"/>
                <w:szCs w:val="20"/>
              </w:rPr>
              <w:t>In the Voluntary Edition proposed rule, we solicited comment on whether we should</w:t>
            </w:r>
            <w:r>
              <w:rPr>
                <w:bCs/>
                <w:sz w:val="20"/>
                <w:szCs w:val="20"/>
              </w:rPr>
              <w:t xml:space="preserve"> </w:t>
            </w:r>
            <w:r w:rsidRPr="00A6741E">
              <w:rPr>
                <w:bCs/>
                <w:sz w:val="20"/>
                <w:szCs w:val="20"/>
              </w:rPr>
              <w:t>propose health IT certification for oral liquid medication dosing to the metric standard (e.g., mL</w:t>
            </w:r>
            <w:r>
              <w:rPr>
                <w:bCs/>
                <w:sz w:val="20"/>
                <w:szCs w:val="20"/>
              </w:rPr>
              <w:t xml:space="preserve"> </w:t>
            </w:r>
            <w:r w:rsidRPr="00A6741E">
              <w:rPr>
                <w:bCs/>
                <w:sz w:val="20"/>
                <w:szCs w:val="20"/>
              </w:rPr>
              <w:t>or milliliters) for patient safety reasons (79 FR10926-10927). Use of the metric standard offers</w:t>
            </w:r>
            <w:r>
              <w:rPr>
                <w:bCs/>
                <w:sz w:val="20"/>
                <w:szCs w:val="20"/>
              </w:rPr>
              <w:t xml:space="preserve"> </w:t>
            </w:r>
            <w:r w:rsidRPr="00A6741E">
              <w:rPr>
                <w:bCs/>
                <w:sz w:val="20"/>
                <w:szCs w:val="20"/>
              </w:rPr>
              <w:t>more precision in medication dose than the Imperial standard (e.g., teaspoons), which can</w:t>
            </w:r>
            <w:r>
              <w:rPr>
                <w:bCs/>
                <w:sz w:val="20"/>
                <w:szCs w:val="20"/>
              </w:rPr>
              <w:t xml:space="preserve"> </w:t>
            </w:r>
            <w:r w:rsidRPr="00A6741E">
              <w:rPr>
                <w:bCs/>
                <w:sz w:val="20"/>
                <w:szCs w:val="20"/>
              </w:rPr>
              <w:t>decrease preventable adverse drug events. A number of health care and standards developing</w:t>
            </w:r>
            <w:r>
              <w:rPr>
                <w:bCs/>
                <w:sz w:val="20"/>
                <w:szCs w:val="20"/>
              </w:rPr>
              <w:t xml:space="preserve"> </w:t>
            </w:r>
            <w:r w:rsidRPr="00A6741E">
              <w:rPr>
                <w:bCs/>
                <w:sz w:val="20"/>
                <w:szCs w:val="20"/>
              </w:rPr>
              <w:t>organizations, including the AAP98 and NCPDP</w:t>
            </w:r>
            <w:proofErr w:type="gramStart"/>
            <w:r w:rsidRPr="00A6741E">
              <w:rPr>
                <w:bCs/>
                <w:sz w:val="20"/>
                <w:szCs w:val="20"/>
              </w:rPr>
              <w:t>,99</w:t>
            </w:r>
            <w:proofErr w:type="gramEnd"/>
            <w:r w:rsidRPr="00A6741E">
              <w:rPr>
                <w:bCs/>
                <w:sz w:val="20"/>
                <w:szCs w:val="20"/>
              </w:rPr>
              <w:t xml:space="preserve"> support the use of the metric standard for</w:t>
            </w:r>
            <w:r>
              <w:rPr>
                <w:bCs/>
                <w:sz w:val="20"/>
                <w:szCs w:val="20"/>
              </w:rPr>
              <w:t xml:space="preserve"> </w:t>
            </w:r>
            <w:r w:rsidRPr="00A6741E">
              <w:rPr>
                <w:bCs/>
                <w:sz w:val="20"/>
                <w:szCs w:val="20"/>
              </w:rPr>
              <w:t>dosing volumetric medications. Additionally, the FDA’s Safe Use Initiative is working with</w:t>
            </w:r>
          </w:p>
          <w:p w:rsidR="00A6741E" w:rsidRPr="00BD6E18" w:rsidRDefault="00A6741E" w:rsidP="00A6741E">
            <w:pPr>
              <w:spacing w:after="0"/>
              <w:rPr>
                <w:bCs/>
                <w:sz w:val="20"/>
                <w:szCs w:val="20"/>
              </w:rPr>
            </w:pPr>
            <w:r w:rsidRPr="00A6741E">
              <w:rPr>
                <w:bCs/>
                <w:sz w:val="20"/>
                <w:szCs w:val="20"/>
              </w:rPr>
              <w:t>CDC, NCPDP, and other stakeholders to encourage adoption of the NCPDP’s recommendations</w:t>
            </w:r>
            <w:r>
              <w:rPr>
                <w:bCs/>
                <w:sz w:val="20"/>
                <w:szCs w:val="20"/>
              </w:rPr>
              <w:t xml:space="preserve"> </w:t>
            </w:r>
            <w:r w:rsidRPr="00A6741E">
              <w:rPr>
                <w:bCs/>
                <w:sz w:val="20"/>
                <w:szCs w:val="20"/>
              </w:rPr>
              <w:t>for standardizing dosing designations on prescription container labels of oral liquid</w:t>
            </w:r>
            <w:r>
              <w:rPr>
                <w:bCs/>
                <w:sz w:val="20"/>
                <w:szCs w:val="20"/>
              </w:rPr>
              <w:t xml:space="preserve"> </w:t>
            </w:r>
            <w:r w:rsidRPr="00A6741E">
              <w:rPr>
                <w:bCs/>
                <w:sz w:val="20"/>
                <w:szCs w:val="20"/>
              </w:rPr>
              <w:t>medications.100 Recent research has demonstrated that parents who used milliliter-only dosing</w:t>
            </w:r>
            <w:r>
              <w:rPr>
                <w:bCs/>
                <w:sz w:val="20"/>
                <w:szCs w:val="20"/>
              </w:rPr>
              <w:t xml:space="preserve"> </w:t>
            </w:r>
            <w:r w:rsidRPr="00A6741E">
              <w:rPr>
                <w:bCs/>
                <w:sz w:val="20"/>
                <w:szCs w:val="20"/>
              </w:rPr>
              <w:t>instruments were less likely to make dosing errors than parents who used teaspoons or</w:t>
            </w:r>
            <w:r>
              <w:rPr>
                <w:bCs/>
                <w:sz w:val="20"/>
                <w:szCs w:val="20"/>
              </w:rPr>
              <w:t xml:space="preserve"> </w:t>
            </w:r>
            <w:r w:rsidRPr="00A6741E">
              <w:rPr>
                <w:bCs/>
                <w:sz w:val="20"/>
                <w:szCs w:val="20"/>
              </w:rPr>
              <w:t xml:space="preserve">tablespoon units.101 </w:t>
            </w:r>
            <w:r>
              <w:rPr>
                <w:bCs/>
                <w:sz w:val="20"/>
                <w:szCs w:val="20"/>
              </w:rPr>
              <w:t>(Continued on page #119)</w:t>
            </w:r>
          </w:p>
        </w:tc>
      </w:tr>
      <w:tr w:rsidR="00A6741E" w:rsidRPr="00E86D42" w:rsidTr="00493245">
        <w:trPr>
          <w:tblHeader/>
          <w:jc w:val="center"/>
        </w:trPr>
        <w:tc>
          <w:tcPr>
            <w:tcW w:w="5000" w:type="pct"/>
            <w:shd w:val="clear" w:color="auto" w:fill="FFFFFF"/>
          </w:tcPr>
          <w:p w:rsidR="00A6741E" w:rsidRPr="00E86D42" w:rsidRDefault="00A6741E" w:rsidP="00493245">
            <w:pPr>
              <w:spacing w:after="60" w:line="240" w:lineRule="auto"/>
              <w:rPr>
                <w:b/>
                <w:bCs/>
                <w:sz w:val="20"/>
                <w:szCs w:val="20"/>
              </w:rPr>
            </w:pPr>
            <w:r w:rsidRPr="00E86D42">
              <w:rPr>
                <w:b/>
                <w:bCs/>
                <w:sz w:val="20"/>
                <w:szCs w:val="20"/>
              </w:rPr>
              <w:t xml:space="preserve">Public Comment Field: </w:t>
            </w:r>
          </w:p>
          <w:p w:rsidR="00A6741E" w:rsidRPr="00E86D42" w:rsidRDefault="007E20F0" w:rsidP="007E20F0">
            <w:pPr>
              <w:spacing w:after="60" w:line="240" w:lineRule="auto"/>
              <w:rPr>
                <w:rFonts w:ascii="Times New Roman" w:hAnsi="Times New Roman"/>
                <w:bCs/>
                <w:sz w:val="20"/>
                <w:szCs w:val="20"/>
              </w:rPr>
            </w:pPr>
            <w:r>
              <w:rPr>
                <w:rFonts w:ascii="Times New Roman" w:hAnsi="Times New Roman"/>
                <w:bCs/>
                <w:sz w:val="20"/>
                <w:szCs w:val="20"/>
              </w:rPr>
              <w:t>ER: The NPRM proposes to require that CEHRT “</w:t>
            </w:r>
            <w:r w:rsidRPr="007E20F0">
              <w:rPr>
                <w:rFonts w:ascii="Times New Roman" w:hAnsi="Times New Roman"/>
                <w:bCs/>
                <w:sz w:val="20"/>
                <w:szCs w:val="20"/>
              </w:rPr>
              <w:t>be capable of limiting a user's ability to electronically prescribe all medications in only the metric standard</w:t>
            </w:r>
            <w:r>
              <w:rPr>
                <w:rFonts w:ascii="Times New Roman" w:hAnsi="Times New Roman"/>
                <w:bCs/>
                <w:sz w:val="20"/>
                <w:szCs w:val="20"/>
              </w:rPr>
              <w:t xml:space="preserve">”.  Metric units do not apply to all medication dosage forms.  For instance, dosing instructions for topical medications are often by necessity imprecise (apply lightly to affected areas twice daily), or by necessity use non-metric units (e.g. </w:t>
            </w:r>
            <w:proofErr w:type="spellStart"/>
            <w:r>
              <w:rPr>
                <w:rFonts w:ascii="Times New Roman" w:hAnsi="Times New Roman"/>
                <w:bCs/>
                <w:sz w:val="20"/>
                <w:szCs w:val="20"/>
              </w:rPr>
              <w:t>eyedrops</w:t>
            </w:r>
            <w:proofErr w:type="spellEnd"/>
            <w:r>
              <w:rPr>
                <w:rFonts w:ascii="Times New Roman" w:hAnsi="Times New Roman"/>
                <w:bCs/>
                <w:sz w:val="20"/>
                <w:szCs w:val="20"/>
              </w:rPr>
              <w:t>, where the dosage will be in terms of number of drops, or inhalers, will the dosage will be in puffs).  Per the preamble, the intent of this criterion is to apply to oral liquids, so revising the text to indicate that would address this issue.</w:t>
            </w:r>
          </w:p>
        </w:tc>
      </w:tr>
    </w:tbl>
    <w:p w:rsidR="00A6741E" w:rsidRDefault="00A6741E"/>
    <w:sectPr w:rsidR="00A6741E" w:rsidSect="00082F32">
      <w:footerReference w:type="defaul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F86" w:rsidRDefault="00EC5F86" w:rsidP="001C5923">
      <w:pPr>
        <w:spacing w:after="0" w:line="240" w:lineRule="auto"/>
      </w:pPr>
      <w:r>
        <w:separator/>
      </w:r>
    </w:p>
  </w:endnote>
  <w:endnote w:type="continuationSeparator" w:id="0">
    <w:p w:rsidR="00EC5F86" w:rsidRDefault="00EC5F86" w:rsidP="001C5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561591"/>
      <w:docPartObj>
        <w:docPartGallery w:val="Page Numbers (Bottom of Page)"/>
        <w:docPartUnique/>
      </w:docPartObj>
    </w:sdtPr>
    <w:sdtEndPr>
      <w:rPr>
        <w:noProof/>
      </w:rPr>
    </w:sdtEndPr>
    <w:sdtContent>
      <w:p w:rsidR="00493245" w:rsidRDefault="00493245">
        <w:pPr>
          <w:pStyle w:val="Footer"/>
          <w:jc w:val="right"/>
        </w:pPr>
        <w:r>
          <w:fldChar w:fldCharType="begin"/>
        </w:r>
        <w:r>
          <w:instrText xml:space="preserve"> PAGE   \* MERGEFORMAT </w:instrText>
        </w:r>
        <w:r>
          <w:fldChar w:fldCharType="separate"/>
        </w:r>
        <w:r w:rsidR="007D4D0E">
          <w:rPr>
            <w:noProof/>
          </w:rPr>
          <w:t>1</w:t>
        </w:r>
        <w:r>
          <w:rPr>
            <w:noProof/>
          </w:rPr>
          <w:fldChar w:fldCharType="end"/>
        </w:r>
      </w:p>
    </w:sdtContent>
  </w:sdt>
  <w:p w:rsidR="00493245" w:rsidRDefault="004932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F86" w:rsidRDefault="00EC5F86" w:rsidP="001C5923">
      <w:pPr>
        <w:spacing w:after="0" w:line="240" w:lineRule="auto"/>
      </w:pPr>
      <w:r>
        <w:separator/>
      </w:r>
    </w:p>
  </w:footnote>
  <w:footnote w:type="continuationSeparator" w:id="0">
    <w:p w:rsidR="00EC5F86" w:rsidRDefault="00EC5F86" w:rsidP="001C59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94BF0"/>
    <w:multiLevelType w:val="hybridMultilevel"/>
    <w:tmpl w:val="F12CD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56BF8"/>
    <w:multiLevelType w:val="hybridMultilevel"/>
    <w:tmpl w:val="B24A7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ED01BA"/>
    <w:multiLevelType w:val="hybridMultilevel"/>
    <w:tmpl w:val="D408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4654E3"/>
    <w:multiLevelType w:val="hybridMultilevel"/>
    <w:tmpl w:val="9BC68B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6B5A95"/>
    <w:multiLevelType w:val="hybridMultilevel"/>
    <w:tmpl w:val="AFCCD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0A4AC8"/>
    <w:multiLevelType w:val="hybridMultilevel"/>
    <w:tmpl w:val="38DEE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7767F7"/>
    <w:multiLevelType w:val="hybridMultilevel"/>
    <w:tmpl w:val="79EA8632"/>
    <w:lvl w:ilvl="0" w:tplc="D016576C">
      <w:start w:val="1"/>
      <w:numFmt w:val="bullet"/>
      <w:lvlText w:val="•"/>
      <w:lvlJc w:val="left"/>
      <w:pPr>
        <w:tabs>
          <w:tab w:val="num" w:pos="720"/>
        </w:tabs>
        <w:ind w:left="720" w:hanging="360"/>
      </w:pPr>
      <w:rPr>
        <w:rFonts w:ascii="Arial" w:hAnsi="Arial" w:hint="default"/>
      </w:rPr>
    </w:lvl>
    <w:lvl w:ilvl="1" w:tplc="5F3C0CDE" w:tentative="1">
      <w:start w:val="1"/>
      <w:numFmt w:val="bullet"/>
      <w:lvlText w:val="•"/>
      <w:lvlJc w:val="left"/>
      <w:pPr>
        <w:tabs>
          <w:tab w:val="num" w:pos="1440"/>
        </w:tabs>
        <w:ind w:left="1440" w:hanging="360"/>
      </w:pPr>
      <w:rPr>
        <w:rFonts w:ascii="Arial" w:hAnsi="Arial" w:hint="default"/>
      </w:rPr>
    </w:lvl>
    <w:lvl w:ilvl="2" w:tplc="EAFC562E" w:tentative="1">
      <w:start w:val="1"/>
      <w:numFmt w:val="bullet"/>
      <w:lvlText w:val="•"/>
      <w:lvlJc w:val="left"/>
      <w:pPr>
        <w:tabs>
          <w:tab w:val="num" w:pos="2160"/>
        </w:tabs>
        <w:ind w:left="2160" w:hanging="360"/>
      </w:pPr>
      <w:rPr>
        <w:rFonts w:ascii="Arial" w:hAnsi="Arial" w:hint="default"/>
      </w:rPr>
    </w:lvl>
    <w:lvl w:ilvl="3" w:tplc="B8949BBE" w:tentative="1">
      <w:start w:val="1"/>
      <w:numFmt w:val="bullet"/>
      <w:lvlText w:val="•"/>
      <w:lvlJc w:val="left"/>
      <w:pPr>
        <w:tabs>
          <w:tab w:val="num" w:pos="2880"/>
        </w:tabs>
        <w:ind w:left="2880" w:hanging="360"/>
      </w:pPr>
      <w:rPr>
        <w:rFonts w:ascii="Arial" w:hAnsi="Arial" w:hint="default"/>
      </w:rPr>
    </w:lvl>
    <w:lvl w:ilvl="4" w:tplc="476C7740" w:tentative="1">
      <w:start w:val="1"/>
      <w:numFmt w:val="bullet"/>
      <w:lvlText w:val="•"/>
      <w:lvlJc w:val="left"/>
      <w:pPr>
        <w:tabs>
          <w:tab w:val="num" w:pos="3600"/>
        </w:tabs>
        <w:ind w:left="3600" w:hanging="360"/>
      </w:pPr>
      <w:rPr>
        <w:rFonts w:ascii="Arial" w:hAnsi="Arial" w:hint="default"/>
      </w:rPr>
    </w:lvl>
    <w:lvl w:ilvl="5" w:tplc="66AC44A0" w:tentative="1">
      <w:start w:val="1"/>
      <w:numFmt w:val="bullet"/>
      <w:lvlText w:val="•"/>
      <w:lvlJc w:val="left"/>
      <w:pPr>
        <w:tabs>
          <w:tab w:val="num" w:pos="4320"/>
        </w:tabs>
        <w:ind w:left="4320" w:hanging="360"/>
      </w:pPr>
      <w:rPr>
        <w:rFonts w:ascii="Arial" w:hAnsi="Arial" w:hint="default"/>
      </w:rPr>
    </w:lvl>
    <w:lvl w:ilvl="6" w:tplc="13761926" w:tentative="1">
      <w:start w:val="1"/>
      <w:numFmt w:val="bullet"/>
      <w:lvlText w:val="•"/>
      <w:lvlJc w:val="left"/>
      <w:pPr>
        <w:tabs>
          <w:tab w:val="num" w:pos="5040"/>
        </w:tabs>
        <w:ind w:left="5040" w:hanging="360"/>
      </w:pPr>
      <w:rPr>
        <w:rFonts w:ascii="Arial" w:hAnsi="Arial" w:hint="default"/>
      </w:rPr>
    </w:lvl>
    <w:lvl w:ilvl="7" w:tplc="23F4910C" w:tentative="1">
      <w:start w:val="1"/>
      <w:numFmt w:val="bullet"/>
      <w:lvlText w:val="•"/>
      <w:lvlJc w:val="left"/>
      <w:pPr>
        <w:tabs>
          <w:tab w:val="num" w:pos="5760"/>
        </w:tabs>
        <w:ind w:left="5760" w:hanging="360"/>
      </w:pPr>
      <w:rPr>
        <w:rFonts w:ascii="Arial" w:hAnsi="Arial" w:hint="default"/>
      </w:rPr>
    </w:lvl>
    <w:lvl w:ilvl="8" w:tplc="1B2A80BA"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6"/>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32"/>
    <w:rsid w:val="00004360"/>
    <w:rsid w:val="00005998"/>
    <w:rsid w:val="00006102"/>
    <w:rsid w:val="00011C20"/>
    <w:rsid w:val="000504CC"/>
    <w:rsid w:val="000554D0"/>
    <w:rsid w:val="00063242"/>
    <w:rsid w:val="00082F32"/>
    <w:rsid w:val="000C7E35"/>
    <w:rsid w:val="000E3659"/>
    <w:rsid w:val="00102B11"/>
    <w:rsid w:val="001130F4"/>
    <w:rsid w:val="00182780"/>
    <w:rsid w:val="001908A4"/>
    <w:rsid w:val="00190D90"/>
    <w:rsid w:val="00192667"/>
    <w:rsid w:val="001C5923"/>
    <w:rsid w:val="001E06F9"/>
    <w:rsid w:val="0027612D"/>
    <w:rsid w:val="002C1A6C"/>
    <w:rsid w:val="002C61BC"/>
    <w:rsid w:val="00343876"/>
    <w:rsid w:val="00381692"/>
    <w:rsid w:val="003A3C0E"/>
    <w:rsid w:val="003B4FFB"/>
    <w:rsid w:val="003C11A6"/>
    <w:rsid w:val="003D26A8"/>
    <w:rsid w:val="003E551F"/>
    <w:rsid w:val="003E78F2"/>
    <w:rsid w:val="004503B6"/>
    <w:rsid w:val="004758C8"/>
    <w:rsid w:val="00476BE8"/>
    <w:rsid w:val="00493245"/>
    <w:rsid w:val="004F7336"/>
    <w:rsid w:val="005006C7"/>
    <w:rsid w:val="00511CBE"/>
    <w:rsid w:val="00530C71"/>
    <w:rsid w:val="00554D1B"/>
    <w:rsid w:val="00560FFF"/>
    <w:rsid w:val="005617F1"/>
    <w:rsid w:val="005C6458"/>
    <w:rsid w:val="00630DED"/>
    <w:rsid w:val="00656436"/>
    <w:rsid w:val="006C003B"/>
    <w:rsid w:val="00762714"/>
    <w:rsid w:val="007960E7"/>
    <w:rsid w:val="007D4D0E"/>
    <w:rsid w:val="007D7075"/>
    <w:rsid w:val="007E20F0"/>
    <w:rsid w:val="007F4252"/>
    <w:rsid w:val="00822ABA"/>
    <w:rsid w:val="008262AA"/>
    <w:rsid w:val="008547EE"/>
    <w:rsid w:val="00856F28"/>
    <w:rsid w:val="00883414"/>
    <w:rsid w:val="008836BE"/>
    <w:rsid w:val="008D031C"/>
    <w:rsid w:val="008D1BFE"/>
    <w:rsid w:val="008D7774"/>
    <w:rsid w:val="008E070F"/>
    <w:rsid w:val="008E1A7B"/>
    <w:rsid w:val="008F1E27"/>
    <w:rsid w:val="0090688B"/>
    <w:rsid w:val="0091605A"/>
    <w:rsid w:val="00932295"/>
    <w:rsid w:val="00936E9B"/>
    <w:rsid w:val="00957997"/>
    <w:rsid w:val="00973968"/>
    <w:rsid w:val="00980EA4"/>
    <w:rsid w:val="00990F80"/>
    <w:rsid w:val="00995E55"/>
    <w:rsid w:val="009B274C"/>
    <w:rsid w:val="009F0D0A"/>
    <w:rsid w:val="00A2629C"/>
    <w:rsid w:val="00A3692A"/>
    <w:rsid w:val="00A41C9D"/>
    <w:rsid w:val="00A654F9"/>
    <w:rsid w:val="00A6741E"/>
    <w:rsid w:val="00A774B1"/>
    <w:rsid w:val="00A93E9F"/>
    <w:rsid w:val="00AC0CC8"/>
    <w:rsid w:val="00AD60FA"/>
    <w:rsid w:val="00B27075"/>
    <w:rsid w:val="00B32F95"/>
    <w:rsid w:val="00B32FD2"/>
    <w:rsid w:val="00BB16B2"/>
    <w:rsid w:val="00BB274D"/>
    <w:rsid w:val="00BE4717"/>
    <w:rsid w:val="00C2464B"/>
    <w:rsid w:val="00C26764"/>
    <w:rsid w:val="00C2780B"/>
    <w:rsid w:val="00C2780C"/>
    <w:rsid w:val="00C470AE"/>
    <w:rsid w:val="00C64088"/>
    <w:rsid w:val="00C72E47"/>
    <w:rsid w:val="00C83640"/>
    <w:rsid w:val="00C86156"/>
    <w:rsid w:val="00CB035D"/>
    <w:rsid w:val="00CB0AFF"/>
    <w:rsid w:val="00CC4C1A"/>
    <w:rsid w:val="00D143F1"/>
    <w:rsid w:val="00D360DC"/>
    <w:rsid w:val="00D37330"/>
    <w:rsid w:val="00D41022"/>
    <w:rsid w:val="00D5396F"/>
    <w:rsid w:val="00D77DDA"/>
    <w:rsid w:val="00D80136"/>
    <w:rsid w:val="00D869CF"/>
    <w:rsid w:val="00DB70F2"/>
    <w:rsid w:val="00DC227A"/>
    <w:rsid w:val="00DD23E6"/>
    <w:rsid w:val="00DD52FF"/>
    <w:rsid w:val="00DF64F6"/>
    <w:rsid w:val="00E3357E"/>
    <w:rsid w:val="00E75C2E"/>
    <w:rsid w:val="00E85881"/>
    <w:rsid w:val="00E96D04"/>
    <w:rsid w:val="00EB40A4"/>
    <w:rsid w:val="00EB4DEE"/>
    <w:rsid w:val="00EC5F86"/>
    <w:rsid w:val="00ED48F3"/>
    <w:rsid w:val="00EE0B29"/>
    <w:rsid w:val="00EE182F"/>
    <w:rsid w:val="00EE3E93"/>
    <w:rsid w:val="00EF4B14"/>
    <w:rsid w:val="00F70C20"/>
    <w:rsid w:val="00F917AA"/>
    <w:rsid w:val="00FE0DFF"/>
    <w:rsid w:val="00FE1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F32"/>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2F32"/>
    <w:pPr>
      <w:autoSpaceDE w:val="0"/>
      <w:autoSpaceDN w:val="0"/>
      <w:adjustRightInd w:val="0"/>
      <w:spacing w:after="0" w:line="240" w:lineRule="auto"/>
    </w:pPr>
    <w:rPr>
      <w:rFonts w:ascii="Franklin Gothic Book" w:eastAsia="MS Mincho" w:hAnsi="Franklin Gothic Book" w:cs="Franklin Gothic Book"/>
      <w:color w:val="000000"/>
      <w:sz w:val="24"/>
      <w:szCs w:val="24"/>
    </w:rPr>
  </w:style>
  <w:style w:type="paragraph" w:styleId="ListParagraph">
    <w:name w:val="List Paragraph"/>
    <w:basedOn w:val="Normal"/>
    <w:uiPriority w:val="34"/>
    <w:qFormat/>
    <w:rsid w:val="00C2464B"/>
    <w:pPr>
      <w:ind w:left="720"/>
      <w:contextualSpacing/>
    </w:pPr>
  </w:style>
  <w:style w:type="paragraph" w:styleId="Header">
    <w:name w:val="header"/>
    <w:basedOn w:val="Normal"/>
    <w:link w:val="HeaderChar"/>
    <w:uiPriority w:val="99"/>
    <w:unhideWhenUsed/>
    <w:rsid w:val="001C5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923"/>
    <w:rPr>
      <w:rFonts w:ascii="Calibri" w:eastAsia="MS Mincho" w:hAnsi="Calibri" w:cs="Times New Roman"/>
    </w:rPr>
  </w:style>
  <w:style w:type="paragraph" w:styleId="Footer">
    <w:name w:val="footer"/>
    <w:basedOn w:val="Normal"/>
    <w:link w:val="FooterChar"/>
    <w:uiPriority w:val="99"/>
    <w:unhideWhenUsed/>
    <w:rsid w:val="001C5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923"/>
    <w:rPr>
      <w:rFonts w:ascii="Calibri" w:eastAsia="MS Mincho" w:hAnsi="Calibri" w:cs="Times New Roman"/>
    </w:rPr>
  </w:style>
  <w:style w:type="character" w:styleId="Hyperlink">
    <w:name w:val="Hyperlink"/>
    <w:basedOn w:val="DefaultParagraphFont"/>
    <w:uiPriority w:val="99"/>
    <w:unhideWhenUsed/>
    <w:rsid w:val="00C2780B"/>
    <w:rPr>
      <w:color w:val="0000FF" w:themeColor="hyperlink"/>
      <w:u w:val="single"/>
    </w:rPr>
  </w:style>
  <w:style w:type="character" w:styleId="FollowedHyperlink">
    <w:name w:val="FollowedHyperlink"/>
    <w:basedOn w:val="DefaultParagraphFont"/>
    <w:uiPriority w:val="99"/>
    <w:semiHidden/>
    <w:unhideWhenUsed/>
    <w:rsid w:val="00E75C2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F32"/>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2F32"/>
    <w:pPr>
      <w:autoSpaceDE w:val="0"/>
      <w:autoSpaceDN w:val="0"/>
      <w:adjustRightInd w:val="0"/>
      <w:spacing w:after="0" w:line="240" w:lineRule="auto"/>
    </w:pPr>
    <w:rPr>
      <w:rFonts w:ascii="Franklin Gothic Book" w:eastAsia="MS Mincho" w:hAnsi="Franklin Gothic Book" w:cs="Franklin Gothic Book"/>
      <w:color w:val="000000"/>
      <w:sz w:val="24"/>
      <w:szCs w:val="24"/>
    </w:rPr>
  </w:style>
  <w:style w:type="paragraph" w:styleId="ListParagraph">
    <w:name w:val="List Paragraph"/>
    <w:basedOn w:val="Normal"/>
    <w:uiPriority w:val="34"/>
    <w:qFormat/>
    <w:rsid w:val="00C2464B"/>
    <w:pPr>
      <w:ind w:left="720"/>
      <w:contextualSpacing/>
    </w:pPr>
  </w:style>
  <w:style w:type="paragraph" w:styleId="Header">
    <w:name w:val="header"/>
    <w:basedOn w:val="Normal"/>
    <w:link w:val="HeaderChar"/>
    <w:uiPriority w:val="99"/>
    <w:unhideWhenUsed/>
    <w:rsid w:val="001C5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923"/>
    <w:rPr>
      <w:rFonts w:ascii="Calibri" w:eastAsia="MS Mincho" w:hAnsi="Calibri" w:cs="Times New Roman"/>
    </w:rPr>
  </w:style>
  <w:style w:type="paragraph" w:styleId="Footer">
    <w:name w:val="footer"/>
    <w:basedOn w:val="Normal"/>
    <w:link w:val="FooterChar"/>
    <w:uiPriority w:val="99"/>
    <w:unhideWhenUsed/>
    <w:rsid w:val="001C5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923"/>
    <w:rPr>
      <w:rFonts w:ascii="Calibri" w:eastAsia="MS Mincho" w:hAnsi="Calibri" w:cs="Times New Roman"/>
    </w:rPr>
  </w:style>
  <w:style w:type="character" w:styleId="Hyperlink">
    <w:name w:val="Hyperlink"/>
    <w:basedOn w:val="DefaultParagraphFont"/>
    <w:uiPriority w:val="99"/>
    <w:unhideWhenUsed/>
    <w:rsid w:val="00C2780B"/>
    <w:rPr>
      <w:color w:val="0000FF" w:themeColor="hyperlink"/>
      <w:u w:val="single"/>
    </w:rPr>
  </w:style>
  <w:style w:type="character" w:styleId="FollowedHyperlink">
    <w:name w:val="FollowedHyperlink"/>
    <w:basedOn w:val="DefaultParagraphFont"/>
    <w:uiPriority w:val="99"/>
    <w:semiHidden/>
    <w:unhideWhenUsed/>
    <w:rsid w:val="00E75C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621887">
      <w:bodyDiv w:val="1"/>
      <w:marLeft w:val="0"/>
      <w:marRight w:val="0"/>
      <w:marTop w:val="0"/>
      <w:marBottom w:val="0"/>
      <w:divBdr>
        <w:top w:val="none" w:sz="0" w:space="0" w:color="auto"/>
        <w:left w:val="none" w:sz="0" w:space="0" w:color="auto"/>
        <w:bottom w:val="none" w:sz="0" w:space="0" w:color="auto"/>
        <w:right w:val="none" w:sz="0" w:space="0" w:color="auto"/>
      </w:divBdr>
    </w:div>
    <w:div w:id="1253319765">
      <w:bodyDiv w:val="1"/>
      <w:marLeft w:val="0"/>
      <w:marRight w:val="0"/>
      <w:marTop w:val="0"/>
      <w:marBottom w:val="0"/>
      <w:divBdr>
        <w:top w:val="none" w:sz="0" w:space="0" w:color="auto"/>
        <w:left w:val="none" w:sz="0" w:space="0" w:color="auto"/>
        <w:bottom w:val="none" w:sz="0" w:space="0" w:color="auto"/>
        <w:right w:val="none" w:sz="0" w:space="0" w:color="auto"/>
      </w:divBdr>
    </w:div>
    <w:div w:id="1462383471">
      <w:bodyDiv w:val="1"/>
      <w:marLeft w:val="0"/>
      <w:marRight w:val="0"/>
      <w:marTop w:val="0"/>
      <w:marBottom w:val="0"/>
      <w:divBdr>
        <w:top w:val="none" w:sz="0" w:space="0" w:color="auto"/>
        <w:left w:val="none" w:sz="0" w:space="0" w:color="auto"/>
        <w:bottom w:val="none" w:sz="0" w:space="0" w:color="auto"/>
        <w:right w:val="none" w:sz="0" w:space="0" w:color="auto"/>
      </w:divBdr>
    </w:div>
    <w:div w:id="1841507412">
      <w:bodyDiv w:val="1"/>
      <w:marLeft w:val="0"/>
      <w:marRight w:val="0"/>
      <w:marTop w:val="0"/>
      <w:marBottom w:val="0"/>
      <w:divBdr>
        <w:top w:val="none" w:sz="0" w:space="0" w:color="auto"/>
        <w:left w:val="none" w:sz="0" w:space="0" w:color="auto"/>
        <w:bottom w:val="none" w:sz="0" w:space="0" w:color="auto"/>
        <w:right w:val="none" w:sz="0" w:space="0" w:color="auto"/>
      </w:divBdr>
      <w:divsChild>
        <w:div w:id="19963454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ederalregister.gov/a/2015-06612/p-204" TargetMode="External"/><Relationship Id="rId18" Type="http://schemas.openxmlformats.org/officeDocument/2006/relationships/hyperlink" Target="http://www.federalregister.gov/a/2015-06612/p-364" TargetMode="External"/><Relationship Id="rId3" Type="http://schemas.openxmlformats.org/officeDocument/2006/relationships/styles" Target="styles.xml"/><Relationship Id="rId21" Type="http://schemas.openxmlformats.org/officeDocument/2006/relationships/hyperlink" Target="http://www.federalregister.gov/a/2015-06612/p-465" TargetMode="External"/><Relationship Id="rId7" Type="http://schemas.openxmlformats.org/officeDocument/2006/relationships/footnotes" Target="footnotes.xml"/><Relationship Id="rId12" Type="http://schemas.openxmlformats.org/officeDocument/2006/relationships/hyperlink" Target="http://www.federalregister.gov/a/2015-06612/p-162" TargetMode="External"/><Relationship Id="rId17" Type="http://schemas.openxmlformats.org/officeDocument/2006/relationships/hyperlink" Target="http://www.iom.edu/~/media/Files/Report%20Files/2014/EHR-phase-2/EHRfindingsrecs.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ederalregister.gov/a/2015-06612/p-301" TargetMode="External"/><Relationship Id="rId20" Type="http://schemas.openxmlformats.org/officeDocument/2006/relationships/hyperlink" Target="http://www.federalregister.gov/a/2015-06612/p-40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ederalregister.gov/a/2015-06612/p-161"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federalregister.gov/a/2015-06612/p-225" TargetMode="External"/><Relationship Id="rId23" Type="http://schemas.openxmlformats.org/officeDocument/2006/relationships/footer" Target="footer1.xml"/><Relationship Id="rId10" Type="http://schemas.openxmlformats.org/officeDocument/2006/relationships/hyperlink" Target="http://www.federalregister.gov/a/2015-06612/p-310" TargetMode="External"/><Relationship Id="rId19" Type="http://schemas.openxmlformats.org/officeDocument/2006/relationships/hyperlink" Target="http://www.federalregister.gov/a/2015-06612/p-38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dc.gov/nchs/data/dvs/RaceCodeList.pdf" TargetMode="External"/><Relationship Id="rId22" Type="http://schemas.openxmlformats.org/officeDocument/2006/relationships/hyperlink" Target="http://www.federalregister.gov/a/2015-06612/p-5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73F74-F878-4473-BCC9-B6DBC5239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4095</Words>
  <Characters>23344</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FDNY</Company>
  <LinksUpToDate>false</LinksUpToDate>
  <CharactersWithSpaces>27385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FDNY BTDS</dc:creator>
  <cp:lastModifiedBy>Caitlin Collins</cp:lastModifiedBy>
  <cp:revision>2</cp:revision>
  <dcterms:created xsi:type="dcterms:W3CDTF">2015-05-04T12:40:00Z</dcterms:created>
  <dcterms:modified xsi:type="dcterms:W3CDTF">2015-05-04T12:40:00Z</dcterms:modified>
</cp:coreProperties>
</file>