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75931" w14:textId="77777777" w:rsidR="002638DB" w:rsidRDefault="002638DB" w:rsidP="00D34022">
      <w:pPr>
        <w:spacing w:line="120" w:lineRule="auto"/>
        <w:rPr>
          <w:b/>
          <w:bCs/>
        </w:rPr>
      </w:pPr>
      <w:bookmarkStart w:id="0" w:name="_GoBack"/>
      <w:bookmarkEnd w:id="0"/>
    </w:p>
    <w:p w14:paraId="133597E0" w14:textId="77777777" w:rsidR="00F859E0" w:rsidRDefault="00643A7B" w:rsidP="004E7647">
      <w:pPr>
        <w:outlineLvl w:val="0"/>
        <w:rPr>
          <w:b/>
          <w:bCs/>
        </w:rPr>
      </w:pPr>
      <w:r>
        <w:rPr>
          <w:b/>
          <w:bCs/>
        </w:rPr>
        <w:t>Comments</w:t>
      </w:r>
      <w:r w:rsidR="006F588C">
        <w:rPr>
          <w:rStyle w:val="CommentReference"/>
        </w:rPr>
        <w:commentReference w:id="1"/>
      </w:r>
    </w:p>
    <w:p w14:paraId="0A103595" w14:textId="77777777" w:rsidR="006C69AE" w:rsidRDefault="006C69AE" w:rsidP="00FE7221">
      <w:pPr>
        <w:rPr>
          <w:bCs/>
        </w:rPr>
      </w:pPr>
    </w:p>
    <w:p w14:paraId="2AE45A5D" w14:textId="77777777" w:rsidR="004A6FA8" w:rsidRDefault="009429A0" w:rsidP="00F70AF3">
      <w:pPr>
        <w:pStyle w:val="ListParagraph"/>
        <w:numPr>
          <w:ilvl w:val="0"/>
          <w:numId w:val="6"/>
        </w:numPr>
        <w:rPr>
          <w:bCs/>
        </w:rPr>
      </w:pPr>
      <w:r w:rsidRPr="009429A0">
        <w:rPr>
          <w:b/>
          <w:bCs/>
        </w:rPr>
        <w:t xml:space="preserve">Increase </w:t>
      </w:r>
      <w:r w:rsidR="006C69AE" w:rsidRPr="009429A0">
        <w:rPr>
          <w:b/>
          <w:bCs/>
        </w:rPr>
        <w:t>acc</w:t>
      </w:r>
      <w:r w:rsidR="00183D20" w:rsidRPr="009429A0">
        <w:rPr>
          <w:b/>
          <w:bCs/>
        </w:rPr>
        <w:t>essibility throughout the Final Rule</w:t>
      </w:r>
      <w:r w:rsidRPr="009429A0">
        <w:rPr>
          <w:b/>
          <w:bCs/>
        </w:rPr>
        <w:t xml:space="preserve"> and tell </w:t>
      </w:r>
      <w:r w:rsidR="007F26A5" w:rsidRPr="009429A0">
        <w:rPr>
          <w:b/>
          <w:bCs/>
        </w:rPr>
        <w:t>a compelling story</w:t>
      </w:r>
      <w:r w:rsidRPr="009429A0">
        <w:rPr>
          <w:b/>
          <w:bCs/>
        </w:rPr>
        <w:t xml:space="preserve"> that is relevant to clinicians and patients</w:t>
      </w:r>
      <w:r w:rsidR="004A6FA8" w:rsidRPr="009429A0">
        <w:rPr>
          <w:b/>
          <w:bCs/>
        </w:rPr>
        <w:t>.</w:t>
      </w:r>
      <w:r w:rsidR="00D55655" w:rsidRPr="009429A0">
        <w:rPr>
          <w:bCs/>
        </w:rPr>
        <w:t xml:space="preserve"> </w:t>
      </w:r>
      <w:r>
        <w:rPr>
          <w:bCs/>
        </w:rPr>
        <w:t xml:space="preserve">The final rule </w:t>
      </w:r>
      <w:r w:rsidR="00D34022">
        <w:t>l</w:t>
      </w:r>
      <w:r w:rsidR="00F70AF3" w:rsidRPr="009429A0">
        <w:rPr>
          <w:bCs/>
        </w:rPr>
        <w:t xml:space="preserve">anguage </w:t>
      </w:r>
      <w:r w:rsidR="00D34022" w:rsidRPr="009429A0">
        <w:rPr>
          <w:bCs/>
        </w:rPr>
        <w:t>should explicitly</w:t>
      </w:r>
      <w:r w:rsidR="006148AD" w:rsidRPr="009429A0">
        <w:rPr>
          <w:bCs/>
        </w:rPr>
        <w:t xml:space="preserve"> communicat</w:t>
      </w:r>
      <w:r w:rsidR="00D34022" w:rsidRPr="009429A0">
        <w:rPr>
          <w:bCs/>
        </w:rPr>
        <w:t xml:space="preserve">e </w:t>
      </w:r>
      <w:r w:rsidR="00842153" w:rsidRPr="009429A0">
        <w:rPr>
          <w:bCs/>
        </w:rPr>
        <w:t xml:space="preserve">how </w:t>
      </w:r>
      <w:r w:rsidR="008D20B5" w:rsidRPr="009429A0">
        <w:rPr>
          <w:bCs/>
        </w:rPr>
        <w:t xml:space="preserve">the QPP requirements </w:t>
      </w:r>
      <w:r>
        <w:rPr>
          <w:bCs/>
        </w:rPr>
        <w:t>build on and modify</w:t>
      </w:r>
      <w:r w:rsidR="008D20B5" w:rsidRPr="009429A0">
        <w:rPr>
          <w:bCs/>
        </w:rPr>
        <w:t xml:space="preserve"> existing programs, and </w:t>
      </w:r>
      <w:r w:rsidR="00D34022" w:rsidRPr="009429A0">
        <w:rPr>
          <w:bCs/>
        </w:rPr>
        <w:t xml:space="preserve">what </w:t>
      </w:r>
      <w:r w:rsidR="00442FF0" w:rsidRPr="009429A0">
        <w:rPr>
          <w:bCs/>
        </w:rPr>
        <w:t>participants</w:t>
      </w:r>
      <w:r w:rsidR="006148AD" w:rsidRPr="009429A0">
        <w:rPr>
          <w:bCs/>
        </w:rPr>
        <w:t xml:space="preserve"> </w:t>
      </w:r>
      <w:r w:rsidR="000A223F" w:rsidRPr="009429A0">
        <w:rPr>
          <w:bCs/>
        </w:rPr>
        <w:t xml:space="preserve">will need to do to meet program requirements, avoid penalties, and earn positive payment adjustments. </w:t>
      </w:r>
    </w:p>
    <w:p w14:paraId="156B7555" w14:textId="77777777" w:rsidR="009429A0" w:rsidRPr="009429A0" w:rsidRDefault="009429A0" w:rsidP="009429A0">
      <w:pPr>
        <w:pStyle w:val="ListParagraph"/>
        <w:ind w:left="360"/>
        <w:rPr>
          <w:bCs/>
        </w:rPr>
      </w:pPr>
    </w:p>
    <w:p w14:paraId="568105A9" w14:textId="77777777" w:rsidR="008D20B5" w:rsidRPr="00FD5FDF" w:rsidRDefault="008D20B5" w:rsidP="008D20B5">
      <w:pPr>
        <w:pStyle w:val="ListParagraph"/>
        <w:numPr>
          <w:ilvl w:val="1"/>
          <w:numId w:val="26"/>
        </w:numPr>
        <w:spacing w:before="100" w:beforeAutospacing="1" w:after="240" w:line="240" w:lineRule="auto"/>
        <w:ind w:left="1080"/>
      </w:pPr>
      <w:r>
        <w:t>CMS should c</w:t>
      </w:r>
      <w:r w:rsidRPr="004A6FA8">
        <w:rPr>
          <w:bCs/>
        </w:rPr>
        <w:t>learly describe, with tables and graphics, which components of existing programs will change within MIPS, which will remain, and how the changes result in reduced burden for participants.</w:t>
      </w:r>
    </w:p>
    <w:p w14:paraId="2EC2FEAF" w14:textId="77777777" w:rsidR="004A6FA8" w:rsidRPr="004A6FA8" w:rsidRDefault="00643A7B" w:rsidP="004A6FA8">
      <w:pPr>
        <w:pStyle w:val="ListParagraph"/>
        <w:numPr>
          <w:ilvl w:val="1"/>
          <w:numId w:val="26"/>
        </w:numPr>
        <w:spacing w:before="100" w:beforeAutospacing="1" w:after="240" w:line="240" w:lineRule="auto"/>
        <w:ind w:left="1080"/>
      </w:pPr>
      <w:r>
        <w:rPr>
          <w:bCs/>
        </w:rPr>
        <w:t xml:space="preserve">CMS </w:t>
      </w:r>
      <w:r w:rsidR="00EC3D04">
        <w:rPr>
          <w:bCs/>
        </w:rPr>
        <w:t>should</w:t>
      </w:r>
      <w:r>
        <w:rPr>
          <w:bCs/>
        </w:rPr>
        <w:t xml:space="preserve"> </w:t>
      </w:r>
      <w:r w:rsidRPr="004A6FA8">
        <w:rPr>
          <w:bCs/>
        </w:rPr>
        <w:t>increase understanding of the rule</w:t>
      </w:r>
      <w:r>
        <w:rPr>
          <w:bCs/>
        </w:rPr>
        <w:t xml:space="preserve"> b</w:t>
      </w:r>
      <w:r w:rsidR="00FD5FDF">
        <w:rPr>
          <w:bCs/>
        </w:rPr>
        <w:t>y i</w:t>
      </w:r>
      <w:r w:rsidR="004A6FA8" w:rsidRPr="004A6FA8">
        <w:rPr>
          <w:bCs/>
        </w:rPr>
        <w:t xml:space="preserve">ncluding graphics/illustrations where possible to clarify the elements of the program and their inter-relationships, including: </w:t>
      </w:r>
    </w:p>
    <w:p w14:paraId="09B154B2" w14:textId="77777777" w:rsidR="004A6FA8" w:rsidRDefault="004A6FA8" w:rsidP="00D34022">
      <w:pPr>
        <w:pStyle w:val="ListParagraph"/>
        <w:numPr>
          <w:ilvl w:val="2"/>
          <w:numId w:val="26"/>
        </w:numPr>
        <w:spacing w:before="100" w:beforeAutospacing="1" w:after="240" w:line="240" w:lineRule="auto"/>
      </w:pPr>
      <w:r>
        <w:t xml:space="preserve">A </w:t>
      </w:r>
      <w:r w:rsidR="00DA6788">
        <w:t>figure that depicts the overarching goals of MACRA and how the program components achieve their objectives to transform care</w:t>
      </w:r>
      <w:r>
        <w:t>;</w:t>
      </w:r>
    </w:p>
    <w:p w14:paraId="730AF153" w14:textId="77777777" w:rsidR="004A6FA8" w:rsidRDefault="004A6FA8" w:rsidP="004A6FA8">
      <w:pPr>
        <w:pStyle w:val="ListParagraph"/>
        <w:numPr>
          <w:ilvl w:val="2"/>
          <w:numId w:val="26"/>
        </w:numPr>
        <w:spacing w:before="100" w:beforeAutospacing="1" w:after="240" w:line="240" w:lineRule="auto"/>
      </w:pPr>
      <w:r>
        <w:t>A</w:t>
      </w:r>
      <w:r w:rsidR="00DA6788">
        <w:t xml:space="preserve"> diagram mapping the current programs to MIPS and APM to highlight how the new programs provide additional flexibility</w:t>
      </w:r>
      <w:r w:rsidR="00F4209E">
        <w:t>,</w:t>
      </w:r>
      <w:r w:rsidR="00DA6788">
        <w:t xml:space="preserve"> reduce burden for the eligible clinician</w:t>
      </w:r>
      <w:r w:rsidR="00F4209E">
        <w:t>, and improve patient-centered care</w:t>
      </w:r>
      <w:r>
        <w:t xml:space="preserve">; and </w:t>
      </w:r>
    </w:p>
    <w:p w14:paraId="05D8F3FE" w14:textId="77777777" w:rsidR="004A6FA8" w:rsidRDefault="004A6FA8" w:rsidP="004A6FA8">
      <w:pPr>
        <w:pStyle w:val="ListParagraph"/>
        <w:numPr>
          <w:ilvl w:val="2"/>
          <w:numId w:val="26"/>
        </w:numPr>
        <w:spacing w:before="100" w:beforeAutospacing="1" w:after="240" w:line="240" w:lineRule="auto"/>
      </w:pPr>
      <w:r>
        <w:t>A</w:t>
      </w:r>
      <w:r w:rsidR="00DA6788">
        <w:t xml:space="preserve"> graphical depiction of how a clinician transitions from the MIPS program to an APM, highlighting t</w:t>
      </w:r>
      <w:r>
        <w:t>he benefits of moving to an APM.</w:t>
      </w:r>
    </w:p>
    <w:p w14:paraId="6F150E0B" w14:textId="77777777" w:rsidR="006148AD" w:rsidRPr="006148AD" w:rsidRDefault="004A6FA8" w:rsidP="00FD5FDF">
      <w:pPr>
        <w:pStyle w:val="ListParagraph"/>
        <w:numPr>
          <w:ilvl w:val="1"/>
          <w:numId w:val="26"/>
        </w:numPr>
        <w:spacing w:before="100" w:beforeAutospacing="1" w:after="240" w:line="240" w:lineRule="auto"/>
        <w:ind w:left="1080"/>
      </w:pPr>
      <w:r w:rsidRPr="00FD5FDF">
        <w:rPr>
          <w:bCs/>
        </w:rPr>
        <w:t>CMS should clearly explain how participating Eligible Clinicians will be benchmarked and how the payment incentives and adjustments will be applied under the QPP, ensuring policies are clear and the scoring methodology is easy to understand.</w:t>
      </w:r>
    </w:p>
    <w:p w14:paraId="15C8B3BC" w14:textId="77777777" w:rsidR="003A0A1E" w:rsidRPr="00C07150" w:rsidRDefault="006148AD" w:rsidP="00C07150">
      <w:pPr>
        <w:pStyle w:val="ListParagraph"/>
        <w:numPr>
          <w:ilvl w:val="1"/>
          <w:numId w:val="26"/>
        </w:numPr>
        <w:spacing w:before="100" w:beforeAutospacing="1" w:after="240" w:line="240" w:lineRule="auto"/>
        <w:ind w:left="1080"/>
      </w:pPr>
      <w:r>
        <w:rPr>
          <w:bCs/>
        </w:rPr>
        <w:t>CMS technical assistance, education and outreach, and coaching effort</w:t>
      </w:r>
      <w:r w:rsidR="003E3F08">
        <w:rPr>
          <w:bCs/>
        </w:rPr>
        <w:t>s should extend well beyond</w:t>
      </w:r>
      <w:r>
        <w:rPr>
          <w:bCs/>
        </w:rPr>
        <w:t xml:space="preserve"> those required in the MACRA statute and current planned efforts to ensure that eligible clinici</w:t>
      </w:r>
      <w:r w:rsidR="00FC621E">
        <w:rPr>
          <w:bCs/>
        </w:rPr>
        <w:t>ans find the program appealing</w:t>
      </w:r>
      <w:r>
        <w:rPr>
          <w:bCs/>
        </w:rPr>
        <w:t xml:space="preserve"> to participate in</w:t>
      </w:r>
      <w:r w:rsidR="00FC621E">
        <w:rPr>
          <w:bCs/>
        </w:rPr>
        <w:t>,</w:t>
      </w:r>
      <w:r>
        <w:rPr>
          <w:bCs/>
        </w:rPr>
        <w:t xml:space="preserve"> with confidence they will succeed.</w:t>
      </w:r>
    </w:p>
    <w:p w14:paraId="4FA3F0F6" w14:textId="77777777" w:rsidR="00C07150" w:rsidRPr="00C07150" w:rsidRDefault="00C07150" w:rsidP="00C07150">
      <w:pPr>
        <w:spacing w:before="100" w:beforeAutospacing="1" w:after="240"/>
        <w:rPr>
          <w:i/>
          <w:u w:val="single"/>
        </w:rPr>
      </w:pPr>
      <w:r w:rsidRPr="0047473E">
        <w:rPr>
          <w:i/>
          <w:highlight w:val="yellow"/>
          <w:u w:val="single"/>
        </w:rPr>
        <w:t>KEY ITEMS FOR WG DISCUSSION</w:t>
      </w:r>
    </w:p>
    <w:p w14:paraId="5F5FFA03" w14:textId="77777777" w:rsidR="00C07150" w:rsidRPr="00C07150" w:rsidRDefault="00C07150" w:rsidP="0047473E">
      <w:pPr>
        <w:pStyle w:val="ListParagraph"/>
        <w:numPr>
          <w:ilvl w:val="0"/>
          <w:numId w:val="30"/>
        </w:numPr>
        <w:ind w:left="1080" w:hanging="180"/>
        <w:rPr>
          <w:i/>
        </w:rPr>
      </w:pPr>
      <w:r w:rsidRPr="00C07150">
        <w:rPr>
          <w:b/>
        </w:rPr>
        <w:t>Further revise ACI category for clarity.</w:t>
      </w:r>
      <w:r>
        <w:t xml:space="preserve"> For the ACI category, while the concept of base and performance introduces incentives to do more, do not separate them because conceptually they are easier to understand when considered together.  Combine the tables and scoring so that you score more when you do more in the areas that you want to incent.  (see table at the end of the document as an example)  I am sure that there are even simpler ways to create the chart.</w:t>
      </w:r>
    </w:p>
    <w:p w14:paraId="00072D78" w14:textId="77777777" w:rsidR="00220752" w:rsidRDefault="00C07150" w:rsidP="0047473E">
      <w:pPr>
        <w:pStyle w:val="ListParagraph"/>
        <w:numPr>
          <w:ilvl w:val="0"/>
          <w:numId w:val="30"/>
        </w:numPr>
        <w:ind w:left="1080" w:hanging="180"/>
        <w:rPr>
          <w:bCs/>
        </w:rPr>
      </w:pPr>
      <w:r w:rsidRPr="00C07150">
        <w:rPr>
          <w:b/>
          <w:bCs/>
        </w:rPr>
        <w:t>Provide additional clarity around CPIA Inventory.</w:t>
      </w:r>
      <w:r>
        <w:rPr>
          <w:bCs/>
        </w:rPr>
        <w:t xml:space="preserve"> Given the short and fairly ambiguous definitions in Table H, recommend that CMS enhance the clarity of the CPIA definitions so that providers understand more fully what they must do to qualify, to include what providers may be expected to retain as documentation and provide to an auditor where a general and non-specific definition is intentional in order to provide flexibility. (e.g. similar to CMS sub-regulatory guidance on non-percentage based measures)</w:t>
      </w:r>
    </w:p>
    <w:p w14:paraId="2E68090C" w14:textId="77777777" w:rsidR="00C07150" w:rsidRPr="00C07150" w:rsidRDefault="00220752" w:rsidP="0047473E">
      <w:pPr>
        <w:pStyle w:val="ListParagraph"/>
        <w:numPr>
          <w:ilvl w:val="0"/>
          <w:numId w:val="30"/>
        </w:numPr>
        <w:ind w:left="1080" w:hanging="180"/>
        <w:rPr>
          <w:bCs/>
        </w:rPr>
      </w:pPr>
      <w:commentRangeStart w:id="2"/>
      <w:r>
        <w:rPr>
          <w:b/>
          <w:bCs/>
        </w:rPr>
        <w:t>Provide further clarity around status of hospital-</w:t>
      </w:r>
      <w:r w:rsidRPr="00220752">
        <w:rPr>
          <w:b/>
          <w:bCs/>
        </w:rPr>
        <w:t>based eligible clinicians.</w:t>
      </w:r>
      <w:commentRangeEnd w:id="2"/>
      <w:r>
        <w:rPr>
          <w:rStyle w:val="CommentReference"/>
        </w:rPr>
        <w:commentReference w:id="2"/>
      </w:r>
      <w:r w:rsidR="006C7168" w:rsidRPr="006C7168">
        <w:t xml:space="preserve"> </w:t>
      </w:r>
      <w:r w:rsidR="006C7168">
        <w:t>CMS should use the same 90 percent threshold for all the specialty types of hospital-based eligible clinicians and non-patient-facing eligible clinicians, and reweight all eligible clinicians who meet the threshold.</w:t>
      </w:r>
      <w:r w:rsidR="00C07150">
        <w:br/>
      </w:r>
    </w:p>
    <w:p w14:paraId="682FCA87" w14:textId="77777777" w:rsidR="009429A0" w:rsidRPr="00F70AF3" w:rsidRDefault="00EC3D04" w:rsidP="009429A0">
      <w:pPr>
        <w:pStyle w:val="ListParagraph"/>
        <w:numPr>
          <w:ilvl w:val="0"/>
          <w:numId w:val="6"/>
        </w:numPr>
        <w:rPr>
          <w:bCs/>
        </w:rPr>
      </w:pPr>
      <w:r>
        <w:rPr>
          <w:b/>
          <w:bCs/>
        </w:rPr>
        <w:t>Identify opportunities to further simplify the final rule and reduce burden for eligible clinicians.</w:t>
      </w:r>
      <w:r w:rsidR="009429A0">
        <w:rPr>
          <w:b/>
          <w:bCs/>
        </w:rPr>
        <w:t xml:space="preserve"> </w:t>
      </w:r>
      <w:r w:rsidR="009429A0" w:rsidRPr="009429A0">
        <w:rPr>
          <w:bCs/>
        </w:rPr>
        <w:t>The Quality Payment Program, as a whole and within each component, will be very difficult for many providers to put in place, and for health IT developers and others to support.</w:t>
      </w:r>
      <w:r w:rsidR="009429A0" w:rsidRPr="00F70AF3">
        <w:t xml:space="preserve"> </w:t>
      </w:r>
      <w:r w:rsidR="009429A0">
        <w:t xml:space="preserve">Without significant preparation, education, and coordination, this Program may be too challenging for the health care market to achieve within the proposed timeframe. </w:t>
      </w:r>
      <w:r>
        <w:rPr>
          <w:bCs/>
        </w:rPr>
        <w:t xml:space="preserve">CMS </w:t>
      </w:r>
      <w:r>
        <w:rPr>
          <w:bCs/>
        </w:rPr>
        <w:lastRenderedPageBreak/>
        <w:t>should seek to make</w:t>
      </w:r>
      <w:r w:rsidR="009429A0">
        <w:rPr>
          <w:bCs/>
        </w:rPr>
        <w:t xml:space="preserve"> the program highly accessible so</w:t>
      </w:r>
      <w:r w:rsidR="009429A0" w:rsidRPr="00F70AF3">
        <w:rPr>
          <w:bCs/>
        </w:rPr>
        <w:t xml:space="preserve"> that all eligible clinicians gain </w:t>
      </w:r>
      <w:r w:rsidR="009429A0">
        <w:rPr>
          <w:bCs/>
        </w:rPr>
        <w:t>substantial</w:t>
      </w:r>
      <w:r w:rsidR="009429A0" w:rsidRPr="00F70AF3">
        <w:rPr>
          <w:bCs/>
        </w:rPr>
        <w:t xml:space="preserve"> proficiency in the steps required to </w:t>
      </w:r>
      <w:r w:rsidR="009429A0">
        <w:rPr>
          <w:bCs/>
        </w:rPr>
        <w:t>succeed in MIPS, APMs, and in future Other P</w:t>
      </w:r>
      <w:r w:rsidR="009429A0" w:rsidRPr="00F70AF3">
        <w:rPr>
          <w:bCs/>
        </w:rPr>
        <w:t>ayer APMs.</w:t>
      </w:r>
      <w:r w:rsidR="009429A0">
        <w:rPr>
          <w:bCs/>
        </w:rPr>
        <w:t xml:space="preserve"> </w:t>
      </w:r>
    </w:p>
    <w:p w14:paraId="0C799B3A" w14:textId="77777777" w:rsidR="009429A0" w:rsidRDefault="009429A0" w:rsidP="009429A0">
      <w:pPr>
        <w:pStyle w:val="ListParagraph"/>
        <w:ind w:left="360"/>
        <w:rPr>
          <w:bCs/>
        </w:rPr>
      </w:pPr>
    </w:p>
    <w:p w14:paraId="3044AF0D" w14:textId="77777777" w:rsidR="009429A0" w:rsidRDefault="009429A0" w:rsidP="00C07150">
      <w:pPr>
        <w:pStyle w:val="ListParagraph"/>
        <w:numPr>
          <w:ilvl w:val="0"/>
          <w:numId w:val="36"/>
        </w:numPr>
        <w:spacing w:before="100" w:beforeAutospacing="1" w:after="240" w:line="240" w:lineRule="auto"/>
        <w:ind w:left="1080"/>
      </w:pPr>
      <w:r w:rsidRPr="004A6FA8">
        <w:rPr>
          <w:bCs/>
        </w:rPr>
        <w:t xml:space="preserve">CMS should take every opportunity to simplify program requirements, even at risk of reduced flexibility, so that the overall burden of understanding and complying with the program is reduced. Build upon the NPRM’s stated strategic goal to “advance a program that is meaningful, understandable, and flexible for participating MIPS eligible clinicians.” </w:t>
      </w:r>
      <w:hyperlink r:id="rId10" w:anchor="p-274" w:history="1">
        <w:r w:rsidRPr="004A6FA8">
          <w:rPr>
            <w:rStyle w:val="Hyperlink"/>
            <w:bCs/>
          </w:rPr>
          <w:t>(FR 28173)</w:t>
        </w:r>
      </w:hyperlink>
    </w:p>
    <w:p w14:paraId="55FC5B4A" w14:textId="77777777" w:rsidR="00C07150" w:rsidRPr="00C07150" w:rsidRDefault="00C07150" w:rsidP="00C07150">
      <w:pPr>
        <w:spacing w:before="100" w:beforeAutospacing="1" w:after="240"/>
        <w:rPr>
          <w:i/>
          <w:u w:val="single"/>
        </w:rPr>
      </w:pPr>
      <w:r w:rsidRPr="0047473E">
        <w:rPr>
          <w:i/>
          <w:highlight w:val="yellow"/>
          <w:u w:val="single"/>
        </w:rPr>
        <w:t>KEY ITEMS FOR WG DISCUSSION</w:t>
      </w:r>
    </w:p>
    <w:p w14:paraId="4D47105B" w14:textId="77777777" w:rsidR="00DC1D4C" w:rsidRPr="00DC1D4C" w:rsidRDefault="00DC1D4C" w:rsidP="0047473E">
      <w:pPr>
        <w:pStyle w:val="ListParagraph"/>
        <w:numPr>
          <w:ilvl w:val="0"/>
          <w:numId w:val="38"/>
        </w:numPr>
        <w:ind w:left="1080" w:hanging="180"/>
        <w:rPr>
          <w:i/>
        </w:rPr>
      </w:pPr>
      <w:r>
        <w:rPr>
          <w:b/>
          <w:bCs/>
        </w:rPr>
        <w:t>Finalize reduced set of objective measures for ACI relative to Meaningful Use Stage 3 final rule</w:t>
      </w:r>
      <w:r w:rsidRPr="00DC1D4C">
        <w:rPr>
          <w:b/>
          <w:bCs/>
        </w:rPr>
        <w:t>.</w:t>
      </w:r>
      <w:r>
        <w:rPr>
          <w:bCs/>
        </w:rPr>
        <w:t xml:space="preserve"> CMS should finalize </w:t>
      </w:r>
      <w:r w:rsidR="009429A0" w:rsidRPr="00F75291">
        <w:rPr>
          <w:bCs/>
        </w:rPr>
        <w:t xml:space="preserve">the </w:t>
      </w:r>
      <w:r w:rsidR="009429A0">
        <w:rPr>
          <w:bCs/>
        </w:rPr>
        <w:t>“</w:t>
      </w:r>
      <w:r w:rsidR="009429A0" w:rsidRPr="00F75291">
        <w:rPr>
          <w:bCs/>
        </w:rPr>
        <w:t>primary proposal</w:t>
      </w:r>
      <w:r w:rsidR="009429A0">
        <w:rPr>
          <w:bCs/>
        </w:rPr>
        <w:t>”</w:t>
      </w:r>
      <w:r w:rsidR="009429A0" w:rsidRPr="00F75291">
        <w:rPr>
          <w:bCs/>
        </w:rPr>
        <w:t xml:space="preserve"> for </w:t>
      </w:r>
      <w:r w:rsidR="009429A0">
        <w:rPr>
          <w:bCs/>
        </w:rPr>
        <w:t xml:space="preserve">objectives in </w:t>
      </w:r>
      <w:r w:rsidR="009429A0" w:rsidRPr="00F75291">
        <w:rPr>
          <w:bCs/>
        </w:rPr>
        <w:t>the ACI category.</w:t>
      </w:r>
      <w:r w:rsidR="009429A0" w:rsidRPr="00A42C72">
        <w:rPr>
          <w:bCs/>
        </w:rPr>
        <w:t xml:space="preserve"> Under th</w:t>
      </w:r>
      <w:r w:rsidR="009429A0">
        <w:rPr>
          <w:bCs/>
        </w:rPr>
        <w:t>is</w:t>
      </w:r>
      <w:r w:rsidR="009429A0" w:rsidRPr="00A42C72">
        <w:rPr>
          <w:bCs/>
        </w:rPr>
        <w:t xml:space="preserve"> proposal, CMS would remove objectives around CDS and CPOE that were finalized for Meaningful Use Stage 3 in 2018</w:t>
      </w:r>
      <w:r w:rsidR="009429A0">
        <w:rPr>
          <w:bCs/>
        </w:rPr>
        <w:t>, but would retain them in an alternate proposal</w:t>
      </w:r>
      <w:r w:rsidR="009429A0" w:rsidRPr="00A42C72">
        <w:rPr>
          <w:bCs/>
        </w:rPr>
        <w:t>. (</w:t>
      </w:r>
      <w:hyperlink r:id="rId11" w:history="1">
        <w:r w:rsidR="009429A0" w:rsidRPr="006D0331">
          <w:rPr>
            <w:rStyle w:val="Hyperlink"/>
            <w:bCs/>
          </w:rPr>
          <w:t>FR 28220</w:t>
        </w:r>
      </w:hyperlink>
      <w:r w:rsidR="009429A0" w:rsidRPr="00A42C72">
        <w:rPr>
          <w:bCs/>
        </w:rPr>
        <w:t>)</w:t>
      </w:r>
    </w:p>
    <w:p w14:paraId="3A4B512B" w14:textId="77777777" w:rsidR="00C07150" w:rsidRPr="00C07150" w:rsidRDefault="00DC1D4C" w:rsidP="0047473E">
      <w:pPr>
        <w:pStyle w:val="ListParagraph"/>
        <w:numPr>
          <w:ilvl w:val="0"/>
          <w:numId w:val="38"/>
        </w:numPr>
        <w:ind w:left="1080" w:hanging="180"/>
        <w:rPr>
          <w:i/>
        </w:rPr>
      </w:pPr>
      <w:r>
        <w:rPr>
          <w:b/>
        </w:rPr>
        <w:t>Create an “on</w:t>
      </w:r>
      <w:r w:rsidR="00220752">
        <w:rPr>
          <w:b/>
        </w:rPr>
        <w:t>-</w:t>
      </w:r>
      <w:r>
        <w:rPr>
          <w:b/>
        </w:rPr>
        <w:t xml:space="preserve">ramp” for the ACI category that provides </w:t>
      </w:r>
      <w:r w:rsidR="00220752">
        <w:rPr>
          <w:b/>
        </w:rPr>
        <w:t>further</w:t>
      </w:r>
      <w:r>
        <w:rPr>
          <w:b/>
        </w:rPr>
        <w:t xml:space="preserve"> flexibility for eligible clinicians that have not participated in the EHR Incentive Programs.</w:t>
      </w:r>
      <w:r>
        <w:t xml:space="preserve"> CMS should explore further opportunities to reduce burden on eligible clinicians that have not previously participated </w:t>
      </w:r>
      <w:r w:rsidR="00C07150">
        <w:t>in the EHR Incentive Programs in 2018. CMS could consider using authority to reweight scores to allow these clinicians an additional time period when they could postpone ACI participation and only receive a MIPS score based on other categories.</w:t>
      </w:r>
    </w:p>
    <w:p w14:paraId="7675BDDA" w14:textId="77777777" w:rsidR="0047473E" w:rsidRPr="009429A0" w:rsidRDefault="0047473E" w:rsidP="0047473E">
      <w:pPr>
        <w:pStyle w:val="ListParagraph"/>
        <w:numPr>
          <w:ilvl w:val="0"/>
          <w:numId w:val="38"/>
        </w:numPr>
        <w:ind w:left="1080" w:hanging="180"/>
      </w:pPr>
      <w:commentRangeStart w:id="3"/>
      <w:r w:rsidRPr="009811BD">
        <w:rPr>
          <w:b/>
          <w:bCs/>
        </w:rPr>
        <w:t xml:space="preserve">Extend transition period when clinicians can </w:t>
      </w:r>
      <w:r w:rsidR="009811BD" w:rsidRPr="009811BD">
        <w:rPr>
          <w:b/>
          <w:bCs/>
        </w:rPr>
        <w:t>earn points under ACI category using either “Stage 2” or “Stage 3” framework.</w:t>
      </w:r>
      <w:commentRangeEnd w:id="3"/>
      <w:r w:rsidR="009811BD">
        <w:rPr>
          <w:rStyle w:val="CommentReference"/>
        </w:rPr>
        <w:commentReference w:id="3"/>
      </w:r>
      <w:r w:rsidR="009811BD">
        <w:rPr>
          <w:bCs/>
        </w:rPr>
        <w:t xml:space="preserve"> </w:t>
      </w:r>
      <w:r>
        <w:rPr>
          <w:bCs/>
        </w:rPr>
        <w:t xml:space="preserve"> Reduce program complexity and enhance feasibility of eligible clinician participation, where CMS could either m</w:t>
      </w:r>
      <w:r w:rsidRPr="00A42C72">
        <w:rPr>
          <w:bCs/>
        </w:rPr>
        <w:t>aintain option of reporting MU Stage 2 Modification Objectives and Measures until 2019</w:t>
      </w:r>
      <w:r>
        <w:rPr>
          <w:bCs/>
        </w:rPr>
        <w:t>, OR p</w:t>
      </w:r>
      <w:r w:rsidRPr="00A42C72">
        <w:rPr>
          <w:bCs/>
        </w:rPr>
        <w:t>ostpone introduction of MU Stage 3 Objectives and Measures until 2019.</w:t>
      </w:r>
      <w:r>
        <w:rPr>
          <w:bCs/>
        </w:rPr>
        <w:t xml:space="preserve"> (</w:t>
      </w:r>
      <w:hyperlink r:id="rId12" w:history="1">
        <w:r w:rsidRPr="00915DCB">
          <w:rPr>
            <w:rStyle w:val="Hyperlink"/>
            <w:bCs/>
          </w:rPr>
          <w:t>FR 28219</w:t>
        </w:r>
      </w:hyperlink>
      <w:r>
        <w:rPr>
          <w:bCs/>
        </w:rPr>
        <w:t>). This would allow participants and developers time to test and prepare to meet the new requirements, while more fully engaging in other MIPS categories, such as CPIA and their chosen Quality category measures.</w:t>
      </w:r>
    </w:p>
    <w:p w14:paraId="1E014F3B" w14:textId="77777777" w:rsidR="00F91A6E" w:rsidRPr="00C07150" w:rsidRDefault="00F91A6E" w:rsidP="00F91A6E">
      <w:pPr>
        <w:pStyle w:val="ListParagraph"/>
        <w:numPr>
          <w:ilvl w:val="0"/>
          <w:numId w:val="38"/>
        </w:numPr>
        <w:ind w:left="1080" w:hanging="180"/>
        <w:rPr>
          <w:i/>
        </w:rPr>
      </w:pPr>
      <w:commentRangeStart w:id="4"/>
      <w:r w:rsidRPr="009811BD">
        <w:rPr>
          <w:b/>
          <w:bCs/>
        </w:rPr>
        <w:t>Significantly reduce process-oriented measures in CPIA category and build on activities clinicians are already completing.</w:t>
      </w:r>
      <w:r>
        <w:rPr>
          <w:bCs/>
        </w:rPr>
        <w:t xml:space="preserve"> </w:t>
      </w:r>
      <w:commentRangeEnd w:id="4"/>
      <w:r>
        <w:rPr>
          <w:rStyle w:val="CommentReference"/>
        </w:rPr>
        <w:commentReference w:id="4"/>
      </w:r>
      <w:r w:rsidRPr="00C07150">
        <w:rPr>
          <w:bCs/>
        </w:rPr>
        <w:t xml:space="preserve">The current emphasis on the Inventory is too process-oriented and eligible clinicians will view attesting to the activities as “busy work” not connected to the program’s stated goals. </w:t>
      </w:r>
      <w:r w:rsidRPr="007F2B0A">
        <w:rPr>
          <w:bCs/>
        </w:rPr>
        <w:t xml:space="preserve">Within non-CMS programs, CMS can identify surrogates that foster team-based care coordination, integration of health IT and innovative delivery methods, such as telehealth, and patient empowerment.  </w:t>
      </w:r>
      <w:r>
        <w:rPr>
          <w:bCs/>
        </w:rPr>
        <w:t xml:space="preserve">CMS can then allow </w:t>
      </w:r>
      <w:r w:rsidRPr="00C07150">
        <w:rPr>
          <w:bCs/>
        </w:rPr>
        <w:t>deeming of certified improvement activities (e.g., professional certification of Maintenance of Certification) as partial or complete satisfaction of CPIA requirements.</w:t>
      </w:r>
    </w:p>
    <w:p w14:paraId="334947CD" w14:textId="77777777" w:rsidR="009811BD" w:rsidRPr="009811BD" w:rsidRDefault="006C7168" w:rsidP="0047473E">
      <w:pPr>
        <w:pStyle w:val="ListParagraph"/>
        <w:numPr>
          <w:ilvl w:val="0"/>
          <w:numId w:val="38"/>
        </w:numPr>
        <w:ind w:left="1080" w:hanging="180"/>
        <w:rPr>
          <w:i/>
        </w:rPr>
      </w:pPr>
      <w:commentRangeStart w:id="5"/>
      <w:r>
        <w:rPr>
          <w:b/>
          <w:bCs/>
        </w:rPr>
        <w:t xml:space="preserve">More clearly integrate the use of health IT into the CPIA category. </w:t>
      </w:r>
      <w:r w:rsidR="002C550B">
        <w:rPr>
          <w:bCs/>
        </w:rPr>
        <w:t xml:space="preserve"> </w:t>
      </w:r>
      <w:commentRangeEnd w:id="5"/>
      <w:r w:rsidR="002C550B">
        <w:rPr>
          <w:rStyle w:val="CommentReference"/>
        </w:rPr>
        <w:commentReference w:id="5"/>
      </w:r>
      <w:r>
        <w:rPr>
          <w:bCs/>
        </w:rPr>
        <w:t>CMS should c</w:t>
      </w:r>
      <w:r w:rsidR="009429A0" w:rsidRPr="00C07150">
        <w:rPr>
          <w:bCs/>
        </w:rPr>
        <w:t>onstruct CPIA so that eligible clinicians and CMS can use the category as a “test bed” for innovation in the same way as prospective activities submitted through QCDRs</w:t>
      </w:r>
      <w:r>
        <w:rPr>
          <w:bCs/>
        </w:rPr>
        <w:t xml:space="preserve"> may serve as a beta test</w:t>
      </w:r>
      <w:r w:rsidR="009429A0" w:rsidRPr="00C07150">
        <w:rPr>
          <w:bCs/>
        </w:rPr>
        <w:t xml:space="preserve">, to help identify how activities will lead to improved outcomes and readiness for APM participation. </w:t>
      </w:r>
      <w:r w:rsidR="009811BD" w:rsidRPr="00C07150">
        <w:rPr>
          <w:bCs/>
        </w:rPr>
        <w:t xml:space="preserve">CMS should, at a minimum, </w:t>
      </w:r>
      <w:r>
        <w:rPr>
          <w:bCs/>
        </w:rPr>
        <w:t xml:space="preserve">identify how CPIA elements relate back to capabilities in the 2015 Edition, and </w:t>
      </w:r>
      <w:r w:rsidR="009811BD" w:rsidRPr="00C07150">
        <w:rPr>
          <w:bCs/>
        </w:rPr>
        <w:t>encourage participants to test high-impact health IT functionalities that could be considered in future APMs and certification requirements.</w:t>
      </w:r>
    </w:p>
    <w:p w14:paraId="1D54543F" w14:textId="77777777" w:rsidR="009429A0" w:rsidRPr="009429A0" w:rsidRDefault="009811BD" w:rsidP="0047473E">
      <w:pPr>
        <w:pStyle w:val="ListParagraph"/>
        <w:numPr>
          <w:ilvl w:val="0"/>
          <w:numId w:val="38"/>
        </w:numPr>
        <w:ind w:left="1080" w:hanging="180"/>
        <w:rPr>
          <w:bCs/>
        </w:rPr>
      </w:pPr>
      <w:r w:rsidRPr="009811BD">
        <w:rPr>
          <w:b/>
          <w:bCs/>
        </w:rPr>
        <w:t>Work with outside organizations to populate CPIA activities.</w:t>
      </w:r>
      <w:r>
        <w:rPr>
          <w:bCs/>
        </w:rPr>
        <w:t xml:space="preserve"> </w:t>
      </w:r>
      <w:r w:rsidR="009429A0" w:rsidRPr="007F2B0A">
        <w:rPr>
          <w:bCs/>
        </w:rPr>
        <w:t xml:space="preserve">CMS should consider exercising its option to contract with entities (FR 28209) to assist in identifying activities for the CPIA category, specifying criteria, and determining whether MIPS eligible clinicians meet the criteria set. Entities for consideration include professional organizations, as part of the ABIM Maintenance of Certification Part IV development, or Bridges to Excellence, as well as </w:t>
      </w:r>
      <w:r w:rsidR="009429A0">
        <w:rPr>
          <w:bCs/>
        </w:rPr>
        <w:t>patient-focusing organizations.</w:t>
      </w:r>
      <w:r w:rsidR="009429A0" w:rsidRPr="007F2B0A">
        <w:rPr>
          <w:bCs/>
        </w:rPr>
        <w:t>.</w:t>
      </w:r>
    </w:p>
    <w:p w14:paraId="4730C762" w14:textId="77777777" w:rsidR="009429A0" w:rsidRPr="00C07150" w:rsidRDefault="006C7168" w:rsidP="0047473E">
      <w:pPr>
        <w:pStyle w:val="ListParagraph"/>
        <w:numPr>
          <w:ilvl w:val="0"/>
          <w:numId w:val="38"/>
        </w:numPr>
        <w:ind w:left="1080" w:hanging="180"/>
        <w:rPr>
          <w:bCs/>
        </w:rPr>
      </w:pPr>
      <w:r w:rsidRPr="006C7168">
        <w:rPr>
          <w:b/>
          <w:bCs/>
        </w:rPr>
        <w:lastRenderedPageBreak/>
        <w:t>Reduce reporting burden for providers in APMs and assist providers in decision-making around APM participation.</w:t>
      </w:r>
      <w:r>
        <w:rPr>
          <w:bCs/>
        </w:rPr>
        <w:t xml:space="preserve"> </w:t>
      </w:r>
      <w:r w:rsidR="009429A0" w:rsidRPr="00C07150">
        <w:rPr>
          <w:bCs/>
        </w:rPr>
        <w:t>Develop operational solutions to prevent the burden of dual reporting by potential Advanced APM participants (</w:t>
      </w:r>
      <w:hyperlink r:id="rId13" w:history="1">
        <w:r w:rsidR="009429A0" w:rsidRPr="00C07150">
          <w:rPr>
            <w:rStyle w:val="Hyperlink"/>
            <w:bCs/>
          </w:rPr>
          <w:t>FR 28234</w:t>
        </w:r>
      </w:hyperlink>
      <w:r w:rsidR="009429A0" w:rsidRPr="00C07150">
        <w:rPr>
          <w:bCs/>
        </w:rPr>
        <w:t>). For example, options may include:</w:t>
      </w:r>
    </w:p>
    <w:p w14:paraId="355DD3EB" w14:textId="77777777" w:rsidR="002C550B" w:rsidRDefault="009429A0" w:rsidP="002C550B">
      <w:pPr>
        <w:pStyle w:val="ListParagraph"/>
        <w:numPr>
          <w:ilvl w:val="2"/>
          <w:numId w:val="35"/>
        </w:numPr>
        <w:ind w:hanging="360"/>
        <w:rPr>
          <w:bCs/>
        </w:rPr>
      </w:pPr>
      <w:r w:rsidRPr="00155D64">
        <w:rPr>
          <w:bCs/>
        </w:rPr>
        <w:t>A method to deem a qualifying participant in an APM as fully satisfying the MIPS requirement for the following year so that they do not need to complete MIPS reporting.</w:t>
      </w:r>
    </w:p>
    <w:p w14:paraId="6B97A5A0" w14:textId="77777777" w:rsidR="009429A0" w:rsidRPr="002C550B" w:rsidRDefault="009429A0" w:rsidP="002C550B">
      <w:pPr>
        <w:pStyle w:val="ListParagraph"/>
        <w:numPr>
          <w:ilvl w:val="2"/>
          <w:numId w:val="35"/>
        </w:numPr>
        <w:ind w:hanging="360"/>
        <w:rPr>
          <w:bCs/>
        </w:rPr>
      </w:pPr>
      <w:commentRangeStart w:id="6"/>
      <w:r w:rsidRPr="002C550B">
        <w:rPr>
          <w:bCs/>
        </w:rPr>
        <w:t>A method to allow eligible clinicians within an APM who fail to meet the QP requirement to submit data to satisfy MIPS reporting requirements through a separate targeted submission period or method subsequent to the QP determination.</w:t>
      </w:r>
      <w:commentRangeEnd w:id="6"/>
      <w:r w:rsidR="002C550B">
        <w:rPr>
          <w:rStyle w:val="CommentReference"/>
        </w:rPr>
        <w:commentReference w:id="6"/>
      </w:r>
      <w:r w:rsidRPr="002C550B">
        <w:rPr>
          <w:bCs/>
        </w:rPr>
        <w:t xml:space="preserve"> </w:t>
      </w:r>
    </w:p>
    <w:p w14:paraId="33B9E15D" w14:textId="77777777" w:rsidR="009429A0" w:rsidRDefault="002C550B" w:rsidP="002C550B">
      <w:pPr>
        <w:pStyle w:val="ListParagraph"/>
        <w:numPr>
          <w:ilvl w:val="2"/>
          <w:numId w:val="35"/>
        </w:numPr>
        <w:ind w:hanging="360"/>
        <w:rPr>
          <w:bCs/>
        </w:rPr>
      </w:pPr>
      <w:r>
        <w:rPr>
          <w:bCs/>
        </w:rPr>
        <w:t xml:space="preserve">Convey whether new models will have </w:t>
      </w:r>
      <w:r w:rsidR="009429A0">
        <w:rPr>
          <w:bCs/>
        </w:rPr>
        <w:t xml:space="preserve">Advanced APM status </w:t>
      </w:r>
      <w:r>
        <w:rPr>
          <w:bCs/>
        </w:rPr>
        <w:t>when they are first publicly released, so that eligible clinicians</w:t>
      </w:r>
      <w:r w:rsidR="009429A0">
        <w:rPr>
          <w:bCs/>
        </w:rPr>
        <w:t xml:space="preserve"> will have that information when determin</w:t>
      </w:r>
      <w:r>
        <w:rPr>
          <w:bCs/>
        </w:rPr>
        <w:t>ing participation in new models.</w:t>
      </w:r>
    </w:p>
    <w:p w14:paraId="7D077889" w14:textId="77777777" w:rsidR="009429A0" w:rsidRPr="006148AD" w:rsidRDefault="009429A0" w:rsidP="009429A0">
      <w:pPr>
        <w:pStyle w:val="ListParagraph"/>
        <w:spacing w:before="100" w:beforeAutospacing="1" w:after="240" w:line="240" w:lineRule="auto"/>
        <w:ind w:left="1080"/>
      </w:pPr>
    </w:p>
    <w:p w14:paraId="22A8121D" w14:textId="77777777" w:rsidR="00F859E0" w:rsidRDefault="00F859E0" w:rsidP="006C69AE">
      <w:pPr>
        <w:pStyle w:val="ListParagraph"/>
        <w:numPr>
          <w:ilvl w:val="0"/>
          <w:numId w:val="6"/>
        </w:numPr>
        <w:rPr>
          <w:bCs/>
        </w:rPr>
      </w:pPr>
      <w:r w:rsidRPr="008650B7">
        <w:rPr>
          <w:b/>
          <w:bCs/>
        </w:rPr>
        <w:t>Focus policies more distinctly and clearly on the program’s desired outcomes, especially interoperability and patient engagement</w:t>
      </w:r>
      <w:r w:rsidR="008650B7">
        <w:rPr>
          <w:b/>
          <w:bCs/>
        </w:rPr>
        <w:t xml:space="preserve">. </w:t>
      </w:r>
      <w:r w:rsidR="008650B7">
        <w:rPr>
          <w:bCs/>
        </w:rPr>
        <w:t xml:space="preserve">Clearly delineate </w:t>
      </w:r>
      <w:r>
        <w:rPr>
          <w:bCs/>
        </w:rPr>
        <w:t>how each component</w:t>
      </w:r>
      <w:r w:rsidR="0048389C">
        <w:rPr>
          <w:bCs/>
        </w:rPr>
        <w:t xml:space="preserve"> within the Program</w:t>
      </w:r>
      <w:r>
        <w:rPr>
          <w:bCs/>
        </w:rPr>
        <w:t xml:space="preserve"> aligns to drive delivery system reform</w:t>
      </w:r>
      <w:r w:rsidR="008650B7">
        <w:rPr>
          <w:bCs/>
        </w:rPr>
        <w:t>.</w:t>
      </w:r>
    </w:p>
    <w:p w14:paraId="24CB9D35" w14:textId="77777777" w:rsidR="008650B7" w:rsidRDefault="008650B7" w:rsidP="008650B7">
      <w:pPr>
        <w:pStyle w:val="ListParagraph"/>
        <w:ind w:left="360"/>
        <w:rPr>
          <w:bCs/>
        </w:rPr>
      </w:pPr>
    </w:p>
    <w:p w14:paraId="325AB659" w14:textId="77777777" w:rsidR="008650B7" w:rsidRPr="008650B7" w:rsidRDefault="00DA6788" w:rsidP="00155D64">
      <w:pPr>
        <w:pStyle w:val="ListParagraph"/>
        <w:numPr>
          <w:ilvl w:val="0"/>
          <w:numId w:val="25"/>
        </w:numPr>
        <w:spacing w:before="100" w:beforeAutospacing="1" w:after="0" w:line="240" w:lineRule="auto"/>
        <w:ind w:left="1080"/>
      </w:pPr>
      <w:r w:rsidRPr="008650B7">
        <w:t xml:space="preserve">Ensure that each requirement throughout each program area clearly drives behavior toward care coordination, patient engagement, and </w:t>
      </w:r>
      <w:r w:rsidR="00920D3C">
        <w:t>effective</w:t>
      </w:r>
      <w:r w:rsidRPr="008650B7">
        <w:t xml:space="preserve"> information sharing. </w:t>
      </w:r>
      <w:r w:rsidR="00643A7B">
        <w:t xml:space="preserve">Otherwise, consider eliminating the requirement to help simplify the </w:t>
      </w:r>
      <w:r w:rsidR="00842153">
        <w:t>r</w:t>
      </w:r>
      <w:r w:rsidR="00643A7B">
        <w:t>ule</w:t>
      </w:r>
      <w:r w:rsidR="00842153">
        <w:t>.</w:t>
      </w:r>
    </w:p>
    <w:p w14:paraId="5D1241BB" w14:textId="77777777" w:rsidR="00862E4E" w:rsidRPr="00155D64" w:rsidRDefault="00DA6788" w:rsidP="00862E4E">
      <w:pPr>
        <w:pStyle w:val="ListParagraph"/>
        <w:numPr>
          <w:ilvl w:val="0"/>
          <w:numId w:val="25"/>
        </w:numPr>
        <w:spacing w:before="100" w:beforeAutospacing="1" w:after="0" w:line="240" w:lineRule="auto"/>
        <w:ind w:left="1080"/>
      </w:pPr>
      <w:r>
        <w:t>Motivate clinicians to move towards advanced payment models by more strongly and clearly rewarding innovation and learning, rather than prescribing specific processes and accounting (“check the box”).</w:t>
      </w:r>
    </w:p>
    <w:p w14:paraId="20709520" w14:textId="77777777" w:rsidR="006F33A4" w:rsidRPr="00155D64" w:rsidRDefault="00155D64" w:rsidP="00155D64">
      <w:pPr>
        <w:pStyle w:val="ListParagraph"/>
        <w:numPr>
          <w:ilvl w:val="0"/>
          <w:numId w:val="25"/>
        </w:numPr>
        <w:spacing w:before="100" w:beforeAutospacing="1" w:after="0" w:line="240" w:lineRule="auto"/>
        <w:ind w:left="1080"/>
      </w:pPr>
      <w:r w:rsidRPr="008650B7">
        <w:t xml:space="preserve">Focus on the outcomes that matter to patients and consumers, and incentivize </w:t>
      </w:r>
      <w:r w:rsidR="00643A7B">
        <w:t>measures of outcomes</w:t>
      </w:r>
      <w:r w:rsidR="00643A7B" w:rsidRPr="008650B7">
        <w:t xml:space="preserve"> </w:t>
      </w:r>
      <w:r w:rsidRPr="008650B7">
        <w:t>th</w:t>
      </w:r>
      <w:r>
        <w:t>at are most important to them.</w:t>
      </w:r>
    </w:p>
    <w:p w14:paraId="1A15BF93" w14:textId="77777777" w:rsidR="00DA6788" w:rsidRDefault="00DA6788" w:rsidP="008650B7">
      <w:pPr>
        <w:pStyle w:val="ListParagraph"/>
        <w:numPr>
          <w:ilvl w:val="0"/>
          <w:numId w:val="25"/>
        </w:numPr>
        <w:spacing w:before="100" w:beforeAutospacing="1" w:after="0" w:line="240" w:lineRule="auto"/>
        <w:ind w:left="1080"/>
      </w:pPr>
      <w:r w:rsidRPr="008650B7">
        <w:t xml:space="preserve">Leverage </w:t>
      </w:r>
      <w:r w:rsidR="00DE3734">
        <w:t>and develop as needed</w:t>
      </w:r>
      <w:r w:rsidRPr="008650B7">
        <w:t xml:space="preserve"> HIE-sensitive performance measures to reward </w:t>
      </w:r>
      <w:r w:rsidR="00DE3734">
        <w:t>care coordination</w:t>
      </w:r>
      <w:r w:rsidR="00617343">
        <w:t xml:space="preserve">, patient engagement, and </w:t>
      </w:r>
      <w:r w:rsidR="002C550B">
        <w:t>effective</w:t>
      </w:r>
      <w:r w:rsidRPr="008650B7">
        <w:t xml:space="preserve"> information sharin</w:t>
      </w:r>
      <w:r w:rsidR="00377483">
        <w:t>g</w:t>
      </w:r>
      <w:r w:rsidRPr="008650B7">
        <w:t>.</w:t>
      </w:r>
    </w:p>
    <w:p w14:paraId="4F6320CD" w14:textId="77777777" w:rsidR="00920D3C" w:rsidRPr="00920D3C" w:rsidRDefault="00920D3C" w:rsidP="00920D3C">
      <w:pPr>
        <w:spacing w:before="100" w:beforeAutospacing="1" w:after="240"/>
        <w:rPr>
          <w:i/>
          <w:u w:val="single"/>
        </w:rPr>
      </w:pPr>
      <w:r w:rsidRPr="0047473E">
        <w:rPr>
          <w:i/>
          <w:highlight w:val="yellow"/>
          <w:u w:val="single"/>
        </w:rPr>
        <w:t>KEY ITEMS FOR WG DISCUSSION</w:t>
      </w:r>
    </w:p>
    <w:p w14:paraId="28EE2D5E" w14:textId="77777777" w:rsidR="00310A20" w:rsidRDefault="00920D3C" w:rsidP="002C550B">
      <w:pPr>
        <w:pStyle w:val="ListParagraph"/>
        <w:numPr>
          <w:ilvl w:val="0"/>
          <w:numId w:val="39"/>
        </w:numPr>
        <w:ind w:left="1080" w:hanging="180"/>
        <w:rPr>
          <w:bCs/>
        </w:rPr>
      </w:pPr>
      <w:commentRangeStart w:id="7"/>
      <w:r w:rsidRPr="00920D3C">
        <w:rPr>
          <w:b/>
          <w:bCs/>
        </w:rPr>
        <w:t xml:space="preserve">Establish additional bonuses for </w:t>
      </w:r>
      <w:r>
        <w:rPr>
          <w:b/>
          <w:bCs/>
        </w:rPr>
        <w:t xml:space="preserve">performance on </w:t>
      </w:r>
      <w:r w:rsidRPr="00920D3C">
        <w:rPr>
          <w:b/>
          <w:bCs/>
        </w:rPr>
        <w:t>information sharing</w:t>
      </w:r>
      <w:r>
        <w:rPr>
          <w:b/>
          <w:bCs/>
        </w:rPr>
        <w:t xml:space="preserve"> measures</w:t>
      </w:r>
      <w:r w:rsidRPr="00920D3C">
        <w:rPr>
          <w:b/>
          <w:bCs/>
        </w:rPr>
        <w:t>.</w:t>
      </w:r>
      <w:r>
        <w:rPr>
          <w:bCs/>
        </w:rPr>
        <w:t xml:space="preserve"> </w:t>
      </w:r>
      <w:commentRangeEnd w:id="7"/>
      <w:r w:rsidR="002C550B">
        <w:rPr>
          <w:rStyle w:val="CommentReference"/>
        </w:rPr>
        <w:commentReference w:id="7"/>
      </w:r>
      <w:r w:rsidR="00310A20" w:rsidRPr="008650B7">
        <w:rPr>
          <w:bCs/>
        </w:rPr>
        <w:t xml:space="preserve">For future rulemaking, consider a </w:t>
      </w:r>
      <w:r w:rsidR="00794CF3">
        <w:rPr>
          <w:bCs/>
        </w:rPr>
        <w:t>scoring system</w:t>
      </w:r>
      <w:r w:rsidR="00794CF3" w:rsidRPr="00794CF3">
        <w:t xml:space="preserve"> </w:t>
      </w:r>
      <w:r w:rsidR="00794CF3" w:rsidRPr="00794CF3">
        <w:rPr>
          <w:bCs/>
        </w:rPr>
        <w:t>that specifically rewards demonstrated electronic information sharing and patient engagement</w:t>
      </w:r>
      <w:r w:rsidR="00794CF3">
        <w:rPr>
          <w:bCs/>
        </w:rPr>
        <w:t>. CMS could award bonus points to be added to</w:t>
      </w:r>
      <w:r w:rsidR="00310A20" w:rsidRPr="008650B7">
        <w:rPr>
          <w:bCs/>
        </w:rPr>
        <w:t xml:space="preserve"> the composite performance score, as well as within individual MIPS performance categories</w:t>
      </w:r>
      <w:r w:rsidR="00794CF3">
        <w:rPr>
          <w:bCs/>
        </w:rPr>
        <w:t>, for eligible clinicians with marked improvement or achievement in these high-priority areas</w:t>
      </w:r>
      <w:r w:rsidR="00310A20" w:rsidRPr="008650B7">
        <w:rPr>
          <w:bCs/>
        </w:rPr>
        <w:t>.</w:t>
      </w:r>
    </w:p>
    <w:p w14:paraId="544F4145" w14:textId="77777777" w:rsidR="002C550B" w:rsidRDefault="00920D3C" w:rsidP="002C550B">
      <w:pPr>
        <w:pStyle w:val="ListParagraph"/>
        <w:numPr>
          <w:ilvl w:val="0"/>
          <w:numId w:val="39"/>
        </w:numPr>
        <w:ind w:left="1080" w:hanging="180"/>
        <w:rPr>
          <w:bCs/>
        </w:rPr>
      </w:pPr>
      <w:r w:rsidRPr="00920D3C">
        <w:rPr>
          <w:b/>
          <w:bCs/>
        </w:rPr>
        <w:t>Develop effective methods to reward clinicians for improvement.</w:t>
      </w:r>
      <w:r>
        <w:rPr>
          <w:bCs/>
        </w:rPr>
        <w:t xml:space="preserve"> </w:t>
      </w:r>
      <w:r w:rsidR="00310A20">
        <w:rPr>
          <w:bCs/>
        </w:rPr>
        <w:t>For measuring improvement within MIPS in future years</w:t>
      </w:r>
      <w:r w:rsidR="002C550B">
        <w:rPr>
          <w:bCs/>
        </w:rPr>
        <w:t xml:space="preserve"> (see </w:t>
      </w:r>
      <w:r w:rsidR="00310A20">
        <w:rPr>
          <w:bCs/>
        </w:rPr>
        <w:t xml:space="preserve">, </w:t>
      </w:r>
      <w:r w:rsidR="002C550B">
        <w:rPr>
          <w:bCs/>
        </w:rPr>
        <w:t>calculate an improvement score that measures improvement towards the target threshold: % closing the gap = percentage points improved from last measure / gap between threshold target (%) and last year’s percentage score. [example: if the target is 70% and the provider achieved 50% last year and 60% this year, the % closing the gap = 10 / 70-50 = 50% closing the gap]</w:t>
      </w:r>
    </w:p>
    <w:p w14:paraId="7F87D0E6" w14:textId="77777777" w:rsidR="00C37FE7" w:rsidRPr="002C550B" w:rsidRDefault="00C37FE7" w:rsidP="00310A20">
      <w:pPr>
        <w:pStyle w:val="ListParagraph"/>
        <w:spacing w:before="100" w:beforeAutospacing="1" w:after="0" w:line="240" w:lineRule="auto"/>
        <w:ind w:left="1080"/>
        <w:rPr>
          <w:bCs/>
        </w:rPr>
      </w:pPr>
    </w:p>
    <w:p w14:paraId="186609C8" w14:textId="77777777" w:rsidR="00A42C72" w:rsidRDefault="00C225CC" w:rsidP="00915DCB">
      <w:pPr>
        <w:pStyle w:val="ListParagraph"/>
        <w:numPr>
          <w:ilvl w:val="0"/>
          <w:numId w:val="6"/>
        </w:numPr>
        <w:spacing w:before="100" w:beforeAutospacing="1"/>
      </w:pPr>
      <w:r>
        <w:rPr>
          <w:b/>
          <w:bCs/>
        </w:rPr>
        <w:t>Take further advantage of</w:t>
      </w:r>
      <w:r w:rsidRPr="00C225CC">
        <w:rPr>
          <w:b/>
          <w:bCs/>
        </w:rPr>
        <w:t xml:space="preserve"> opportunities under MACRA </w:t>
      </w:r>
      <w:r w:rsidR="003A0A1E" w:rsidRPr="00C225CC">
        <w:rPr>
          <w:b/>
          <w:bCs/>
        </w:rPr>
        <w:t xml:space="preserve">to promote </w:t>
      </w:r>
      <w:r w:rsidR="0070516E">
        <w:rPr>
          <w:b/>
          <w:bCs/>
        </w:rPr>
        <w:t xml:space="preserve">more seamless </w:t>
      </w:r>
      <w:r w:rsidR="00310A20">
        <w:rPr>
          <w:b/>
          <w:bCs/>
        </w:rPr>
        <w:t>measurement and reporting infrastructure</w:t>
      </w:r>
      <w:r w:rsidR="003A0A1E" w:rsidRPr="00C225CC">
        <w:rPr>
          <w:b/>
          <w:bCs/>
        </w:rPr>
        <w:t xml:space="preserve"> </w:t>
      </w:r>
      <w:r w:rsidRPr="00C225CC">
        <w:rPr>
          <w:b/>
          <w:bCs/>
        </w:rPr>
        <w:t>across</w:t>
      </w:r>
      <w:r w:rsidR="003A0A1E" w:rsidRPr="00C225CC">
        <w:rPr>
          <w:b/>
          <w:bCs/>
        </w:rPr>
        <w:t xml:space="preserve"> </w:t>
      </w:r>
      <w:r w:rsidRPr="00C225CC">
        <w:rPr>
          <w:b/>
          <w:bCs/>
        </w:rPr>
        <w:t>stakeholders.</w:t>
      </w:r>
      <w:r w:rsidR="003A0A1E" w:rsidRPr="00E558E3">
        <w:rPr>
          <w:bCs/>
        </w:rPr>
        <w:t xml:space="preserve"> Encourage private payers to construct value-based programs that align with the QPP and to build in incentives to submit electronic clinical data</w:t>
      </w:r>
      <w:r w:rsidR="00752799" w:rsidRPr="00752799">
        <w:t xml:space="preserve"> </w:t>
      </w:r>
      <w:r w:rsidR="00752799" w:rsidRPr="00752799">
        <w:rPr>
          <w:bCs/>
        </w:rPr>
        <w:t>using standards for data capture and format.</w:t>
      </w:r>
      <w:r w:rsidR="00E91E81" w:rsidRPr="00E558E3">
        <w:rPr>
          <w:bCs/>
        </w:rPr>
        <w:t xml:space="preserve"> </w:t>
      </w:r>
      <w:r w:rsidR="00A42C72">
        <w:rPr>
          <w:bCs/>
        </w:rPr>
        <w:br/>
      </w:r>
    </w:p>
    <w:p w14:paraId="1D920BCF" w14:textId="77777777" w:rsidR="00E558E3" w:rsidRPr="00387C09" w:rsidRDefault="00FD5FDF" w:rsidP="00A42C72">
      <w:pPr>
        <w:pStyle w:val="ListParagraph"/>
        <w:numPr>
          <w:ilvl w:val="0"/>
          <w:numId w:val="29"/>
        </w:numPr>
        <w:spacing w:before="100" w:beforeAutospacing="1" w:after="0" w:line="240" w:lineRule="auto"/>
        <w:ind w:left="1080"/>
      </w:pPr>
      <w:r>
        <w:t>Utilize the QPP to f</w:t>
      </w:r>
      <w:r w:rsidR="00E558E3">
        <w:t>acili</w:t>
      </w:r>
      <w:r w:rsidR="00C37FE7">
        <w:t>tate greater partnership among</w:t>
      </w:r>
      <w:r w:rsidR="00E558E3">
        <w:t xml:space="preserve"> providers and public and private payers to reward information sharing, by building a common infrastructure for data submission that can be used by any payer, and simplifying and standardizing quality measures. </w:t>
      </w:r>
    </w:p>
    <w:p w14:paraId="06DBC8FD" w14:textId="77777777" w:rsidR="0047473E" w:rsidRDefault="00E558E3" w:rsidP="0047473E">
      <w:pPr>
        <w:pStyle w:val="ListParagraph"/>
        <w:numPr>
          <w:ilvl w:val="0"/>
          <w:numId w:val="29"/>
        </w:numPr>
        <w:spacing w:before="100" w:beforeAutospacing="1" w:after="0" w:line="240" w:lineRule="auto"/>
        <w:ind w:left="1080"/>
      </w:pPr>
      <w:r w:rsidRPr="00387C09">
        <w:lastRenderedPageBreak/>
        <w:t>Create a pathway for providers to move toward wholly electronic information collection, one that allows for equivalent information to be widely distributed to all qualified entities that request it.</w:t>
      </w:r>
    </w:p>
    <w:p w14:paraId="38BA3BA5" w14:textId="77777777" w:rsidR="0047473E" w:rsidRDefault="00E558E3" w:rsidP="0047473E">
      <w:pPr>
        <w:pStyle w:val="ListParagraph"/>
        <w:numPr>
          <w:ilvl w:val="0"/>
          <w:numId w:val="29"/>
        </w:numPr>
        <w:spacing w:before="100" w:beforeAutospacing="1" w:after="0" w:line="240" w:lineRule="auto"/>
        <w:ind w:left="1080"/>
      </w:pPr>
      <w:r>
        <w:t>Make sure the most important information for Quality Measurement and Improvement is submitted to QCDRs, even if this is not imported electronically. Focus on the information first, and perfect the process over time.</w:t>
      </w:r>
      <w:r w:rsidR="0047473E">
        <w:t xml:space="preserve"> </w:t>
      </w:r>
    </w:p>
    <w:p w14:paraId="5B8F0973" w14:textId="77777777" w:rsidR="00E558E3" w:rsidRDefault="0047473E" w:rsidP="0047473E">
      <w:pPr>
        <w:pStyle w:val="ListParagraph"/>
        <w:numPr>
          <w:ilvl w:val="0"/>
          <w:numId w:val="29"/>
        </w:numPr>
        <w:spacing w:before="100" w:beforeAutospacing="1" w:after="0" w:line="240" w:lineRule="auto"/>
        <w:ind w:left="1080"/>
      </w:pPr>
      <w:r w:rsidRPr="0047473E">
        <w:t>Normalize methods across domains and be clear what certified capability needs to be present</w:t>
      </w:r>
    </w:p>
    <w:p w14:paraId="196A58D2" w14:textId="77777777" w:rsidR="0047473E" w:rsidRPr="00920D3C" w:rsidRDefault="0047473E" w:rsidP="0047473E">
      <w:pPr>
        <w:spacing w:before="100" w:beforeAutospacing="1" w:after="240"/>
        <w:rPr>
          <w:i/>
          <w:u w:val="single"/>
        </w:rPr>
      </w:pPr>
      <w:r w:rsidRPr="0047473E">
        <w:rPr>
          <w:i/>
          <w:highlight w:val="yellow"/>
          <w:u w:val="single"/>
        </w:rPr>
        <w:t>KEY ITEMS FOR WG DISCUSSION</w:t>
      </w:r>
    </w:p>
    <w:p w14:paraId="1FDE342D" w14:textId="77777777" w:rsidR="00155D64" w:rsidRDefault="0047473E" w:rsidP="0047473E">
      <w:pPr>
        <w:pStyle w:val="ListParagraph"/>
        <w:numPr>
          <w:ilvl w:val="0"/>
          <w:numId w:val="37"/>
        </w:numPr>
        <w:ind w:left="1080" w:hanging="180"/>
        <w:rPr>
          <w:bCs/>
        </w:rPr>
      </w:pPr>
      <w:r w:rsidRPr="0047473E">
        <w:rPr>
          <w:b/>
          <w:bCs/>
        </w:rPr>
        <w:t>Increase bonuses for electronic reporting.</w:t>
      </w:r>
      <w:r>
        <w:rPr>
          <w:bCs/>
        </w:rPr>
        <w:t xml:space="preserve"> </w:t>
      </w:r>
      <w:r w:rsidR="00155D64" w:rsidRPr="00155D64">
        <w:rPr>
          <w:bCs/>
        </w:rPr>
        <w:t xml:space="preserve">Increase the bonus </w:t>
      </w:r>
      <w:r w:rsidR="00561E08" w:rsidRPr="00561E08">
        <w:rPr>
          <w:bCs/>
        </w:rPr>
        <w:t>from 5% to 10%</w:t>
      </w:r>
      <w:r w:rsidR="00561E08">
        <w:rPr>
          <w:bCs/>
        </w:rPr>
        <w:t xml:space="preserve"> </w:t>
      </w:r>
      <w:r w:rsidR="00155D64" w:rsidRPr="00155D64">
        <w:rPr>
          <w:bCs/>
        </w:rPr>
        <w:t>for electronic reporting of quality measurement data derived from use of CEHRT. This percentage could be modified to a requirement rather than a bonus structure in future years if the percentage of meaningful users of CEHRT reaches 75% and the ACI category weighting is reduced.</w:t>
      </w:r>
      <w:r w:rsidR="00155D64">
        <w:rPr>
          <w:bCs/>
        </w:rPr>
        <w:t xml:space="preserve"> </w:t>
      </w:r>
      <w:r w:rsidR="00155D64" w:rsidRPr="00155D64">
        <w:rPr>
          <w:bCs/>
        </w:rPr>
        <w:t>(</w:t>
      </w:r>
      <w:hyperlink r:id="rId14" w:history="1">
        <w:r w:rsidR="00155D64" w:rsidRPr="008964F9">
          <w:rPr>
            <w:rStyle w:val="Hyperlink"/>
            <w:bCs/>
          </w:rPr>
          <w:t>FR 28255-56</w:t>
        </w:r>
      </w:hyperlink>
      <w:r w:rsidR="00155D64" w:rsidRPr="00155D64">
        <w:rPr>
          <w:bCs/>
        </w:rPr>
        <w:t>)</w:t>
      </w:r>
    </w:p>
    <w:p w14:paraId="2A846B8E" w14:textId="77777777" w:rsidR="0047473E" w:rsidRDefault="0047473E" w:rsidP="0047473E">
      <w:pPr>
        <w:pStyle w:val="ListParagraph"/>
        <w:numPr>
          <w:ilvl w:val="0"/>
          <w:numId w:val="37"/>
        </w:numPr>
        <w:ind w:left="1080" w:hanging="180"/>
        <w:rPr>
          <w:bCs/>
        </w:rPr>
      </w:pPr>
      <w:r w:rsidRPr="0047473E">
        <w:rPr>
          <w:b/>
          <w:bCs/>
        </w:rPr>
        <w:t>Clarify where certified technology is required for third party data submission methods.</w:t>
      </w:r>
      <w:r>
        <w:rPr>
          <w:bCs/>
        </w:rPr>
        <w:t xml:space="preserve"> </w:t>
      </w:r>
      <w:r w:rsidR="009811BD">
        <w:rPr>
          <w:bCs/>
        </w:rPr>
        <w:t xml:space="preserve">CMS should clarify </w:t>
      </w:r>
      <w:r w:rsidRPr="0047473E">
        <w:rPr>
          <w:bCs/>
        </w:rPr>
        <w:t xml:space="preserve">what constitutes a submission method that is required to be CEHRT and what </w:t>
      </w:r>
      <w:r w:rsidR="009811BD">
        <w:rPr>
          <w:bCs/>
        </w:rPr>
        <w:t xml:space="preserve">does not </w:t>
      </w:r>
      <w:r w:rsidRPr="0047473E">
        <w:rPr>
          <w:bCs/>
        </w:rPr>
        <w:t>need to be – QCDRs versus Qualified Registry methods. Affirm the EC’s prior choice and do not put new barriers on the submission methods that did not previously exist to serve their role but make it clear what that is.</w:t>
      </w:r>
    </w:p>
    <w:p w14:paraId="351EEBD2" w14:textId="77777777" w:rsidR="00155D64" w:rsidRDefault="0047473E" w:rsidP="0047473E">
      <w:pPr>
        <w:pStyle w:val="ListParagraph"/>
        <w:numPr>
          <w:ilvl w:val="0"/>
          <w:numId w:val="37"/>
        </w:numPr>
        <w:ind w:left="1080" w:hanging="180"/>
        <w:rPr>
          <w:bCs/>
        </w:rPr>
      </w:pPr>
      <w:r w:rsidRPr="0047473E">
        <w:rPr>
          <w:b/>
          <w:bCs/>
        </w:rPr>
        <w:t>Increase bonus points for using eCQMs.</w:t>
      </w:r>
      <w:r>
        <w:rPr>
          <w:bCs/>
        </w:rPr>
        <w:t xml:space="preserve"> </w:t>
      </w:r>
      <w:r w:rsidR="00155D64" w:rsidRPr="00155D64">
        <w:rPr>
          <w:bCs/>
        </w:rPr>
        <w:t xml:space="preserve">Increase bonus from 1 to 2 points for providers using an eCQM for the required cross-cutting measure and outcome measure, or high-priority reporting of patient safety, efficiency, patient experience, and care coordination measures, as these are deemed most critical to patient care and electronically reporting. </w:t>
      </w:r>
      <w:r w:rsidR="00F75291">
        <w:rPr>
          <w:bCs/>
        </w:rPr>
        <w:t xml:space="preserve"> (</w:t>
      </w:r>
      <w:hyperlink r:id="rId15" w:history="1">
        <w:r w:rsidR="00F75291" w:rsidRPr="00F75291">
          <w:rPr>
            <w:rStyle w:val="Hyperlink"/>
            <w:bCs/>
          </w:rPr>
          <w:t>FR 28255</w:t>
        </w:r>
      </w:hyperlink>
      <w:r w:rsidR="00F75291">
        <w:rPr>
          <w:bCs/>
        </w:rPr>
        <w:t>)</w:t>
      </w:r>
    </w:p>
    <w:p w14:paraId="7E49AAD5" w14:textId="77777777" w:rsidR="00F75291" w:rsidRDefault="0047473E" w:rsidP="0047473E">
      <w:pPr>
        <w:pStyle w:val="ListParagraph"/>
        <w:numPr>
          <w:ilvl w:val="0"/>
          <w:numId w:val="37"/>
        </w:numPr>
        <w:ind w:left="1080" w:hanging="180"/>
        <w:rPr>
          <w:bCs/>
        </w:rPr>
      </w:pPr>
      <w:r w:rsidRPr="0047473E">
        <w:rPr>
          <w:b/>
          <w:bCs/>
        </w:rPr>
        <w:t xml:space="preserve">Incentivize eligible clinicians to align measures with private </w:t>
      </w:r>
      <w:r>
        <w:rPr>
          <w:b/>
          <w:bCs/>
        </w:rPr>
        <w:t>payers</w:t>
      </w:r>
      <w:r w:rsidRPr="0047473E">
        <w:rPr>
          <w:b/>
          <w:bCs/>
        </w:rPr>
        <w:t>.</w:t>
      </w:r>
      <w:r>
        <w:rPr>
          <w:bCs/>
        </w:rPr>
        <w:t xml:space="preserve"> </w:t>
      </w:r>
      <w:r w:rsidR="00F75291">
        <w:rPr>
          <w:bCs/>
        </w:rPr>
        <w:t xml:space="preserve">Establish a process to incentivize clinicians to choose measures that are aligned with those required by private value based purchasing contracts. Such an option could reinforce efforts to reduce burden for providers and encourage measure and reporting alignment across payers </w:t>
      </w:r>
      <w:r w:rsidR="00F75291" w:rsidRPr="00BD6E51">
        <w:rPr>
          <w:bCs/>
        </w:rPr>
        <w:t>(</w:t>
      </w:r>
      <w:hyperlink r:id="rId16" w:history="1">
        <w:r w:rsidR="00F75291" w:rsidRPr="00BD6E51">
          <w:rPr>
            <w:rStyle w:val="Hyperlink"/>
            <w:bCs/>
          </w:rPr>
          <w:t>FR 28185</w:t>
        </w:r>
      </w:hyperlink>
      <w:r w:rsidR="00F75291" w:rsidRPr="00BD6E51">
        <w:rPr>
          <w:bCs/>
        </w:rPr>
        <w:t>).</w:t>
      </w:r>
    </w:p>
    <w:p w14:paraId="6B2B9B85" w14:textId="77777777" w:rsidR="0047473E" w:rsidRDefault="0047473E" w:rsidP="0047473E">
      <w:pPr>
        <w:pStyle w:val="ListParagraph"/>
        <w:numPr>
          <w:ilvl w:val="0"/>
          <w:numId w:val="37"/>
        </w:numPr>
        <w:ind w:left="1080" w:hanging="180"/>
        <w:rPr>
          <w:bCs/>
        </w:rPr>
      </w:pPr>
      <w:r w:rsidRPr="0047473E">
        <w:rPr>
          <w:b/>
          <w:bCs/>
        </w:rPr>
        <w:t xml:space="preserve">Clarify links to CMS </w:t>
      </w:r>
      <w:r>
        <w:rPr>
          <w:b/>
          <w:bCs/>
        </w:rPr>
        <w:t>m</w:t>
      </w:r>
      <w:r w:rsidRPr="0047473E">
        <w:rPr>
          <w:b/>
          <w:bCs/>
        </w:rPr>
        <w:t xml:space="preserve">easure </w:t>
      </w:r>
      <w:r>
        <w:rPr>
          <w:b/>
          <w:bCs/>
        </w:rPr>
        <w:t>d</w:t>
      </w:r>
      <w:r w:rsidRPr="0047473E">
        <w:rPr>
          <w:b/>
          <w:bCs/>
        </w:rPr>
        <w:t xml:space="preserve">evelopment </w:t>
      </w:r>
      <w:r>
        <w:rPr>
          <w:b/>
          <w:bCs/>
        </w:rPr>
        <w:t>initiatives</w:t>
      </w:r>
      <w:r w:rsidRPr="0047473E">
        <w:rPr>
          <w:b/>
          <w:bCs/>
        </w:rPr>
        <w:t>.</w:t>
      </w:r>
      <w:r>
        <w:rPr>
          <w:bCs/>
        </w:rPr>
        <w:t xml:space="preserve"> </w:t>
      </w:r>
      <w:r w:rsidR="00F75291">
        <w:rPr>
          <w:bCs/>
        </w:rPr>
        <w:t xml:space="preserve">Directly reference </w:t>
      </w:r>
      <w:r w:rsidR="00F75291" w:rsidRPr="00862E4E">
        <w:rPr>
          <w:bCs/>
        </w:rPr>
        <w:t>language from the CMS Quality Measure Development Plan with</w:t>
      </w:r>
      <w:r w:rsidR="00F75291">
        <w:rPr>
          <w:bCs/>
        </w:rPr>
        <w:t xml:space="preserve">in final rule preamble language </w:t>
      </w:r>
      <w:r w:rsidR="00F75291" w:rsidRPr="00862E4E">
        <w:rPr>
          <w:bCs/>
        </w:rPr>
        <w:t xml:space="preserve">to demonstrate </w:t>
      </w:r>
      <w:r w:rsidR="00F75291">
        <w:rPr>
          <w:bCs/>
        </w:rPr>
        <w:t>the breadth of changes CMS is undertaking to es</w:t>
      </w:r>
      <w:r w:rsidR="00F75291" w:rsidRPr="00862E4E">
        <w:rPr>
          <w:bCs/>
        </w:rPr>
        <w:t>tablish collaborative alignment between public and private payers.</w:t>
      </w:r>
    </w:p>
    <w:p w14:paraId="02FA3E1F" w14:textId="77777777" w:rsidR="00220752" w:rsidRPr="00220752" w:rsidRDefault="00A53FA7" w:rsidP="00220752">
      <w:pPr>
        <w:pStyle w:val="ListParagraph"/>
        <w:numPr>
          <w:ilvl w:val="0"/>
          <w:numId w:val="37"/>
        </w:numPr>
        <w:ind w:left="1080" w:hanging="180"/>
        <w:rPr>
          <w:bCs/>
        </w:rPr>
      </w:pPr>
      <w:r w:rsidRPr="00A53FA7">
        <w:rPr>
          <w:b/>
          <w:bCs/>
        </w:rPr>
        <w:t>Allow sufficient time for developers to implement any new electronic clinical quality measures.</w:t>
      </w:r>
      <w:r>
        <w:rPr>
          <w:bCs/>
        </w:rPr>
        <w:t xml:space="preserve"> B</w:t>
      </w:r>
      <w:r w:rsidR="00220752" w:rsidRPr="00220752">
        <w:rPr>
          <w:bCs/>
        </w:rPr>
        <w:t xml:space="preserve">ased on the regulatory timeline for the Final Rule each year (by Nov. 1st), if new electronic clinical quality measures or other QPP requirements that require implementation in HIT are introduced, CMS must allow at least 18 months between the announcement of the required functionality  and the expected implementation date. </w:t>
      </w:r>
    </w:p>
    <w:p w14:paraId="552DE807" w14:textId="77777777" w:rsidR="00220752" w:rsidRDefault="00220752" w:rsidP="00220752">
      <w:pPr>
        <w:pStyle w:val="ListParagraph"/>
        <w:numPr>
          <w:ilvl w:val="0"/>
          <w:numId w:val="37"/>
        </w:numPr>
        <w:ind w:left="1080" w:hanging="180"/>
        <w:rPr>
          <w:bCs/>
        </w:rPr>
      </w:pPr>
      <w:commentRangeStart w:id="8"/>
      <w:r w:rsidRPr="00220752">
        <w:rPr>
          <w:b/>
          <w:bCs/>
        </w:rPr>
        <w:t>Explore ways to take advantage of data sources that aggregate data across payers.</w:t>
      </w:r>
      <w:r>
        <w:rPr>
          <w:bCs/>
        </w:rPr>
        <w:t xml:space="preserve"> </w:t>
      </w:r>
      <w:commentRangeEnd w:id="8"/>
      <w:r>
        <w:rPr>
          <w:rStyle w:val="CommentReference"/>
        </w:rPr>
        <w:commentReference w:id="8"/>
      </w:r>
      <w:r w:rsidR="00C37FE7" w:rsidRPr="0047473E">
        <w:rPr>
          <w:bCs/>
        </w:rPr>
        <w:t xml:space="preserve">As part of measuring performance improvement over time, CMS could consider </w:t>
      </w:r>
      <w:r w:rsidR="002638DB" w:rsidRPr="0047473E">
        <w:rPr>
          <w:bCs/>
        </w:rPr>
        <w:t xml:space="preserve">taking advantage of </w:t>
      </w:r>
      <w:r w:rsidR="00C37FE7" w:rsidRPr="0047473E">
        <w:rPr>
          <w:bCs/>
        </w:rPr>
        <w:t>more comprehensive data</w:t>
      </w:r>
      <w:r w:rsidR="002638DB" w:rsidRPr="0047473E">
        <w:rPr>
          <w:bCs/>
        </w:rPr>
        <w:t xml:space="preserve"> available through all-payer claims databases to modify</w:t>
      </w:r>
      <w:r w:rsidR="00C37FE7" w:rsidRPr="0047473E">
        <w:rPr>
          <w:bCs/>
        </w:rPr>
        <w:t xml:space="preserve"> its algorithms used to calculate the resource use, advancing care information, and clinical practice improvement activity category scores to include the use of clinical quality data tied to process improvement measures, such as clinical decision supports.</w:t>
      </w:r>
    </w:p>
    <w:p w14:paraId="5D2B3A4C" w14:textId="77777777" w:rsidR="00220752" w:rsidRDefault="00220752" w:rsidP="00220752">
      <w:pPr>
        <w:pStyle w:val="ListParagraph"/>
        <w:numPr>
          <w:ilvl w:val="0"/>
          <w:numId w:val="37"/>
        </w:numPr>
        <w:ind w:left="1080" w:hanging="180"/>
        <w:rPr>
          <w:bCs/>
        </w:rPr>
      </w:pPr>
      <w:commentRangeStart w:id="9"/>
      <w:r w:rsidRPr="00220752">
        <w:rPr>
          <w:b/>
          <w:bCs/>
        </w:rPr>
        <w:t>Explore use of cross-cutting data in future scoring methods.</w:t>
      </w:r>
      <w:r>
        <w:rPr>
          <w:bCs/>
        </w:rPr>
        <w:t xml:space="preserve"> </w:t>
      </w:r>
      <w:commentRangeEnd w:id="9"/>
      <w:r>
        <w:rPr>
          <w:rStyle w:val="CommentReference"/>
        </w:rPr>
        <w:commentReference w:id="9"/>
      </w:r>
      <w:r w:rsidR="00C37FE7" w:rsidRPr="00220752">
        <w:rPr>
          <w:bCs/>
        </w:rPr>
        <w:t>A</w:t>
      </w:r>
      <w:r w:rsidR="002638DB" w:rsidRPr="00220752">
        <w:rPr>
          <w:bCs/>
        </w:rPr>
        <w:t>dditionally,</w:t>
      </w:r>
      <w:r w:rsidR="00C37FE7" w:rsidRPr="00220752">
        <w:rPr>
          <w:bCs/>
        </w:rPr>
        <w:t xml:space="preserve"> CMS could incorporate cross cutting use of clinical quality data within the resource use, advancing care information, and clinical practice improvement activity categories by requiring continuous quality improvement protocols to demonstrate both appropriate resource use and concurrent quality and personalized care plans. (</w:t>
      </w:r>
      <w:hyperlink r:id="rId17" w:anchor="p-545" w:history="1">
        <w:r w:rsidR="00C37FE7" w:rsidRPr="00220752">
          <w:rPr>
            <w:rStyle w:val="Hyperlink"/>
            <w:bCs/>
          </w:rPr>
          <w:t>FR 28209</w:t>
        </w:r>
      </w:hyperlink>
      <w:r w:rsidR="00C37FE7" w:rsidRPr="00220752">
        <w:rPr>
          <w:bCs/>
        </w:rPr>
        <w:t xml:space="preserve"> – future modifications)</w:t>
      </w:r>
    </w:p>
    <w:p w14:paraId="5E6859B6" w14:textId="77777777" w:rsidR="00220752" w:rsidRPr="00220752" w:rsidRDefault="00220752" w:rsidP="00220752">
      <w:pPr>
        <w:ind w:left="900"/>
        <w:rPr>
          <w:bCs/>
        </w:rPr>
      </w:pPr>
    </w:p>
    <w:p w14:paraId="64468EBB" w14:textId="77777777" w:rsidR="002C550B" w:rsidRDefault="002C550B">
      <w:pPr>
        <w:spacing w:after="200" w:line="276" w:lineRule="auto"/>
        <w:rPr>
          <w:bCs/>
        </w:rPr>
      </w:pPr>
      <w:r>
        <w:rPr>
          <w:bCs/>
        </w:rPr>
        <w:br w:type="page"/>
      </w:r>
    </w:p>
    <w:p w14:paraId="01DE8031" w14:textId="77777777" w:rsidR="00613365" w:rsidRDefault="00613365">
      <w:pPr>
        <w:spacing w:after="200" w:line="276" w:lineRule="auto"/>
      </w:pPr>
    </w:p>
    <w:tbl>
      <w:tblPr>
        <w:tblStyle w:val="GridTable1Light1"/>
        <w:tblW w:w="0" w:type="auto"/>
        <w:tblLook w:val="04A0" w:firstRow="1" w:lastRow="0" w:firstColumn="1" w:lastColumn="0" w:noHBand="0" w:noVBand="1"/>
      </w:tblPr>
      <w:tblGrid>
        <w:gridCol w:w="1620"/>
        <w:gridCol w:w="1450"/>
        <w:gridCol w:w="1433"/>
        <w:gridCol w:w="1894"/>
        <w:gridCol w:w="1497"/>
        <w:gridCol w:w="1570"/>
        <w:gridCol w:w="1552"/>
      </w:tblGrid>
      <w:tr w:rsidR="00613365" w14:paraId="0EED1E2B" w14:textId="77777777" w:rsidTr="000908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0" w:type="dxa"/>
          </w:tcPr>
          <w:p w14:paraId="4FE88CA0" w14:textId="77777777" w:rsidR="00613365" w:rsidRDefault="00613365" w:rsidP="00FA670A">
            <w:pPr>
              <w:jc w:val="center"/>
              <w:rPr>
                <w:color w:val="1F497D"/>
              </w:rPr>
            </w:pPr>
            <w:r>
              <w:rPr>
                <w:color w:val="1F497D"/>
              </w:rPr>
              <w:t>Objective</w:t>
            </w:r>
          </w:p>
        </w:tc>
        <w:tc>
          <w:tcPr>
            <w:tcW w:w="1450" w:type="dxa"/>
          </w:tcPr>
          <w:p w14:paraId="2767B224" w14:textId="77777777" w:rsidR="00613365" w:rsidRDefault="00613365" w:rsidP="00FA670A">
            <w:pPr>
              <w:cnfStyle w:val="100000000000" w:firstRow="1" w:lastRow="0" w:firstColumn="0" w:lastColumn="0" w:oddVBand="0" w:evenVBand="0" w:oddHBand="0" w:evenHBand="0" w:firstRowFirstColumn="0" w:firstRowLastColumn="0" w:lastRowFirstColumn="0" w:lastRowLastColumn="0"/>
            </w:pPr>
            <w:r>
              <w:t xml:space="preserve">2017 Base Score </w:t>
            </w:r>
          </w:p>
          <w:p w14:paraId="5029DBA7" w14:textId="77777777" w:rsidR="00613365" w:rsidRDefault="00613365" w:rsidP="00FA670A">
            <w:pPr>
              <w:cnfStyle w:val="100000000000" w:firstRow="1" w:lastRow="0" w:firstColumn="0" w:lastColumn="0" w:oddVBand="0" w:evenVBand="0" w:oddHBand="0" w:evenHBand="0" w:firstRowFirstColumn="0" w:firstRowLastColumn="0" w:lastRowFirstColumn="0" w:lastRowLastColumn="0"/>
            </w:pPr>
            <w:r>
              <w:t>(50 Points)</w:t>
            </w:r>
          </w:p>
        </w:tc>
        <w:tc>
          <w:tcPr>
            <w:tcW w:w="1433" w:type="dxa"/>
          </w:tcPr>
          <w:p w14:paraId="70DC87EE" w14:textId="77777777" w:rsidR="00613365" w:rsidRDefault="00613365" w:rsidP="00FA670A">
            <w:pPr>
              <w:cnfStyle w:val="100000000000" w:firstRow="1" w:lastRow="0" w:firstColumn="0" w:lastColumn="0" w:oddVBand="0" w:evenVBand="0" w:oddHBand="0" w:evenHBand="0" w:firstRowFirstColumn="0" w:firstRowLastColumn="0" w:lastRowFirstColumn="0" w:lastRowLastColumn="0"/>
            </w:pPr>
            <w:r>
              <w:t>2017 Performance Score (80 Points)</w:t>
            </w:r>
          </w:p>
        </w:tc>
        <w:tc>
          <w:tcPr>
            <w:tcW w:w="1894" w:type="dxa"/>
          </w:tcPr>
          <w:p w14:paraId="5757B5BD" w14:textId="77777777" w:rsidR="00613365" w:rsidRDefault="00613365" w:rsidP="00FA670A">
            <w:pPr>
              <w:cnfStyle w:val="100000000000" w:firstRow="1" w:lastRow="0" w:firstColumn="0" w:lastColumn="0" w:oddVBand="0" w:evenVBand="0" w:oddHBand="0" w:evenHBand="0" w:firstRowFirstColumn="0" w:firstRowLastColumn="0" w:lastRowFirstColumn="0" w:lastRowLastColumn="0"/>
            </w:pPr>
            <w:r>
              <w:t>2018 Bonus Point</w:t>
            </w:r>
          </w:p>
          <w:p w14:paraId="5AE3EC4D" w14:textId="77777777" w:rsidR="00613365" w:rsidRDefault="00613365" w:rsidP="00FA670A">
            <w:pPr>
              <w:cnfStyle w:val="100000000000" w:firstRow="1" w:lastRow="0" w:firstColumn="0" w:lastColumn="0" w:oddVBand="0" w:evenVBand="0" w:oddHBand="0" w:evenHBand="0" w:firstRowFirstColumn="0" w:firstRowLastColumn="0" w:lastRowFirstColumn="0" w:lastRowLastColumn="0"/>
            </w:pPr>
            <w:r>
              <w:t>(added to Base + Performance)</w:t>
            </w:r>
          </w:p>
        </w:tc>
        <w:tc>
          <w:tcPr>
            <w:tcW w:w="1497" w:type="dxa"/>
          </w:tcPr>
          <w:p w14:paraId="74ED1B3D" w14:textId="77777777" w:rsidR="00613365" w:rsidRDefault="00613365" w:rsidP="00FA670A">
            <w:pPr>
              <w:cnfStyle w:val="100000000000" w:firstRow="1" w:lastRow="0" w:firstColumn="0" w:lastColumn="0" w:oddVBand="0" w:evenVBand="0" w:oddHBand="0" w:evenHBand="0" w:firstRowFirstColumn="0" w:firstRowLastColumn="0" w:lastRowFirstColumn="0" w:lastRowLastColumn="0"/>
            </w:pPr>
            <w:r>
              <w:t xml:space="preserve">2018 Base Score </w:t>
            </w:r>
          </w:p>
        </w:tc>
        <w:tc>
          <w:tcPr>
            <w:tcW w:w="1570" w:type="dxa"/>
          </w:tcPr>
          <w:p w14:paraId="473AE820" w14:textId="77777777" w:rsidR="00613365" w:rsidRDefault="00613365" w:rsidP="00FA670A">
            <w:pPr>
              <w:cnfStyle w:val="100000000000" w:firstRow="1" w:lastRow="0" w:firstColumn="0" w:lastColumn="0" w:oddVBand="0" w:evenVBand="0" w:oddHBand="0" w:evenHBand="0" w:firstRowFirstColumn="0" w:firstRowLastColumn="0" w:lastRowFirstColumn="0" w:lastRowLastColumn="0"/>
            </w:pPr>
            <w:r>
              <w:t>2018 Performance Score</w:t>
            </w:r>
          </w:p>
        </w:tc>
        <w:tc>
          <w:tcPr>
            <w:tcW w:w="1552" w:type="dxa"/>
          </w:tcPr>
          <w:p w14:paraId="39E7DBEE" w14:textId="77777777" w:rsidR="00613365" w:rsidRDefault="00613365" w:rsidP="00FA670A">
            <w:pPr>
              <w:cnfStyle w:val="100000000000" w:firstRow="1" w:lastRow="0" w:firstColumn="0" w:lastColumn="0" w:oddVBand="0" w:evenVBand="0" w:oddHBand="0" w:evenHBand="0" w:firstRowFirstColumn="0" w:firstRowLastColumn="0" w:lastRowFirstColumn="0" w:lastRowLastColumn="0"/>
            </w:pPr>
            <w:r>
              <w:t>2018 Bonus Point</w:t>
            </w:r>
          </w:p>
        </w:tc>
      </w:tr>
      <w:tr w:rsidR="000908C0" w14:paraId="3573BFC7"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39AB0FE5" w14:textId="77777777" w:rsidR="000908C0" w:rsidRDefault="000908C0" w:rsidP="00FA670A">
            <w:pPr>
              <w:jc w:val="center"/>
              <w:rPr>
                <w:color w:val="1F497D"/>
              </w:rPr>
            </w:pPr>
            <w:r>
              <w:rPr>
                <w:color w:val="1F497D"/>
              </w:rPr>
              <w:t>Use CEHRT</w:t>
            </w:r>
            <w:r>
              <w:rPr>
                <w:color w:val="1F497D"/>
              </w:rPr>
              <w:br/>
              <w:t>2014 Edition or 2015 Edition</w:t>
            </w:r>
          </w:p>
        </w:tc>
        <w:tc>
          <w:tcPr>
            <w:tcW w:w="1450" w:type="dxa"/>
          </w:tcPr>
          <w:p w14:paraId="728D8779" w14:textId="77777777" w:rsidR="000908C0" w:rsidRDefault="000908C0" w:rsidP="00FA670A">
            <w:pPr>
              <w:cnfStyle w:val="000000000000" w:firstRow="0" w:lastRow="0" w:firstColumn="0" w:lastColumn="0" w:oddVBand="0" w:evenVBand="0" w:oddHBand="0" w:evenHBand="0" w:firstRowFirstColumn="0" w:firstRowLastColumn="0" w:lastRowFirstColumn="0" w:lastRowLastColumn="0"/>
            </w:pPr>
            <w:r>
              <w:t>Use either</w:t>
            </w:r>
          </w:p>
        </w:tc>
        <w:tc>
          <w:tcPr>
            <w:tcW w:w="1433" w:type="dxa"/>
          </w:tcPr>
          <w:p w14:paraId="3A933181" w14:textId="77777777" w:rsidR="000908C0" w:rsidRDefault="000908C0" w:rsidP="00FA670A">
            <w:pPr>
              <w:cnfStyle w:val="000000000000" w:firstRow="0" w:lastRow="0" w:firstColumn="0" w:lastColumn="0" w:oddVBand="0" w:evenVBand="0" w:oddHBand="0" w:evenHBand="0" w:firstRowFirstColumn="0" w:firstRowLastColumn="0" w:lastRowFirstColumn="0" w:lastRowLastColumn="0"/>
            </w:pPr>
          </w:p>
        </w:tc>
        <w:tc>
          <w:tcPr>
            <w:tcW w:w="1894" w:type="dxa"/>
          </w:tcPr>
          <w:p w14:paraId="3BDF0824" w14:textId="77777777" w:rsidR="000908C0" w:rsidRDefault="000908C0"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76482497" w14:textId="77777777" w:rsidR="000908C0" w:rsidRDefault="000908C0" w:rsidP="00FA670A">
            <w:pPr>
              <w:jc w:val="center"/>
              <w:cnfStyle w:val="000000000000" w:firstRow="0" w:lastRow="0" w:firstColumn="0" w:lastColumn="0" w:oddVBand="0" w:evenVBand="0" w:oddHBand="0" w:evenHBand="0" w:firstRowFirstColumn="0" w:firstRowLastColumn="0" w:lastRowFirstColumn="0" w:lastRowLastColumn="0"/>
              <w:rPr>
                <w:color w:val="1F497D"/>
              </w:rPr>
            </w:pPr>
            <w:r>
              <w:rPr>
                <w:color w:val="1F497D"/>
              </w:rPr>
              <w:t>2015 Edition</w:t>
            </w:r>
          </w:p>
        </w:tc>
        <w:tc>
          <w:tcPr>
            <w:tcW w:w="1570" w:type="dxa"/>
          </w:tcPr>
          <w:p w14:paraId="48B0BB0D" w14:textId="77777777" w:rsidR="000908C0" w:rsidRDefault="000908C0" w:rsidP="00FA670A">
            <w:pPr>
              <w:cnfStyle w:val="000000000000" w:firstRow="0" w:lastRow="0" w:firstColumn="0" w:lastColumn="0" w:oddVBand="0" w:evenVBand="0" w:oddHBand="0" w:evenHBand="0" w:firstRowFirstColumn="0" w:firstRowLastColumn="0" w:lastRowFirstColumn="0" w:lastRowLastColumn="0"/>
            </w:pPr>
          </w:p>
        </w:tc>
        <w:tc>
          <w:tcPr>
            <w:tcW w:w="1552" w:type="dxa"/>
          </w:tcPr>
          <w:p w14:paraId="3F04C7DA" w14:textId="77777777" w:rsidR="000908C0" w:rsidRDefault="000908C0" w:rsidP="00FA670A">
            <w:pPr>
              <w:cnfStyle w:val="000000000000" w:firstRow="0" w:lastRow="0" w:firstColumn="0" w:lastColumn="0" w:oddVBand="0" w:evenVBand="0" w:oddHBand="0" w:evenHBand="0" w:firstRowFirstColumn="0" w:firstRowLastColumn="0" w:lastRowFirstColumn="0" w:lastRowLastColumn="0"/>
            </w:pPr>
          </w:p>
        </w:tc>
      </w:tr>
      <w:tr w:rsidR="00613365" w14:paraId="0D63085D"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3490F702" w14:textId="77777777" w:rsidR="00613365" w:rsidRDefault="00613365" w:rsidP="00FA670A">
            <w:pPr>
              <w:jc w:val="center"/>
              <w:rPr>
                <w:color w:val="1F497D"/>
              </w:rPr>
            </w:pPr>
            <w:r>
              <w:rPr>
                <w:color w:val="1F497D"/>
              </w:rPr>
              <w:t>Do a security risk analysis or review</w:t>
            </w:r>
          </w:p>
        </w:tc>
        <w:tc>
          <w:tcPr>
            <w:tcW w:w="1450" w:type="dxa"/>
          </w:tcPr>
          <w:p w14:paraId="3860C6AB"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tc>
        <w:tc>
          <w:tcPr>
            <w:tcW w:w="1433" w:type="dxa"/>
          </w:tcPr>
          <w:p w14:paraId="73B257C6"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894" w:type="dxa"/>
          </w:tcPr>
          <w:p w14:paraId="1BDE35FA"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36C972CA" w14:textId="77777777" w:rsidR="00613365"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r>
              <w:rPr>
                <w:color w:val="1F497D"/>
              </w:rPr>
              <w:t>Required</w:t>
            </w:r>
          </w:p>
        </w:tc>
        <w:tc>
          <w:tcPr>
            <w:tcW w:w="1570" w:type="dxa"/>
          </w:tcPr>
          <w:p w14:paraId="69458759"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552" w:type="dxa"/>
          </w:tcPr>
          <w:p w14:paraId="2B66449D"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64C22B4F"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2B449CA5" w14:textId="77777777" w:rsidR="00613365" w:rsidRDefault="00613365" w:rsidP="00FA670A">
            <w:pPr>
              <w:jc w:val="center"/>
              <w:rPr>
                <w:color w:val="1F497D"/>
              </w:rPr>
            </w:pPr>
            <w:r>
              <w:rPr>
                <w:color w:val="1F497D"/>
              </w:rPr>
              <w:t>Attest that they are not info blocking</w:t>
            </w:r>
          </w:p>
        </w:tc>
        <w:tc>
          <w:tcPr>
            <w:tcW w:w="1450" w:type="dxa"/>
          </w:tcPr>
          <w:p w14:paraId="023A3D03"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tc>
        <w:tc>
          <w:tcPr>
            <w:tcW w:w="1433" w:type="dxa"/>
          </w:tcPr>
          <w:p w14:paraId="0F43521E"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894" w:type="dxa"/>
          </w:tcPr>
          <w:p w14:paraId="24B1FAF4"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5AF53A01" w14:textId="77777777" w:rsidR="00613365"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r>
              <w:rPr>
                <w:color w:val="1F497D"/>
              </w:rPr>
              <w:t>Required</w:t>
            </w:r>
          </w:p>
        </w:tc>
        <w:tc>
          <w:tcPr>
            <w:tcW w:w="1570" w:type="dxa"/>
          </w:tcPr>
          <w:p w14:paraId="0CBF30A0"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552" w:type="dxa"/>
          </w:tcPr>
          <w:p w14:paraId="1DB9320F"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1B9846A9"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080468F1" w14:textId="77777777" w:rsidR="00613365" w:rsidRDefault="00613365" w:rsidP="00FA670A">
            <w:pPr>
              <w:jc w:val="center"/>
              <w:rPr>
                <w:color w:val="1F497D"/>
              </w:rPr>
            </w:pPr>
            <w:r>
              <w:rPr>
                <w:color w:val="1F497D"/>
              </w:rPr>
              <w:t>Have the function for implementing CDS including drug-drug, drug-allergy</w:t>
            </w:r>
          </w:p>
        </w:tc>
        <w:tc>
          <w:tcPr>
            <w:tcW w:w="1450" w:type="dxa"/>
          </w:tcPr>
          <w:p w14:paraId="2C3AA6F7"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tc>
        <w:tc>
          <w:tcPr>
            <w:tcW w:w="1433" w:type="dxa"/>
          </w:tcPr>
          <w:p w14:paraId="61241B29"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894" w:type="dxa"/>
          </w:tcPr>
          <w:p w14:paraId="4132CE09"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5516F673" w14:textId="77777777" w:rsidR="00613365"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r>
              <w:rPr>
                <w:color w:val="1F497D"/>
              </w:rPr>
              <w:t>Required</w:t>
            </w:r>
          </w:p>
        </w:tc>
        <w:tc>
          <w:tcPr>
            <w:tcW w:w="1570" w:type="dxa"/>
          </w:tcPr>
          <w:p w14:paraId="6CF9890B"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552" w:type="dxa"/>
          </w:tcPr>
          <w:p w14:paraId="3C0B6115"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176CF455" w14:textId="77777777" w:rsidTr="000908C0">
        <w:trPr>
          <w:trHeight w:val="854"/>
        </w:trPr>
        <w:tc>
          <w:tcPr>
            <w:cnfStyle w:val="001000000000" w:firstRow="0" w:lastRow="0" w:firstColumn="1" w:lastColumn="0" w:oddVBand="0" w:evenVBand="0" w:oddHBand="0" w:evenHBand="0" w:firstRowFirstColumn="0" w:firstRowLastColumn="0" w:lastRowFirstColumn="0" w:lastRowLastColumn="0"/>
            <w:tcW w:w="1620" w:type="dxa"/>
          </w:tcPr>
          <w:p w14:paraId="3BDB87AE" w14:textId="77777777" w:rsidR="00613365" w:rsidRDefault="00613365" w:rsidP="00FA670A">
            <w:pPr>
              <w:jc w:val="center"/>
              <w:rPr>
                <w:color w:val="1F497D"/>
              </w:rPr>
            </w:pPr>
            <w:r>
              <w:rPr>
                <w:color w:val="1F497D"/>
              </w:rPr>
              <w:t>Write at least 1 prescription electronically</w:t>
            </w:r>
          </w:p>
        </w:tc>
        <w:tc>
          <w:tcPr>
            <w:tcW w:w="1450" w:type="dxa"/>
          </w:tcPr>
          <w:p w14:paraId="6FF0E038"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tc>
        <w:tc>
          <w:tcPr>
            <w:tcW w:w="1433" w:type="dxa"/>
          </w:tcPr>
          <w:p w14:paraId="06D6C586"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894" w:type="dxa"/>
          </w:tcPr>
          <w:p w14:paraId="78645ED9"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3D979B60"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Required</w:t>
            </w:r>
          </w:p>
        </w:tc>
        <w:tc>
          <w:tcPr>
            <w:tcW w:w="1570" w:type="dxa"/>
          </w:tcPr>
          <w:p w14:paraId="7C30851E"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552" w:type="dxa"/>
          </w:tcPr>
          <w:p w14:paraId="6C6FC888"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28FBED9E"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49E61C26" w14:textId="77777777" w:rsidR="00613365" w:rsidRDefault="00613365" w:rsidP="00FA670A">
            <w:pPr>
              <w:jc w:val="center"/>
              <w:rPr>
                <w:color w:val="1F497D"/>
              </w:rPr>
            </w:pPr>
            <w:r>
              <w:rPr>
                <w:color w:val="1F497D"/>
              </w:rPr>
              <w:t>Have the function for CPOE for medication orders</w:t>
            </w:r>
          </w:p>
        </w:tc>
        <w:tc>
          <w:tcPr>
            <w:tcW w:w="1450" w:type="dxa"/>
          </w:tcPr>
          <w:p w14:paraId="1BD2AB48"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tc>
        <w:tc>
          <w:tcPr>
            <w:tcW w:w="1433" w:type="dxa"/>
          </w:tcPr>
          <w:p w14:paraId="7C01BBF3"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894" w:type="dxa"/>
          </w:tcPr>
          <w:p w14:paraId="69944E77"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7993085D" w14:textId="77777777" w:rsidR="00613365"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r>
              <w:rPr>
                <w:color w:val="1F497D"/>
              </w:rPr>
              <w:t>Required</w:t>
            </w:r>
          </w:p>
        </w:tc>
        <w:tc>
          <w:tcPr>
            <w:tcW w:w="1570" w:type="dxa"/>
          </w:tcPr>
          <w:p w14:paraId="18B4CF86"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552" w:type="dxa"/>
          </w:tcPr>
          <w:p w14:paraId="6B8A0558"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5139B1B5"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63D7888F" w14:textId="77777777" w:rsidR="00613365" w:rsidRDefault="00613365" w:rsidP="00FA670A">
            <w:pPr>
              <w:jc w:val="center"/>
              <w:rPr>
                <w:color w:val="1F497D"/>
              </w:rPr>
            </w:pPr>
            <w:r>
              <w:rPr>
                <w:color w:val="1F497D"/>
              </w:rPr>
              <w:t>Have the function for CPOE for lab orders</w:t>
            </w:r>
          </w:p>
        </w:tc>
        <w:tc>
          <w:tcPr>
            <w:tcW w:w="1450" w:type="dxa"/>
          </w:tcPr>
          <w:p w14:paraId="5E9EBEB3"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tc>
        <w:tc>
          <w:tcPr>
            <w:tcW w:w="1433" w:type="dxa"/>
          </w:tcPr>
          <w:p w14:paraId="0B06B053"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894" w:type="dxa"/>
          </w:tcPr>
          <w:p w14:paraId="1AA704B8"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146CD2E6" w14:textId="77777777" w:rsidR="00613365"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r>
              <w:rPr>
                <w:color w:val="1F497D"/>
              </w:rPr>
              <w:t>Required</w:t>
            </w:r>
          </w:p>
        </w:tc>
        <w:tc>
          <w:tcPr>
            <w:tcW w:w="1570" w:type="dxa"/>
          </w:tcPr>
          <w:p w14:paraId="2DE3830B"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552" w:type="dxa"/>
          </w:tcPr>
          <w:p w14:paraId="0C270D66"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6E4CA701"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2D635AAD" w14:textId="77777777" w:rsidR="00613365" w:rsidRDefault="00613365" w:rsidP="00FA670A">
            <w:pPr>
              <w:jc w:val="center"/>
              <w:rPr>
                <w:color w:val="1F497D"/>
              </w:rPr>
            </w:pPr>
            <w:r>
              <w:rPr>
                <w:color w:val="1F497D"/>
              </w:rPr>
              <w:t>Have the function for CPOE for radiology or diagnostic imaging orders</w:t>
            </w:r>
          </w:p>
        </w:tc>
        <w:tc>
          <w:tcPr>
            <w:tcW w:w="1450" w:type="dxa"/>
          </w:tcPr>
          <w:p w14:paraId="579A643B"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tc>
        <w:tc>
          <w:tcPr>
            <w:tcW w:w="1433" w:type="dxa"/>
          </w:tcPr>
          <w:p w14:paraId="59040CEA"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894" w:type="dxa"/>
          </w:tcPr>
          <w:p w14:paraId="0B7052EA"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6F298FAE" w14:textId="77777777" w:rsidR="00613365"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r>
              <w:rPr>
                <w:color w:val="1F497D"/>
              </w:rPr>
              <w:t>Required</w:t>
            </w:r>
          </w:p>
        </w:tc>
        <w:tc>
          <w:tcPr>
            <w:tcW w:w="1570" w:type="dxa"/>
          </w:tcPr>
          <w:p w14:paraId="2879FAA7"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552" w:type="dxa"/>
          </w:tcPr>
          <w:p w14:paraId="6A9196A2"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0743A9FA"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0DAFCF9F" w14:textId="77777777" w:rsidR="000908C0" w:rsidRDefault="000908C0" w:rsidP="000908C0">
            <w:pPr>
              <w:jc w:val="center"/>
              <w:rPr>
                <w:color w:val="1F497D"/>
                <w:u w:val="single"/>
              </w:rPr>
            </w:pPr>
            <w:r>
              <w:rPr>
                <w:color w:val="1F497D"/>
              </w:rPr>
              <w:t xml:space="preserve">Provide access for at least 1 patient to VDT </w:t>
            </w:r>
            <w:r w:rsidRPr="006B0FFF">
              <w:rPr>
                <w:color w:val="1F497D"/>
                <w:u w:val="single"/>
              </w:rPr>
              <w:t>and API</w:t>
            </w:r>
          </w:p>
          <w:p w14:paraId="2CBCBCC9" w14:textId="77777777" w:rsidR="00613365" w:rsidRDefault="00613365" w:rsidP="00FA670A">
            <w:pPr>
              <w:jc w:val="center"/>
              <w:rPr>
                <w:color w:val="1F497D"/>
              </w:rPr>
            </w:pPr>
          </w:p>
        </w:tc>
        <w:tc>
          <w:tcPr>
            <w:tcW w:w="1450" w:type="dxa"/>
          </w:tcPr>
          <w:p w14:paraId="5FA3436F"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p w14:paraId="155EE00E"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API (optional)</w:t>
            </w:r>
          </w:p>
        </w:tc>
        <w:tc>
          <w:tcPr>
            <w:tcW w:w="1433" w:type="dxa"/>
          </w:tcPr>
          <w:p w14:paraId="73C62DAF"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Provide access to VDT for greater than 1 patient</w:t>
            </w:r>
          </w:p>
          <w:p w14:paraId="14D3800C"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rPr>
                <w:color w:val="1F497D"/>
              </w:rPr>
              <w:t>(10 points)</w:t>
            </w:r>
          </w:p>
        </w:tc>
        <w:tc>
          <w:tcPr>
            <w:tcW w:w="1894" w:type="dxa"/>
          </w:tcPr>
          <w:p w14:paraId="10E40E60"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18082D54" w14:textId="77777777" w:rsidR="00613365" w:rsidRPr="001571CE"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r w:rsidRPr="001571CE">
              <w:rPr>
                <w:color w:val="1F497D"/>
              </w:rPr>
              <w:t>Required</w:t>
            </w:r>
          </w:p>
        </w:tc>
        <w:tc>
          <w:tcPr>
            <w:tcW w:w="1570" w:type="dxa"/>
          </w:tcPr>
          <w:p w14:paraId="0CBFA8B0"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 xml:space="preserve">Provide access to VDT </w:t>
            </w:r>
            <w:r w:rsidRPr="00213C00">
              <w:rPr>
                <w:color w:val="1F497D"/>
                <w:u w:val="single"/>
              </w:rPr>
              <w:t>and API</w:t>
            </w:r>
            <w:r>
              <w:rPr>
                <w:color w:val="1F497D"/>
              </w:rPr>
              <w:t xml:space="preserve"> for greater than 1 patient</w:t>
            </w:r>
          </w:p>
          <w:p w14:paraId="2FB7321E"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rPr>
                <w:color w:val="1F497D"/>
              </w:rPr>
              <w:t>(10 points)</w:t>
            </w:r>
          </w:p>
        </w:tc>
        <w:tc>
          <w:tcPr>
            <w:tcW w:w="1552" w:type="dxa"/>
          </w:tcPr>
          <w:p w14:paraId="220A7BFF"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20B0905B"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49DC821C" w14:textId="77777777" w:rsidR="00613365" w:rsidRDefault="00613365" w:rsidP="00FA670A">
            <w:pPr>
              <w:jc w:val="center"/>
              <w:rPr>
                <w:color w:val="1F497D"/>
              </w:rPr>
            </w:pPr>
            <w:r>
              <w:rPr>
                <w:color w:val="1F497D"/>
              </w:rPr>
              <w:t>Provide patient specific education for at least 1 patient</w:t>
            </w:r>
          </w:p>
        </w:tc>
        <w:tc>
          <w:tcPr>
            <w:tcW w:w="1450" w:type="dxa"/>
          </w:tcPr>
          <w:p w14:paraId="2B783F0B"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tc>
        <w:tc>
          <w:tcPr>
            <w:tcW w:w="1433" w:type="dxa"/>
          </w:tcPr>
          <w:p w14:paraId="3F175ECA"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Provide patient specific education for more than patient</w:t>
            </w:r>
          </w:p>
          <w:p w14:paraId="7E9C4465"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rPr>
                <w:color w:val="1F497D"/>
              </w:rPr>
              <w:t>(10 Points)</w:t>
            </w:r>
          </w:p>
        </w:tc>
        <w:tc>
          <w:tcPr>
            <w:tcW w:w="1894" w:type="dxa"/>
          </w:tcPr>
          <w:p w14:paraId="4BF8CECD"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23226EE8" w14:textId="77777777" w:rsidR="00613365"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r>
              <w:rPr>
                <w:color w:val="1F497D"/>
              </w:rPr>
              <w:t>Required</w:t>
            </w:r>
          </w:p>
        </w:tc>
        <w:tc>
          <w:tcPr>
            <w:tcW w:w="1570" w:type="dxa"/>
          </w:tcPr>
          <w:p w14:paraId="7B058B5A"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Provide patient specific education for more than patient</w:t>
            </w:r>
          </w:p>
          <w:p w14:paraId="1EBFEA11"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rPr>
                <w:color w:val="1F497D"/>
              </w:rPr>
              <w:t>(10 Points)</w:t>
            </w:r>
          </w:p>
        </w:tc>
        <w:tc>
          <w:tcPr>
            <w:tcW w:w="1552" w:type="dxa"/>
          </w:tcPr>
          <w:p w14:paraId="43835715"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1953B34D"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309EB0BA" w14:textId="77777777" w:rsidR="000908C0" w:rsidRDefault="000908C0" w:rsidP="000908C0">
            <w:pPr>
              <w:jc w:val="center"/>
              <w:rPr>
                <w:color w:val="1F497D"/>
              </w:rPr>
            </w:pPr>
            <w:r>
              <w:rPr>
                <w:color w:val="1F497D"/>
              </w:rPr>
              <w:t xml:space="preserve">Ensure at least 1 patient takes action to VD or T </w:t>
            </w:r>
            <w:r w:rsidRPr="006B0FFF">
              <w:rPr>
                <w:color w:val="1F497D"/>
                <w:u w:val="single"/>
              </w:rPr>
              <w:t xml:space="preserve">or to use an API </w:t>
            </w:r>
            <w:r>
              <w:rPr>
                <w:color w:val="1F497D"/>
              </w:rPr>
              <w:t xml:space="preserve">to access their health information </w:t>
            </w:r>
          </w:p>
          <w:p w14:paraId="52EE95DA" w14:textId="77777777" w:rsidR="00613365" w:rsidRDefault="00613365" w:rsidP="00FA670A">
            <w:pPr>
              <w:jc w:val="center"/>
              <w:rPr>
                <w:color w:val="1F497D"/>
              </w:rPr>
            </w:pPr>
          </w:p>
        </w:tc>
        <w:tc>
          <w:tcPr>
            <w:tcW w:w="1450" w:type="dxa"/>
          </w:tcPr>
          <w:p w14:paraId="25F7B493"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p w14:paraId="2AD71FDB" w14:textId="77777777" w:rsidR="000908C0" w:rsidRDefault="000908C0" w:rsidP="00FA670A">
            <w:pPr>
              <w:cnfStyle w:val="000000000000" w:firstRow="0" w:lastRow="0" w:firstColumn="0" w:lastColumn="0" w:oddVBand="0" w:evenVBand="0" w:oddHBand="0" w:evenHBand="0" w:firstRowFirstColumn="0" w:firstRowLastColumn="0" w:lastRowFirstColumn="0" w:lastRowLastColumn="0"/>
            </w:pPr>
            <w:r>
              <w:t>API optional</w:t>
            </w:r>
          </w:p>
        </w:tc>
        <w:tc>
          <w:tcPr>
            <w:tcW w:w="1433" w:type="dxa"/>
          </w:tcPr>
          <w:p w14:paraId="19EDCDBB"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sidRPr="00AF6BBE">
              <w:rPr>
                <w:color w:val="1F497D"/>
              </w:rPr>
              <w:t>More than 1 patient takes action to  download, or transmit their record</w:t>
            </w:r>
          </w:p>
          <w:p w14:paraId="52FA491D" w14:textId="77777777" w:rsidR="00613365" w:rsidRPr="00AF6BBE"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(10 Points)</w:t>
            </w:r>
          </w:p>
        </w:tc>
        <w:tc>
          <w:tcPr>
            <w:tcW w:w="1894" w:type="dxa"/>
          </w:tcPr>
          <w:p w14:paraId="66D3B0A1"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622BFB2F" w14:textId="77777777" w:rsidR="00613365"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r>
              <w:rPr>
                <w:color w:val="1F497D"/>
              </w:rPr>
              <w:t>Required</w:t>
            </w:r>
          </w:p>
        </w:tc>
        <w:tc>
          <w:tcPr>
            <w:tcW w:w="1570" w:type="dxa"/>
          </w:tcPr>
          <w:p w14:paraId="4C502D17"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sidRPr="00AF6BBE">
              <w:rPr>
                <w:color w:val="1F497D"/>
              </w:rPr>
              <w:t>More than 1 patient takes action to view, download, or transmit their record</w:t>
            </w:r>
            <w:r>
              <w:rPr>
                <w:color w:val="1F497D"/>
              </w:rPr>
              <w:t xml:space="preserve"> </w:t>
            </w:r>
            <w:r w:rsidRPr="006B0FFF">
              <w:rPr>
                <w:color w:val="1F497D"/>
                <w:u w:val="single"/>
              </w:rPr>
              <w:t xml:space="preserve">or to use an API </w:t>
            </w:r>
            <w:r>
              <w:rPr>
                <w:color w:val="1F497D"/>
              </w:rPr>
              <w:t>to access their health information</w:t>
            </w:r>
          </w:p>
          <w:p w14:paraId="3ADE9E3A"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rPr>
                <w:color w:val="1F497D"/>
              </w:rPr>
              <w:t>(10 Points)</w:t>
            </w:r>
          </w:p>
        </w:tc>
        <w:tc>
          <w:tcPr>
            <w:tcW w:w="1552" w:type="dxa"/>
          </w:tcPr>
          <w:p w14:paraId="0968ECDE"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27B74DB1" w14:textId="77777777" w:rsidTr="000908C0">
        <w:trPr>
          <w:trHeight w:val="242"/>
        </w:trPr>
        <w:tc>
          <w:tcPr>
            <w:cnfStyle w:val="001000000000" w:firstRow="0" w:lastRow="0" w:firstColumn="1" w:lastColumn="0" w:oddVBand="0" w:evenVBand="0" w:oddHBand="0" w:evenHBand="0" w:firstRowFirstColumn="0" w:firstRowLastColumn="0" w:lastRowFirstColumn="0" w:lastRowLastColumn="0"/>
            <w:tcW w:w="1620" w:type="dxa"/>
          </w:tcPr>
          <w:p w14:paraId="3B1262B8" w14:textId="77777777" w:rsidR="00613365" w:rsidRDefault="00613365" w:rsidP="00FA670A">
            <w:pPr>
              <w:jc w:val="center"/>
              <w:rPr>
                <w:color w:val="1F497D"/>
              </w:rPr>
            </w:pPr>
            <w:r>
              <w:rPr>
                <w:color w:val="1F497D"/>
              </w:rPr>
              <w:t>Send or respond to a secure message for at least 1 patient</w:t>
            </w:r>
          </w:p>
        </w:tc>
        <w:tc>
          <w:tcPr>
            <w:tcW w:w="1450" w:type="dxa"/>
          </w:tcPr>
          <w:p w14:paraId="4B620D33"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tc>
        <w:tc>
          <w:tcPr>
            <w:tcW w:w="1433" w:type="dxa"/>
          </w:tcPr>
          <w:p w14:paraId="0BA14E00"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sidRPr="00AF6BBE">
              <w:rPr>
                <w:color w:val="1F497D"/>
              </w:rPr>
              <w:t>Send or respond to more than 1 secure message</w:t>
            </w:r>
          </w:p>
          <w:p w14:paraId="4639FBC4" w14:textId="77777777" w:rsidR="00613365" w:rsidRPr="00AF6BBE" w:rsidRDefault="00613365" w:rsidP="00FA670A">
            <w:pPr>
              <w:cnfStyle w:val="000000000000" w:firstRow="0" w:lastRow="0" w:firstColumn="0" w:lastColumn="0" w:oddVBand="0" w:evenVBand="0" w:oddHBand="0" w:evenHBand="0" w:firstRowFirstColumn="0" w:firstRowLastColumn="0" w:lastRowFirstColumn="0" w:lastRowLastColumn="0"/>
              <w:rPr>
                <w:color w:val="1F497D"/>
                <w:u w:val="single"/>
              </w:rPr>
            </w:pPr>
            <w:r>
              <w:rPr>
                <w:color w:val="1F497D"/>
              </w:rPr>
              <w:t>(10 points)</w:t>
            </w:r>
          </w:p>
        </w:tc>
        <w:tc>
          <w:tcPr>
            <w:tcW w:w="1894" w:type="dxa"/>
          </w:tcPr>
          <w:p w14:paraId="397C56A9"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72155DAB" w14:textId="77777777" w:rsidR="00613365" w:rsidRPr="00FA1B53" w:rsidRDefault="00613365" w:rsidP="00FA670A">
            <w:pPr>
              <w:jc w:val="center"/>
              <w:cnfStyle w:val="000000000000" w:firstRow="0" w:lastRow="0" w:firstColumn="0" w:lastColumn="0" w:oddVBand="0" w:evenVBand="0" w:oddHBand="0" w:evenHBand="0" w:firstRowFirstColumn="0" w:firstRowLastColumn="0" w:lastRowFirstColumn="0" w:lastRowLastColumn="0"/>
              <w:rPr>
                <w:b/>
                <w:color w:val="1F497D"/>
              </w:rPr>
            </w:pPr>
            <w:r w:rsidRPr="00FA1B53">
              <w:rPr>
                <w:b/>
                <w:color w:val="1F497D"/>
              </w:rPr>
              <w:t>Required</w:t>
            </w:r>
          </w:p>
          <w:p w14:paraId="38B765E1" w14:textId="77777777" w:rsidR="00613365"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p>
        </w:tc>
        <w:tc>
          <w:tcPr>
            <w:tcW w:w="1570" w:type="dxa"/>
          </w:tcPr>
          <w:p w14:paraId="6ECC2CD8"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sidRPr="00AF6BBE">
              <w:rPr>
                <w:color w:val="1F497D"/>
              </w:rPr>
              <w:t>Send or respond to more than 1 secure message</w:t>
            </w:r>
          </w:p>
          <w:p w14:paraId="29E15EF2"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rPr>
                <w:color w:val="1F497D"/>
              </w:rPr>
              <w:t>(10 points)</w:t>
            </w:r>
          </w:p>
        </w:tc>
        <w:tc>
          <w:tcPr>
            <w:tcW w:w="1552" w:type="dxa"/>
          </w:tcPr>
          <w:p w14:paraId="460422C9"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1A314539"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3E2C3C85" w14:textId="77777777" w:rsidR="00613365" w:rsidRDefault="00613365" w:rsidP="00FA670A">
            <w:pPr>
              <w:rPr>
                <w:color w:val="1F497D"/>
              </w:rPr>
            </w:pPr>
            <w:r>
              <w:rPr>
                <w:color w:val="1F497D"/>
              </w:rPr>
              <w:t>Incorporate patient generated health data, or data from a “non-clinical” setting, for at least 1 patient</w:t>
            </w:r>
          </w:p>
        </w:tc>
        <w:tc>
          <w:tcPr>
            <w:tcW w:w="1450" w:type="dxa"/>
          </w:tcPr>
          <w:p w14:paraId="421A7D27"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Optional</w:t>
            </w:r>
          </w:p>
        </w:tc>
        <w:tc>
          <w:tcPr>
            <w:tcW w:w="1433" w:type="dxa"/>
          </w:tcPr>
          <w:p w14:paraId="0D401BE9"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Incorporate patient generated data (or data from a non-clinical setting) for more than 1 patient</w:t>
            </w:r>
          </w:p>
          <w:p w14:paraId="6F7B6BD8" w14:textId="77777777" w:rsidR="00613365" w:rsidRPr="00AF6BBE"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(10 points)</w:t>
            </w:r>
          </w:p>
        </w:tc>
        <w:tc>
          <w:tcPr>
            <w:tcW w:w="1894" w:type="dxa"/>
          </w:tcPr>
          <w:p w14:paraId="6CE53221"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2FC11526" w14:textId="77777777" w:rsidR="00613365"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r>
              <w:rPr>
                <w:color w:val="1F497D"/>
              </w:rPr>
              <w:t>Required</w:t>
            </w:r>
          </w:p>
        </w:tc>
        <w:tc>
          <w:tcPr>
            <w:tcW w:w="1570" w:type="dxa"/>
          </w:tcPr>
          <w:p w14:paraId="1D5521B5"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Incorporate patient generated data (or data from a non-clinical setting) for more than 1 patient</w:t>
            </w:r>
          </w:p>
          <w:p w14:paraId="65FADA7E"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rPr>
                <w:color w:val="1F497D"/>
              </w:rPr>
              <w:t>(10 points)</w:t>
            </w:r>
          </w:p>
        </w:tc>
        <w:tc>
          <w:tcPr>
            <w:tcW w:w="1552" w:type="dxa"/>
          </w:tcPr>
          <w:p w14:paraId="639D0763"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083EA6E0"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6F395087" w14:textId="77777777" w:rsidR="00613365" w:rsidRDefault="00613365" w:rsidP="00FA670A">
            <w:pPr>
              <w:jc w:val="center"/>
              <w:rPr>
                <w:color w:val="1F497D"/>
              </w:rPr>
            </w:pPr>
            <w:r>
              <w:rPr>
                <w:color w:val="1F497D"/>
              </w:rPr>
              <w:t>Send an electronic summary of care document for at least 1 transition of care</w:t>
            </w:r>
          </w:p>
        </w:tc>
        <w:tc>
          <w:tcPr>
            <w:tcW w:w="1450" w:type="dxa"/>
          </w:tcPr>
          <w:p w14:paraId="04D34D6C"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tc>
        <w:tc>
          <w:tcPr>
            <w:tcW w:w="1433" w:type="dxa"/>
          </w:tcPr>
          <w:p w14:paraId="394DDDCF"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sidRPr="00C470F1">
              <w:rPr>
                <w:color w:val="1F497D"/>
              </w:rPr>
              <w:t>Send an electronic summary of care document for more than 1 transition or referral</w:t>
            </w:r>
          </w:p>
          <w:p w14:paraId="7B43232A" w14:textId="77777777" w:rsidR="00613365" w:rsidRPr="00C470F1"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(10 points)</w:t>
            </w:r>
          </w:p>
        </w:tc>
        <w:tc>
          <w:tcPr>
            <w:tcW w:w="1894" w:type="dxa"/>
          </w:tcPr>
          <w:p w14:paraId="59A901B6"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43B37BE8" w14:textId="77777777" w:rsidR="00613365" w:rsidRPr="00FA1B53" w:rsidRDefault="00613365" w:rsidP="00FA670A">
            <w:pPr>
              <w:jc w:val="center"/>
              <w:cnfStyle w:val="000000000000" w:firstRow="0" w:lastRow="0" w:firstColumn="0" w:lastColumn="0" w:oddVBand="0" w:evenVBand="0" w:oddHBand="0" w:evenHBand="0" w:firstRowFirstColumn="0" w:firstRowLastColumn="0" w:lastRowFirstColumn="0" w:lastRowLastColumn="0"/>
              <w:rPr>
                <w:b/>
                <w:color w:val="1F497D"/>
              </w:rPr>
            </w:pPr>
            <w:r w:rsidRPr="00FA1B53">
              <w:rPr>
                <w:b/>
                <w:color w:val="1F497D"/>
              </w:rPr>
              <w:t>Required</w:t>
            </w:r>
          </w:p>
          <w:p w14:paraId="57A5567C" w14:textId="77777777" w:rsidR="00613365"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p>
        </w:tc>
        <w:tc>
          <w:tcPr>
            <w:tcW w:w="1570" w:type="dxa"/>
          </w:tcPr>
          <w:p w14:paraId="7CF3BFC4"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sidRPr="00C470F1">
              <w:rPr>
                <w:color w:val="1F497D"/>
              </w:rPr>
              <w:t>Send an electronic summary of care document for more than 1 transition or referral</w:t>
            </w:r>
          </w:p>
          <w:p w14:paraId="2E10B18C"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rPr>
                <w:color w:val="1F497D"/>
              </w:rPr>
              <w:t>(10 points)</w:t>
            </w:r>
          </w:p>
        </w:tc>
        <w:tc>
          <w:tcPr>
            <w:tcW w:w="1552" w:type="dxa"/>
          </w:tcPr>
          <w:p w14:paraId="51781EB3"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6728D6AF" w14:textId="77777777" w:rsidTr="000908C0">
        <w:trPr>
          <w:trHeight w:val="323"/>
        </w:trPr>
        <w:tc>
          <w:tcPr>
            <w:cnfStyle w:val="001000000000" w:firstRow="0" w:lastRow="0" w:firstColumn="1" w:lastColumn="0" w:oddVBand="0" w:evenVBand="0" w:oddHBand="0" w:evenHBand="0" w:firstRowFirstColumn="0" w:firstRowLastColumn="0" w:lastRowFirstColumn="0" w:lastRowLastColumn="0"/>
            <w:tcW w:w="1620" w:type="dxa"/>
          </w:tcPr>
          <w:p w14:paraId="66949DCA" w14:textId="77777777" w:rsidR="00613365" w:rsidRDefault="00613365" w:rsidP="00FA670A">
            <w:pPr>
              <w:jc w:val="center"/>
              <w:rPr>
                <w:color w:val="1F497D"/>
              </w:rPr>
            </w:pPr>
            <w:r>
              <w:rPr>
                <w:color w:val="1F497D"/>
              </w:rPr>
              <w:t>Receive directly, request and receive, or query and obtain at least 1 electronic summary of care document for a transition of care received</w:t>
            </w:r>
          </w:p>
        </w:tc>
        <w:tc>
          <w:tcPr>
            <w:tcW w:w="1450" w:type="dxa"/>
          </w:tcPr>
          <w:p w14:paraId="6E7633FC"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Optional</w:t>
            </w:r>
          </w:p>
        </w:tc>
        <w:tc>
          <w:tcPr>
            <w:tcW w:w="1433" w:type="dxa"/>
          </w:tcPr>
          <w:p w14:paraId="47B53013"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 xml:space="preserve">Receive, request, or query for a summary of care document for more than 1 transition or referral </w:t>
            </w:r>
          </w:p>
          <w:p w14:paraId="0D02278A" w14:textId="77777777" w:rsidR="00613365" w:rsidRPr="00C470F1"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(10 points)</w:t>
            </w:r>
          </w:p>
        </w:tc>
        <w:tc>
          <w:tcPr>
            <w:tcW w:w="1894" w:type="dxa"/>
          </w:tcPr>
          <w:p w14:paraId="26B39C6C"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5384930E" w14:textId="77777777" w:rsidR="00613365"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r>
              <w:rPr>
                <w:color w:val="1F497D"/>
              </w:rPr>
              <w:t>Required</w:t>
            </w:r>
          </w:p>
        </w:tc>
        <w:tc>
          <w:tcPr>
            <w:tcW w:w="1570" w:type="dxa"/>
          </w:tcPr>
          <w:p w14:paraId="200A664A"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 xml:space="preserve">Receive, request, or query for a summary of care document for more than 1 transition or referral </w:t>
            </w:r>
          </w:p>
          <w:p w14:paraId="4A02F56E"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rPr>
                <w:color w:val="1F497D"/>
              </w:rPr>
              <w:t>(10 points)</w:t>
            </w:r>
          </w:p>
        </w:tc>
        <w:tc>
          <w:tcPr>
            <w:tcW w:w="1552" w:type="dxa"/>
          </w:tcPr>
          <w:p w14:paraId="6E8E60EA"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274BBED2"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24C0E426" w14:textId="77777777" w:rsidR="00613365" w:rsidRDefault="00613365" w:rsidP="00FA670A">
            <w:pPr>
              <w:jc w:val="center"/>
              <w:rPr>
                <w:color w:val="1F497D"/>
              </w:rPr>
            </w:pPr>
            <w:r>
              <w:rPr>
                <w:color w:val="1F497D"/>
              </w:rPr>
              <w:t>Conduct medication reconciliation or clinical information reconciliation for at least 1 transition or referral</w:t>
            </w:r>
          </w:p>
        </w:tc>
        <w:tc>
          <w:tcPr>
            <w:tcW w:w="1450" w:type="dxa"/>
          </w:tcPr>
          <w:p w14:paraId="16FD40DA"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tc>
        <w:tc>
          <w:tcPr>
            <w:tcW w:w="1433" w:type="dxa"/>
          </w:tcPr>
          <w:p w14:paraId="0CADA3C5"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Conduct medication, medication allergy, and problem list reconciliation for more than 1 transition of care or referral or patient never before seen by the provider</w:t>
            </w:r>
          </w:p>
          <w:p w14:paraId="7C70755C"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rPr>
                <w:color w:val="1F497D"/>
              </w:rPr>
              <w:t>(10 points)</w:t>
            </w:r>
          </w:p>
        </w:tc>
        <w:tc>
          <w:tcPr>
            <w:tcW w:w="1894" w:type="dxa"/>
          </w:tcPr>
          <w:p w14:paraId="01533E7D"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497" w:type="dxa"/>
          </w:tcPr>
          <w:p w14:paraId="719102D2" w14:textId="77777777" w:rsidR="00613365" w:rsidRDefault="00613365" w:rsidP="00FA670A">
            <w:pPr>
              <w:jc w:val="center"/>
              <w:cnfStyle w:val="000000000000" w:firstRow="0" w:lastRow="0" w:firstColumn="0" w:lastColumn="0" w:oddVBand="0" w:evenVBand="0" w:oddHBand="0" w:evenHBand="0" w:firstRowFirstColumn="0" w:firstRowLastColumn="0" w:lastRowFirstColumn="0" w:lastRowLastColumn="0"/>
              <w:rPr>
                <w:color w:val="1F497D"/>
              </w:rPr>
            </w:pPr>
            <w:r>
              <w:rPr>
                <w:color w:val="1F497D"/>
              </w:rPr>
              <w:t>Required</w:t>
            </w:r>
          </w:p>
        </w:tc>
        <w:tc>
          <w:tcPr>
            <w:tcW w:w="1570" w:type="dxa"/>
          </w:tcPr>
          <w:p w14:paraId="63262215"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Conduct medication, medication allergy, and problem list reconciliation for more than 1 transition of care or referral or patient never before seen by the provider</w:t>
            </w:r>
          </w:p>
          <w:p w14:paraId="48F6654E"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rPr>
                <w:color w:val="1F497D"/>
              </w:rPr>
              <w:t>(10 points)</w:t>
            </w:r>
          </w:p>
        </w:tc>
        <w:tc>
          <w:tcPr>
            <w:tcW w:w="1552" w:type="dxa"/>
          </w:tcPr>
          <w:p w14:paraId="2F994DD5"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r>
      <w:tr w:rsidR="00613365" w14:paraId="18C822B5" w14:textId="77777777" w:rsidTr="000908C0">
        <w:tc>
          <w:tcPr>
            <w:cnfStyle w:val="001000000000" w:firstRow="0" w:lastRow="0" w:firstColumn="1" w:lastColumn="0" w:oddVBand="0" w:evenVBand="0" w:oddHBand="0" w:evenHBand="0" w:firstRowFirstColumn="0" w:firstRowLastColumn="0" w:lastRowFirstColumn="0" w:lastRowLastColumn="0"/>
            <w:tcW w:w="1620" w:type="dxa"/>
          </w:tcPr>
          <w:p w14:paraId="1FE43AFC" w14:textId="77777777" w:rsidR="00613365" w:rsidRDefault="00613365" w:rsidP="00FA670A">
            <w:pPr>
              <w:jc w:val="center"/>
              <w:rPr>
                <w:color w:val="1F497D"/>
              </w:rPr>
            </w:pPr>
            <w:r>
              <w:rPr>
                <w:color w:val="1F497D"/>
              </w:rPr>
              <w:t>Report on immunizations</w:t>
            </w:r>
          </w:p>
        </w:tc>
        <w:tc>
          <w:tcPr>
            <w:tcW w:w="1450" w:type="dxa"/>
          </w:tcPr>
          <w:p w14:paraId="11B78DF9"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tc>
        <w:tc>
          <w:tcPr>
            <w:tcW w:w="1433" w:type="dxa"/>
          </w:tcPr>
          <w:p w14:paraId="49CE3451"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894" w:type="dxa"/>
          </w:tcPr>
          <w:p w14:paraId="06B9DD5F"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 xml:space="preserve">Active engagement to report data to any public health agency or specialized registry beyond immunization </w:t>
            </w:r>
          </w:p>
          <w:p w14:paraId="236E461A"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Reporting</w:t>
            </w:r>
          </w:p>
          <w:p w14:paraId="58841CF3"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rPr>
                <w:color w:val="1F497D"/>
              </w:rPr>
              <w:t>(1 point)</w:t>
            </w:r>
          </w:p>
        </w:tc>
        <w:tc>
          <w:tcPr>
            <w:tcW w:w="1497" w:type="dxa"/>
          </w:tcPr>
          <w:p w14:paraId="5F577762"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t>Required</w:t>
            </w:r>
          </w:p>
        </w:tc>
        <w:tc>
          <w:tcPr>
            <w:tcW w:w="1570" w:type="dxa"/>
          </w:tcPr>
          <w:p w14:paraId="398BD407"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p>
        </w:tc>
        <w:tc>
          <w:tcPr>
            <w:tcW w:w="1552" w:type="dxa"/>
          </w:tcPr>
          <w:p w14:paraId="4451D9D3"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 xml:space="preserve">Active engagement to report data to any public health agency or specialized registry beyond immunization </w:t>
            </w:r>
          </w:p>
          <w:p w14:paraId="131E3FDC"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rPr>
                <w:color w:val="1F497D"/>
              </w:rPr>
            </w:pPr>
            <w:r>
              <w:rPr>
                <w:color w:val="1F497D"/>
              </w:rPr>
              <w:t>Reporting</w:t>
            </w:r>
          </w:p>
          <w:p w14:paraId="0A8483FC" w14:textId="77777777" w:rsidR="00613365" w:rsidRDefault="00613365" w:rsidP="00FA670A">
            <w:pPr>
              <w:cnfStyle w:val="000000000000" w:firstRow="0" w:lastRow="0" w:firstColumn="0" w:lastColumn="0" w:oddVBand="0" w:evenVBand="0" w:oddHBand="0" w:evenHBand="0" w:firstRowFirstColumn="0" w:firstRowLastColumn="0" w:lastRowFirstColumn="0" w:lastRowLastColumn="0"/>
            </w:pPr>
            <w:r>
              <w:rPr>
                <w:color w:val="1F497D"/>
              </w:rPr>
              <w:t>(1 point)</w:t>
            </w:r>
          </w:p>
        </w:tc>
      </w:tr>
    </w:tbl>
    <w:p w14:paraId="50E82A28" w14:textId="77777777" w:rsidR="00613365" w:rsidRDefault="00613365" w:rsidP="00613365"/>
    <w:p w14:paraId="75A62768" w14:textId="77777777" w:rsidR="00C37FE7" w:rsidRPr="00F75291" w:rsidRDefault="00C37FE7" w:rsidP="002638DB">
      <w:pPr>
        <w:pStyle w:val="ListParagraph"/>
        <w:ind w:left="1800"/>
        <w:rPr>
          <w:bCs/>
        </w:rPr>
      </w:pPr>
    </w:p>
    <w:p w14:paraId="0242A9AF" w14:textId="77777777" w:rsidR="00FA37DC" w:rsidRDefault="00FA37DC" w:rsidP="004200A2">
      <w:pPr>
        <w:pStyle w:val="ListParagraph"/>
        <w:ind w:left="1440"/>
      </w:pPr>
    </w:p>
    <w:sectPr w:rsidR="00FA37DC" w:rsidSect="002638DB">
      <w:headerReference w:type="default" r:id="rId18"/>
      <w:footerReference w:type="default" r:id="rId1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k Savage" w:date="2016-06-17T13:27:00Z" w:initials="MS">
    <w:p w14:paraId="52745D70" w14:textId="77777777" w:rsidR="00220752" w:rsidRPr="002A7842" w:rsidRDefault="006F588C">
      <w:pPr>
        <w:pStyle w:val="CommentText"/>
        <w:rPr>
          <w:b/>
        </w:rPr>
      </w:pPr>
      <w:r>
        <w:rPr>
          <w:rStyle w:val="CommentReference"/>
        </w:rPr>
        <w:annotationRef/>
      </w:r>
      <w:r w:rsidR="00220752">
        <w:rPr>
          <w:b/>
        </w:rPr>
        <w:t>WORKGROUP COMMENTS FOR REVIEW</w:t>
      </w:r>
    </w:p>
    <w:p w14:paraId="55317ABD" w14:textId="77777777" w:rsidR="00220752" w:rsidRDefault="00220752">
      <w:pPr>
        <w:pStyle w:val="CommentText"/>
      </w:pPr>
    </w:p>
    <w:p w14:paraId="663E8876" w14:textId="77777777" w:rsidR="006F588C" w:rsidRDefault="00FC6468">
      <w:pPr>
        <w:pStyle w:val="CommentText"/>
      </w:pPr>
      <w:r w:rsidRPr="00220752">
        <w:rPr>
          <w:b/>
        </w:rPr>
        <w:t xml:space="preserve">MS: </w:t>
      </w:r>
      <w:r w:rsidR="006F588C">
        <w:t>Just confirming that we’re dropping the previous “overarching comments” and “overarching suggestions” sections, which seem to be integrated below with more helpful specificity.  Correct?</w:t>
      </w:r>
    </w:p>
  </w:comment>
  <w:comment w:id="2" w:author="Windows User" w:date="2016-06-17T13:24:00Z" w:initials="WU">
    <w:p w14:paraId="080614FA" w14:textId="77777777" w:rsidR="00220752" w:rsidRDefault="00220752" w:rsidP="00220752">
      <w:pPr>
        <w:pStyle w:val="CommentText"/>
        <w:rPr>
          <w:b/>
        </w:rPr>
      </w:pPr>
      <w:r>
        <w:rPr>
          <w:rStyle w:val="CommentReference"/>
        </w:rPr>
        <w:annotationRef/>
      </w:r>
      <w:r>
        <w:rPr>
          <w:rStyle w:val="CommentReference"/>
        </w:rPr>
        <w:annotationRef/>
      </w:r>
      <w:r>
        <w:rPr>
          <w:b/>
        </w:rPr>
        <w:t>WORKGROUP COMMENTS FOR REVIEW</w:t>
      </w:r>
    </w:p>
    <w:p w14:paraId="6C5F62D4" w14:textId="77777777" w:rsidR="00220752" w:rsidRDefault="00220752">
      <w:pPr>
        <w:pStyle w:val="CommentText"/>
      </w:pPr>
    </w:p>
    <w:p w14:paraId="225F5F12" w14:textId="77777777" w:rsidR="00220752" w:rsidRDefault="00FC6468" w:rsidP="00220752">
      <w:pPr>
        <w:pStyle w:val="CommentText"/>
      </w:pPr>
      <w:r w:rsidRPr="00220752">
        <w:rPr>
          <w:b/>
        </w:rPr>
        <w:t xml:space="preserve">JT: </w:t>
      </w:r>
      <w:r w:rsidR="00220752">
        <w:t>In the additional consideration section II.E.5(g)(8)(a)(i) CMS proposes to exempt hospital-based EPs from the ACI category while reweighting the composite score based upon other categories. In previous sections of this same category outline, CMS proposes “MIPS eligible clinicians will be evaluated under all four of the MIPS performance categories, including the advancing care information performance category.” The text continues to indicate hospital-based EPs in this group, and states they will be included. Here though, CMS is proposing to reweight the category for “certain hospital-based and other MIPS eligible clinicians.” These sections have a little bit of discrepancy as CMS is indicating they will allow for a reweighting for certain hospital-based EPs, and then later indicate the reweighting for what could be interpreted as all hospital-based eligible clinicians. We recommend CMS use the same 90 percent threshold for all the specialty types of hospital-based ECs and non-patient-facing ECs, and reweight all ECs who meet the threshold. Having a clear line to indicate who will be reweighted provides needed guidance to the EC or group of ECs. I suggest we recommend that CMS make it clear that the reweighting would only occur when the hospital-based EC or non-patient-facing EC was reporting individually or in a group of similar ECs. Those ECs who are reporting in a group of patient facing ECs who meet the requirements for this category would not be excluded.</w:t>
      </w:r>
    </w:p>
    <w:p w14:paraId="3FCEF959" w14:textId="77777777" w:rsidR="00220752" w:rsidRDefault="00220752">
      <w:pPr>
        <w:pStyle w:val="CommentText"/>
      </w:pPr>
    </w:p>
  </w:comment>
  <w:comment w:id="3" w:author="Windows User" w:date="2016-06-17T13:21:00Z" w:initials="WU">
    <w:p w14:paraId="0240B3F0" w14:textId="77777777" w:rsidR="009811BD" w:rsidRDefault="009811BD" w:rsidP="009811BD">
      <w:pPr>
        <w:pStyle w:val="CommentText"/>
        <w:rPr>
          <w:b/>
        </w:rPr>
      </w:pPr>
      <w:r>
        <w:rPr>
          <w:rStyle w:val="CommentReference"/>
        </w:rPr>
        <w:annotationRef/>
      </w:r>
      <w:r w:rsidR="00FC6468">
        <w:rPr>
          <w:b/>
        </w:rPr>
        <w:t>WORKGROUP COMMENTS FOR REVIEW</w:t>
      </w:r>
    </w:p>
    <w:p w14:paraId="0743A12F" w14:textId="77777777" w:rsidR="009811BD" w:rsidRDefault="009811BD" w:rsidP="009811BD">
      <w:pPr>
        <w:pStyle w:val="CommentText"/>
        <w:rPr>
          <w:b/>
        </w:rPr>
      </w:pPr>
    </w:p>
    <w:p w14:paraId="488B34E2" w14:textId="77777777" w:rsidR="009811BD" w:rsidRDefault="00FC6468" w:rsidP="009811BD">
      <w:pPr>
        <w:pStyle w:val="CommentText"/>
      </w:pPr>
      <w:r w:rsidRPr="009811BD">
        <w:rPr>
          <w:b/>
        </w:rPr>
        <w:t xml:space="preserve">MS: </w:t>
      </w:r>
      <w:r w:rsidR="009811BD">
        <w:t>I disagree and propose that we delete and remain silent. For example, this undermines the goal of alignment by placing eligible MIPS clinicians on a different track than Medicaid and Medicare EHs.  In turn, that impedes goals such as interoperability, health information exchange, patient engagement and care coordination because (1) the systems are different and (2) important stage 3 criteria such as PGHD, APIs, incorporation of summary of care records with common clinical data set, etc. would not be in place.  The current ACI approach already addresses feasibility and complexity to a significant extent with a base score that only has a minimal threshold, exceptions for first year eligible clinicians and those below a certain patient volume, retention of modified Stage 2 in 2017, etc.</w:t>
      </w:r>
    </w:p>
    <w:p w14:paraId="1F78A467" w14:textId="77777777" w:rsidR="009811BD" w:rsidRDefault="009811BD">
      <w:pPr>
        <w:pStyle w:val="CommentText"/>
      </w:pPr>
    </w:p>
    <w:p w14:paraId="7247B398" w14:textId="77777777" w:rsidR="009811BD" w:rsidRDefault="00FC6468">
      <w:pPr>
        <w:pStyle w:val="CommentText"/>
        <w:rPr>
          <w:bCs/>
        </w:rPr>
      </w:pPr>
      <w:r w:rsidRPr="009811BD">
        <w:rPr>
          <w:b/>
        </w:rPr>
        <w:t>GM:</w:t>
      </w:r>
      <w:r>
        <w:t xml:space="preserve"> </w:t>
      </w:r>
      <w:r w:rsidR="009811BD">
        <w:rPr>
          <w:bCs/>
        </w:rPr>
        <w:t>Would this include not requiring 2015 CEHRT until 2019? If 2015 CEHRT is still required for 2018, even though providers would not have to report on the Stage 3 measures until 2019, it means they would still have to upgrade to and implement 2015 CEHRT, which creates a burden for them. In addition, there may need to be flexibility for providers who begin the reporting year using 2014 CEHRT, but transition to 2015 CEHRT during that reporting year. Could providers choose to report either the modified Stage 2 ACI measures or the Stage 3 measures in this case?</w:t>
      </w:r>
    </w:p>
    <w:p w14:paraId="43C1C68E" w14:textId="77777777" w:rsidR="009811BD" w:rsidRDefault="009811BD">
      <w:pPr>
        <w:pStyle w:val="CommentText"/>
        <w:rPr>
          <w:bCs/>
        </w:rPr>
      </w:pPr>
    </w:p>
    <w:p w14:paraId="7BEB04A2" w14:textId="77777777" w:rsidR="009811BD" w:rsidRDefault="00FC6468" w:rsidP="009811BD">
      <w:pPr>
        <w:pStyle w:val="CommentText"/>
      </w:pPr>
      <w:r w:rsidRPr="009811BD">
        <w:rPr>
          <w:b/>
          <w:bCs/>
        </w:rPr>
        <w:t xml:space="preserve">JT: </w:t>
      </w:r>
      <w:r w:rsidR="009811BD">
        <w:t xml:space="preserve">Be clear as to any policies about assuring an appropriate volume of eCQMs are certified to (a separate RFI ONC and CMS solicited feedback to earlier in the year). Let the vendors be responsive to the demands of their clients based on the practice types served but consider what needs there are to assure availability of measurement. </w:t>
      </w:r>
    </w:p>
    <w:p w14:paraId="021DACE6" w14:textId="77777777" w:rsidR="009811BD" w:rsidRDefault="009811BD">
      <w:pPr>
        <w:pStyle w:val="CommentText"/>
      </w:pPr>
    </w:p>
    <w:p w14:paraId="477E925A" w14:textId="77777777" w:rsidR="009811BD" w:rsidRDefault="00FC6468">
      <w:pPr>
        <w:pStyle w:val="CommentText"/>
      </w:pPr>
      <w:r w:rsidRPr="009811BD">
        <w:rPr>
          <w:b/>
        </w:rPr>
        <w:t xml:space="preserve">PT: </w:t>
      </w:r>
      <w:r>
        <w:t>Are these options the same?</w:t>
      </w:r>
    </w:p>
  </w:comment>
  <w:comment w:id="4" w:author="Windows User" w:date="2016-06-17T13:21:00Z" w:initials="WU">
    <w:p w14:paraId="5DC15346" w14:textId="77777777" w:rsidR="00F91A6E" w:rsidRDefault="00F91A6E" w:rsidP="00F91A6E">
      <w:pPr>
        <w:pStyle w:val="CommentText"/>
        <w:rPr>
          <w:b/>
        </w:rPr>
      </w:pPr>
      <w:r>
        <w:rPr>
          <w:b/>
        </w:rPr>
        <w:t>WORKGROUP COMMENTS FOR CONSIDERATION</w:t>
      </w:r>
    </w:p>
    <w:p w14:paraId="5CA48755" w14:textId="77777777" w:rsidR="00F91A6E" w:rsidRDefault="00F91A6E" w:rsidP="00F91A6E">
      <w:pPr>
        <w:pStyle w:val="CommentText"/>
        <w:rPr>
          <w:b/>
        </w:rPr>
      </w:pPr>
    </w:p>
    <w:p w14:paraId="2EE8BF17" w14:textId="77777777" w:rsidR="00F91A6E" w:rsidRDefault="00F91A6E" w:rsidP="00F91A6E">
      <w:pPr>
        <w:pStyle w:val="CommentText"/>
      </w:pPr>
      <w:r>
        <w:rPr>
          <w:rStyle w:val="CommentReference"/>
        </w:rPr>
        <w:annotationRef/>
      </w:r>
      <w:r w:rsidRPr="009811BD">
        <w:rPr>
          <w:b/>
        </w:rPr>
        <w:t xml:space="preserve">MS: </w:t>
      </w:r>
      <w:r>
        <w:t xml:space="preserve">This is not clear to me.  Is this just a tweak to the CPIA at 81 FR 28581 top?  Or is this some version of the prior draft recommendation to eliminate CPIA and instead allow professional association to do?  If the latter, </w:t>
      </w:r>
      <w:r w:rsidRPr="007352BE">
        <w:t xml:space="preserve">I disagree and propose to delete, thus remaining silent.  Professional associations have much to contribute as well, but this is a public program to accomplish national imperatives.  From a patient perspective, there is much in CPIA we wish were improved—e.g., not just </w:t>
      </w:r>
      <w:r>
        <w:t xml:space="preserve">ask </w:t>
      </w:r>
      <w:r w:rsidRPr="007352BE">
        <w:t xml:space="preserve">whether one performs the activity, but </w:t>
      </w:r>
      <w:r>
        <w:t xml:space="preserve">ask </w:t>
      </w:r>
      <w:r w:rsidRPr="007352BE">
        <w:t>how well</w:t>
      </w:r>
      <w:r>
        <w:t xml:space="preserve"> and/or whether better outcomes</w:t>
      </w:r>
      <w:r w:rsidRPr="007352BE">
        <w:t>—but at least some of the articulated concrete activities stimulate thinking and activity around patient needs and national needs for better interoperability and engagement with patients.  (For example, professional associations did not come up with the patient access and engagement and inclusion of patient goals along with clinical goals in summary care records.)</w:t>
      </w:r>
      <w:r>
        <w:t xml:space="preserve">  The number of CPIAs needed for MIPS is small, and the list is long creating options and flexibility.</w:t>
      </w:r>
    </w:p>
    <w:p w14:paraId="31F7AED2" w14:textId="77777777" w:rsidR="00F91A6E" w:rsidRDefault="00F91A6E" w:rsidP="00F91A6E">
      <w:pPr>
        <w:pStyle w:val="CommentText"/>
      </w:pPr>
    </w:p>
  </w:comment>
  <w:comment w:id="5" w:author="Windows User" w:date="2016-06-17T13:50:00Z" w:initials="WU">
    <w:p w14:paraId="05FA837D" w14:textId="77777777" w:rsidR="002C550B" w:rsidRPr="002A7842" w:rsidRDefault="002C550B">
      <w:pPr>
        <w:pStyle w:val="CommentText"/>
        <w:rPr>
          <w:b/>
        </w:rPr>
      </w:pPr>
      <w:r>
        <w:rPr>
          <w:rStyle w:val="CommentReference"/>
        </w:rPr>
        <w:annotationRef/>
      </w:r>
      <w:r>
        <w:rPr>
          <w:b/>
        </w:rPr>
        <w:t>WORKGROUP COMMENTS FOR CONSIDERATION</w:t>
      </w:r>
    </w:p>
    <w:p w14:paraId="7692F3AD" w14:textId="77777777" w:rsidR="002C550B" w:rsidRDefault="002C550B">
      <w:pPr>
        <w:pStyle w:val="CommentText"/>
      </w:pPr>
    </w:p>
    <w:p w14:paraId="7E9B268F" w14:textId="77777777" w:rsidR="002C550B" w:rsidRDefault="00FC6468" w:rsidP="002C550B">
      <w:pPr>
        <w:pStyle w:val="CommentText"/>
      </w:pPr>
      <w:r w:rsidRPr="002C550B">
        <w:rPr>
          <w:b/>
        </w:rPr>
        <w:t>JT:</w:t>
      </w:r>
      <w:r>
        <w:t xml:space="preserve"> </w:t>
      </w:r>
      <w:r w:rsidR="002C550B">
        <w:t>CMS should consider providing illustrative examples of how to meet CPIA activities and where HIT may play a role – so for example, something as straightforward as participation in CPC+ to something more layered like expanding practice health by offering Telehealth, e-visits, in home visits, etc.  Or for running an anti-coag clinic, having a systematic approach that is HIT enabled for when patients need to be able to have their INR testing done, clinical decision support for dosing changes due to INR result levels, etc</w:t>
      </w:r>
      <w:r>
        <w:t>.</w:t>
      </w:r>
    </w:p>
    <w:p w14:paraId="21233FC0" w14:textId="77777777" w:rsidR="00220752" w:rsidRDefault="00220752" w:rsidP="002C550B">
      <w:pPr>
        <w:pStyle w:val="CommentText"/>
      </w:pPr>
    </w:p>
    <w:p w14:paraId="60516FB5" w14:textId="77777777" w:rsidR="00220752" w:rsidRDefault="00220752" w:rsidP="002C550B">
      <w:pPr>
        <w:pStyle w:val="CommentText"/>
      </w:pPr>
      <w:r>
        <w:t>This may be difficult to do but for the CPIA domain, identifying those activities that may relate back to capabilities that may be present in 2015 Edition CEHRT or that may be supported by HIT of particular kinds to help providers think through if they are feasible for them to engage in now o</w:t>
      </w:r>
      <w:r w:rsidR="00FC6468">
        <w:t>r possibly later in the program.</w:t>
      </w:r>
    </w:p>
    <w:p w14:paraId="2F374D1E" w14:textId="77777777" w:rsidR="002C550B" w:rsidRDefault="002C550B" w:rsidP="002C550B">
      <w:pPr>
        <w:pStyle w:val="CommentText"/>
      </w:pPr>
    </w:p>
    <w:p w14:paraId="779653FB" w14:textId="77777777" w:rsidR="00FE3C52" w:rsidRDefault="00FC6468" w:rsidP="002A7842">
      <w:pPr>
        <w:pStyle w:val="CommentText"/>
        <w:rPr>
          <w:b/>
        </w:rPr>
      </w:pPr>
      <w:r w:rsidRPr="002C550B">
        <w:rPr>
          <w:b/>
        </w:rPr>
        <w:t>PT:</w:t>
      </w:r>
      <w:r>
        <w:rPr>
          <w:b/>
        </w:rPr>
        <w:t xml:space="preserve"> </w:t>
      </w:r>
      <w:r>
        <w:t>Propose removing language. This adds to the rule's complexity.</w:t>
      </w:r>
      <w:r w:rsidRPr="002C550B">
        <w:rPr>
          <w:b/>
        </w:rPr>
        <w:t xml:space="preserve"> </w:t>
      </w:r>
    </w:p>
    <w:p w14:paraId="5D20CD73" w14:textId="77777777" w:rsidR="00FE3C52" w:rsidRDefault="00FE3C52" w:rsidP="002A7842">
      <w:pPr>
        <w:pStyle w:val="CommentText"/>
        <w:rPr>
          <w:b/>
        </w:rPr>
      </w:pPr>
    </w:p>
    <w:p w14:paraId="4E76ABFD" w14:textId="77777777" w:rsidR="00FE3C52" w:rsidRPr="00FE3C52" w:rsidRDefault="00FC6468" w:rsidP="00FE3C52">
      <w:pPr>
        <w:pStyle w:val="CommentText"/>
      </w:pPr>
      <w:r>
        <w:rPr>
          <w:b/>
        </w:rPr>
        <w:t xml:space="preserve">NOTE: </w:t>
      </w:r>
      <w:r>
        <w:t>Original language also proposed giving "high" weighting to all activities utilizing certified health IT and giving high weighting to activities using telehealth.</w:t>
      </w:r>
    </w:p>
    <w:p w14:paraId="39B0E260" w14:textId="77777777" w:rsidR="00FE3C52" w:rsidRDefault="00FE3C52">
      <w:pPr>
        <w:pStyle w:val="CommentText"/>
      </w:pPr>
    </w:p>
  </w:comment>
  <w:comment w:id="6" w:author="Windows User" w:date="2016-06-17T13:21:00Z" w:initials="WU">
    <w:p w14:paraId="51E95211" w14:textId="77777777" w:rsidR="002C550B" w:rsidRDefault="002C550B" w:rsidP="002C550B">
      <w:pPr>
        <w:pStyle w:val="CommentText"/>
        <w:rPr>
          <w:b/>
        </w:rPr>
      </w:pPr>
      <w:r>
        <w:rPr>
          <w:rStyle w:val="CommentReference"/>
        </w:rPr>
        <w:annotationRef/>
      </w:r>
      <w:r>
        <w:rPr>
          <w:b/>
        </w:rPr>
        <w:t>WORKGROUP COMMENTS FOR CONSIDERATION</w:t>
      </w:r>
    </w:p>
    <w:p w14:paraId="7EFE442B" w14:textId="77777777" w:rsidR="002C550B" w:rsidRDefault="002C550B">
      <w:pPr>
        <w:pStyle w:val="CommentText"/>
      </w:pPr>
    </w:p>
    <w:p w14:paraId="7B8A1855" w14:textId="77777777" w:rsidR="002C550B" w:rsidRDefault="00FC6468">
      <w:pPr>
        <w:pStyle w:val="CommentText"/>
      </w:pPr>
      <w:r w:rsidRPr="002C550B">
        <w:rPr>
          <w:b/>
        </w:rPr>
        <w:t>PT:</w:t>
      </w:r>
      <w:r>
        <w:t xml:space="preserve"> Propose deleting, adds additional complexity.</w:t>
      </w:r>
    </w:p>
  </w:comment>
  <w:comment w:id="7" w:author="Windows User" w:date="2016-06-17T13:21:00Z" w:initials="WU">
    <w:p w14:paraId="7BD478AD" w14:textId="77777777" w:rsidR="002C550B" w:rsidRDefault="002C550B" w:rsidP="002C550B">
      <w:pPr>
        <w:pStyle w:val="CommentText"/>
        <w:rPr>
          <w:b/>
        </w:rPr>
      </w:pPr>
      <w:r>
        <w:rPr>
          <w:rStyle w:val="CommentReference"/>
        </w:rPr>
        <w:annotationRef/>
      </w:r>
      <w:r>
        <w:rPr>
          <w:rStyle w:val="CommentReference"/>
        </w:rPr>
        <w:annotationRef/>
      </w:r>
      <w:r>
        <w:rPr>
          <w:b/>
        </w:rPr>
        <w:t>WORKGROUP COMMENTS FOR CONSIDERATION</w:t>
      </w:r>
    </w:p>
    <w:p w14:paraId="2126722C" w14:textId="77777777" w:rsidR="002C550B" w:rsidRDefault="002C550B" w:rsidP="002C550B">
      <w:pPr>
        <w:pStyle w:val="CommentText"/>
        <w:rPr>
          <w:b/>
        </w:rPr>
      </w:pPr>
    </w:p>
    <w:p w14:paraId="5AF6B60F" w14:textId="77777777" w:rsidR="002C550B" w:rsidRDefault="00FC6468" w:rsidP="002C550B">
      <w:pPr>
        <w:pStyle w:val="CommentText"/>
      </w:pPr>
      <w:r w:rsidRPr="002C550B">
        <w:rPr>
          <w:b/>
        </w:rPr>
        <w:t xml:space="preserve">CU: </w:t>
      </w:r>
      <w:r w:rsidR="002C550B">
        <w:t xml:space="preserve">Consider care coordination and patient engagement unless these are treated as process measures necessary to achieve relevant outcomes measures.  The question is does the HIT capability happen as result of establishing measures that depend on these capabilities.  I would argue that the more that the relevant </w:t>
      </w:r>
      <w:r w:rsidR="002C550B">
        <w:rPr>
          <w:noProof/>
        </w:rPr>
        <w:t xml:space="preserve">outcomes </w:t>
      </w:r>
      <w:r w:rsidR="002C550B">
        <w:t xml:space="preserve">measures drive the program, the more capabilities will be developed to help providers achieve them. </w:t>
      </w:r>
    </w:p>
    <w:p w14:paraId="45B34081" w14:textId="77777777" w:rsidR="002C550B" w:rsidRDefault="002C550B">
      <w:pPr>
        <w:pStyle w:val="CommentText"/>
      </w:pPr>
    </w:p>
  </w:comment>
  <w:comment w:id="8" w:author="Windows User" w:date="2016-06-17T13:31:00Z" w:initials="WU">
    <w:p w14:paraId="08BE73A7" w14:textId="77777777" w:rsidR="00220752" w:rsidRDefault="00220752" w:rsidP="00220752">
      <w:pPr>
        <w:pStyle w:val="CommentText"/>
        <w:rPr>
          <w:b/>
        </w:rPr>
      </w:pPr>
      <w:r>
        <w:rPr>
          <w:rStyle w:val="CommentReference"/>
        </w:rPr>
        <w:annotationRef/>
      </w:r>
      <w:r>
        <w:rPr>
          <w:rStyle w:val="CommentReference"/>
        </w:rPr>
        <w:annotationRef/>
      </w:r>
      <w:r>
        <w:rPr>
          <w:rStyle w:val="CommentReference"/>
        </w:rPr>
        <w:annotationRef/>
      </w:r>
      <w:r>
        <w:rPr>
          <w:b/>
        </w:rPr>
        <w:t>WORKGROUP COMMENTS FOR CONSIDERATION</w:t>
      </w:r>
    </w:p>
    <w:p w14:paraId="0D677888" w14:textId="77777777" w:rsidR="00220752" w:rsidRDefault="00220752" w:rsidP="00220752">
      <w:pPr>
        <w:pStyle w:val="CommentText"/>
      </w:pPr>
    </w:p>
    <w:p w14:paraId="5587A8FC" w14:textId="77777777" w:rsidR="00220752" w:rsidRDefault="00FC6468" w:rsidP="00220752">
      <w:pPr>
        <w:pStyle w:val="CommentText"/>
      </w:pPr>
      <w:r>
        <w:t>PT: Consider deleting. Unclear if C</w:t>
      </w:r>
      <w:r w:rsidR="00220752">
        <w:t>MS rely on the stability of these databases?</w:t>
      </w:r>
    </w:p>
    <w:p w14:paraId="506AB27F" w14:textId="77777777" w:rsidR="00220752" w:rsidRDefault="00220752">
      <w:pPr>
        <w:pStyle w:val="CommentText"/>
      </w:pPr>
    </w:p>
  </w:comment>
  <w:comment w:id="9" w:author="Windows User" w:date="2016-06-17T13:32:00Z" w:initials="WU">
    <w:p w14:paraId="284EA202" w14:textId="77777777" w:rsidR="00220752" w:rsidRDefault="00220752" w:rsidP="00220752">
      <w:pPr>
        <w:pStyle w:val="CommentText"/>
        <w:rPr>
          <w:b/>
        </w:rPr>
      </w:pPr>
      <w:r>
        <w:rPr>
          <w:rStyle w:val="CommentReference"/>
        </w:rPr>
        <w:annotationRef/>
      </w:r>
      <w:r>
        <w:rPr>
          <w:rStyle w:val="CommentReference"/>
        </w:rPr>
        <w:annotationRef/>
      </w:r>
      <w:r>
        <w:rPr>
          <w:rStyle w:val="CommentReference"/>
        </w:rPr>
        <w:annotationRef/>
      </w:r>
      <w:r>
        <w:rPr>
          <w:b/>
        </w:rPr>
        <w:t>WORKGROUP COMMENTS FOR CONSIDERATION</w:t>
      </w:r>
    </w:p>
    <w:p w14:paraId="6BA9E178" w14:textId="77777777" w:rsidR="00220752" w:rsidRDefault="00220752">
      <w:pPr>
        <w:pStyle w:val="CommentText"/>
      </w:pPr>
    </w:p>
    <w:p w14:paraId="6F3BA204" w14:textId="77777777" w:rsidR="00220752" w:rsidRDefault="00FC6468">
      <w:pPr>
        <w:pStyle w:val="CommentText"/>
      </w:pPr>
      <w:r>
        <w:t>PT: Propose deleting.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3E8876" w15:done="0"/>
  <w15:commentEx w15:paraId="3FCEF959" w15:done="0"/>
  <w15:commentEx w15:paraId="477E925A" w15:done="0"/>
  <w15:commentEx w15:paraId="31F7AED2" w15:done="0"/>
  <w15:commentEx w15:paraId="39B0E260" w15:done="0"/>
  <w15:commentEx w15:paraId="7B8A1855" w15:done="0"/>
  <w15:commentEx w15:paraId="45B34081" w15:done="0"/>
  <w15:commentEx w15:paraId="506AB27F" w15:done="0"/>
  <w15:commentEx w15:paraId="6F3BA2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5A743" w14:textId="77777777" w:rsidR="00FC6468" w:rsidRDefault="00FC6468" w:rsidP="00F859E0">
      <w:r>
        <w:separator/>
      </w:r>
    </w:p>
  </w:endnote>
  <w:endnote w:type="continuationSeparator" w:id="0">
    <w:p w14:paraId="68EABAEA" w14:textId="77777777" w:rsidR="00FC6468" w:rsidRDefault="00FC6468" w:rsidP="00F859E0">
      <w:r>
        <w:continuationSeparator/>
      </w:r>
    </w:p>
  </w:endnote>
  <w:endnote w:type="continuationNotice" w:id="1">
    <w:p w14:paraId="0AAFF9D8" w14:textId="77777777" w:rsidR="00FC6468" w:rsidRDefault="00FC6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807385"/>
      <w:docPartObj>
        <w:docPartGallery w:val="Page Numbers (Bottom of Page)"/>
        <w:docPartUnique/>
      </w:docPartObj>
    </w:sdtPr>
    <w:sdtEndPr/>
    <w:sdtContent>
      <w:sdt>
        <w:sdtPr>
          <w:id w:val="98381352"/>
          <w:docPartObj>
            <w:docPartGallery w:val="Page Numbers (Top of Page)"/>
            <w:docPartUnique/>
          </w:docPartObj>
        </w:sdtPr>
        <w:sdtEndPr/>
        <w:sdtContent>
          <w:p w14:paraId="7C7D68A1" w14:textId="77777777" w:rsidR="00F859E0" w:rsidRDefault="00F859E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E1C9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1C90">
              <w:rPr>
                <w:b/>
                <w:bCs/>
                <w:noProof/>
              </w:rPr>
              <w:t>7</w:t>
            </w:r>
            <w:r>
              <w:rPr>
                <w:b/>
                <w:bCs/>
                <w:sz w:val="24"/>
                <w:szCs w:val="24"/>
              </w:rPr>
              <w:fldChar w:fldCharType="end"/>
            </w:r>
          </w:p>
        </w:sdtContent>
      </w:sdt>
    </w:sdtContent>
  </w:sdt>
  <w:p w14:paraId="7223D3C8" w14:textId="77777777" w:rsidR="00F859E0" w:rsidRDefault="00F85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0623B" w14:textId="77777777" w:rsidR="00FC6468" w:rsidRDefault="00FC6468" w:rsidP="00F859E0">
      <w:r>
        <w:separator/>
      </w:r>
    </w:p>
  </w:footnote>
  <w:footnote w:type="continuationSeparator" w:id="0">
    <w:p w14:paraId="29833B2A" w14:textId="77777777" w:rsidR="00FC6468" w:rsidRDefault="00FC6468" w:rsidP="00F859E0">
      <w:r>
        <w:continuationSeparator/>
      </w:r>
    </w:p>
  </w:footnote>
  <w:footnote w:type="continuationNotice" w:id="1">
    <w:p w14:paraId="472CBF7D" w14:textId="77777777" w:rsidR="00FC6468" w:rsidRDefault="00FC64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2316D" w14:textId="77777777" w:rsidR="00F859E0" w:rsidRPr="00F859E0" w:rsidRDefault="00F859E0" w:rsidP="00F859E0">
    <w:pPr>
      <w:pStyle w:val="Subtitle"/>
    </w:pPr>
    <w:r>
      <w:t>Quality Paymen</w:t>
    </w:r>
    <w:r w:rsidR="00564CE1">
      <w:t xml:space="preserve">t Program Task Force: NPRM </w:t>
    </w:r>
    <w:r w:rsidR="005A7D2E">
      <w:t xml:space="preserve">Comments </w:t>
    </w:r>
    <w:r w:rsidR="00564CE1">
      <w:t>Under Discussion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BF8"/>
    <w:multiLevelType w:val="hybridMultilevel"/>
    <w:tmpl w:val="20AA6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15939"/>
    <w:multiLevelType w:val="hybridMultilevel"/>
    <w:tmpl w:val="3834AF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BC11FC"/>
    <w:multiLevelType w:val="hybridMultilevel"/>
    <w:tmpl w:val="82A6B59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F300F9"/>
    <w:multiLevelType w:val="hybridMultilevel"/>
    <w:tmpl w:val="938262A6"/>
    <w:lvl w:ilvl="0" w:tplc="0409000F">
      <w:start w:val="1"/>
      <w:numFmt w:val="decimal"/>
      <w:lvlText w:val="%1."/>
      <w:lvlJc w:val="left"/>
      <w:pPr>
        <w:ind w:left="720" w:hanging="360"/>
      </w:pPr>
      <w:rPr>
        <w:rFonts w:hint="default"/>
      </w:rPr>
    </w:lvl>
    <w:lvl w:ilvl="1" w:tplc="D7042BD4">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952E8"/>
    <w:multiLevelType w:val="hybridMultilevel"/>
    <w:tmpl w:val="B39CE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5B315E"/>
    <w:multiLevelType w:val="hybridMultilevel"/>
    <w:tmpl w:val="CD3C2D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BC34A5"/>
    <w:multiLevelType w:val="hybridMultilevel"/>
    <w:tmpl w:val="CA106666"/>
    <w:lvl w:ilvl="0" w:tplc="BEC41118">
      <w:start w:val="1"/>
      <w:numFmt w:val="lowerRoman"/>
      <w:lvlText w:val="%1."/>
      <w:lvlJc w:val="righ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CC74DF"/>
    <w:multiLevelType w:val="hybridMultilevel"/>
    <w:tmpl w:val="BB86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23C40"/>
    <w:multiLevelType w:val="hybridMultilevel"/>
    <w:tmpl w:val="1AF0DC10"/>
    <w:lvl w:ilvl="0" w:tplc="0409001B">
      <w:start w:val="1"/>
      <w:numFmt w:val="lowerRoman"/>
      <w:lvlText w:val="%1."/>
      <w:lvlJc w:val="right"/>
      <w:pPr>
        <w:ind w:left="3600" w:hanging="360"/>
      </w:pPr>
    </w:lvl>
    <w:lvl w:ilvl="1" w:tplc="CF268D6C">
      <w:start w:val="1"/>
      <w:numFmt w:val="lowerLetter"/>
      <w:lvlText w:val="%2."/>
      <w:lvlJc w:val="left"/>
      <w:pPr>
        <w:ind w:left="4320" w:hanging="360"/>
      </w:pPr>
      <w:rPr>
        <w:i w:val="0"/>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97E3726"/>
    <w:multiLevelType w:val="hybridMultilevel"/>
    <w:tmpl w:val="ADE224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0C5C48"/>
    <w:multiLevelType w:val="hybridMultilevel"/>
    <w:tmpl w:val="1AF0DC10"/>
    <w:lvl w:ilvl="0" w:tplc="0409001B">
      <w:start w:val="1"/>
      <w:numFmt w:val="lowerRoman"/>
      <w:lvlText w:val="%1."/>
      <w:lvlJc w:val="right"/>
      <w:pPr>
        <w:ind w:left="3600" w:hanging="360"/>
      </w:pPr>
    </w:lvl>
    <w:lvl w:ilvl="1" w:tplc="CF268D6C">
      <w:start w:val="1"/>
      <w:numFmt w:val="lowerLetter"/>
      <w:lvlText w:val="%2."/>
      <w:lvlJc w:val="left"/>
      <w:pPr>
        <w:ind w:left="4320" w:hanging="360"/>
      </w:pPr>
      <w:rPr>
        <w:i w:val="0"/>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035481A"/>
    <w:multiLevelType w:val="hybridMultilevel"/>
    <w:tmpl w:val="CA106666"/>
    <w:lvl w:ilvl="0" w:tplc="BEC41118">
      <w:start w:val="1"/>
      <w:numFmt w:val="lowerRoman"/>
      <w:lvlText w:val="%1."/>
      <w:lvlJc w:val="right"/>
      <w:pPr>
        <w:ind w:left="180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A10460"/>
    <w:multiLevelType w:val="hybridMultilevel"/>
    <w:tmpl w:val="1BDE6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16085B"/>
    <w:multiLevelType w:val="hybridMultilevel"/>
    <w:tmpl w:val="92762A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CA6938"/>
    <w:multiLevelType w:val="hybridMultilevel"/>
    <w:tmpl w:val="C1EACB5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DC06D0"/>
    <w:multiLevelType w:val="hybridMultilevel"/>
    <w:tmpl w:val="CA106666"/>
    <w:lvl w:ilvl="0" w:tplc="BEC41118">
      <w:start w:val="1"/>
      <w:numFmt w:val="lowerRoman"/>
      <w:lvlText w:val="%1."/>
      <w:lvlJc w:val="righ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D1097F"/>
    <w:multiLevelType w:val="hybridMultilevel"/>
    <w:tmpl w:val="FB92CD40"/>
    <w:lvl w:ilvl="0" w:tplc="9B4E7F6A">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1F13E3"/>
    <w:multiLevelType w:val="hybridMultilevel"/>
    <w:tmpl w:val="CA106666"/>
    <w:lvl w:ilvl="0" w:tplc="BEC41118">
      <w:start w:val="1"/>
      <w:numFmt w:val="lowerRoman"/>
      <w:lvlText w:val="%1."/>
      <w:lvlJc w:val="righ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3B3D83"/>
    <w:multiLevelType w:val="hybridMultilevel"/>
    <w:tmpl w:val="128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68DA"/>
    <w:multiLevelType w:val="hybridMultilevel"/>
    <w:tmpl w:val="D45C47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E257A1"/>
    <w:multiLevelType w:val="hybridMultilevel"/>
    <w:tmpl w:val="B8481232"/>
    <w:lvl w:ilvl="0" w:tplc="5C98BF98">
      <w:start w:val="1"/>
      <w:numFmt w:val="lowerRoman"/>
      <w:lvlText w:val="%1."/>
      <w:lvlJc w:val="right"/>
      <w:pPr>
        <w:ind w:left="1800" w:hanging="360"/>
      </w:pPr>
      <w:rPr>
        <w:i w:val="0"/>
      </w:rPr>
    </w:lvl>
    <w:lvl w:ilvl="1" w:tplc="53289AE2">
      <w:start w:val="1"/>
      <w:numFmt w:val="lowerLetter"/>
      <w:lvlText w:val="%2."/>
      <w:lvlJc w:val="left"/>
      <w:pPr>
        <w:ind w:left="2520" w:hanging="360"/>
      </w:pPr>
      <w:rPr>
        <w:i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3E6731D"/>
    <w:multiLevelType w:val="hybridMultilevel"/>
    <w:tmpl w:val="7BEA4F82"/>
    <w:lvl w:ilvl="0" w:tplc="C074DCA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2F1268"/>
    <w:multiLevelType w:val="hybridMultilevel"/>
    <w:tmpl w:val="58B0C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BC76B9"/>
    <w:multiLevelType w:val="hybridMultilevel"/>
    <w:tmpl w:val="7B4EF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6D0265"/>
    <w:multiLevelType w:val="hybridMultilevel"/>
    <w:tmpl w:val="215AC5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5DA83A89"/>
    <w:multiLevelType w:val="hybridMultilevel"/>
    <w:tmpl w:val="A2B6B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20162"/>
    <w:multiLevelType w:val="hybridMultilevel"/>
    <w:tmpl w:val="7B1C7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B70DCF"/>
    <w:multiLevelType w:val="hybridMultilevel"/>
    <w:tmpl w:val="C73A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500C9"/>
    <w:multiLevelType w:val="hybridMultilevel"/>
    <w:tmpl w:val="26AAB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B9303E"/>
    <w:multiLevelType w:val="hybridMultilevel"/>
    <w:tmpl w:val="A97C8086"/>
    <w:lvl w:ilvl="0" w:tplc="2BBA02B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C97B82"/>
    <w:multiLevelType w:val="hybridMultilevel"/>
    <w:tmpl w:val="B8481232"/>
    <w:lvl w:ilvl="0" w:tplc="5C98BF98">
      <w:start w:val="1"/>
      <w:numFmt w:val="lowerRoman"/>
      <w:lvlText w:val="%1."/>
      <w:lvlJc w:val="right"/>
      <w:pPr>
        <w:ind w:left="1800" w:hanging="360"/>
      </w:pPr>
      <w:rPr>
        <w:i w:val="0"/>
      </w:rPr>
    </w:lvl>
    <w:lvl w:ilvl="1" w:tplc="53289AE2">
      <w:start w:val="1"/>
      <w:numFmt w:val="lowerLetter"/>
      <w:lvlText w:val="%2."/>
      <w:lvlJc w:val="left"/>
      <w:pPr>
        <w:ind w:left="2520" w:hanging="360"/>
      </w:pPr>
      <w:rPr>
        <w:i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E131E52"/>
    <w:multiLevelType w:val="hybridMultilevel"/>
    <w:tmpl w:val="D45C47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5A4DF1"/>
    <w:multiLevelType w:val="hybridMultilevel"/>
    <w:tmpl w:val="9BE4EF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C076F"/>
    <w:multiLevelType w:val="hybridMultilevel"/>
    <w:tmpl w:val="49FCCC4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20D33B2"/>
    <w:multiLevelType w:val="hybridMultilevel"/>
    <w:tmpl w:val="23C6CB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16256"/>
    <w:multiLevelType w:val="hybridMultilevel"/>
    <w:tmpl w:val="7E54BCBE"/>
    <w:lvl w:ilvl="0" w:tplc="69B0F916">
      <w:start w:val="1"/>
      <w:numFmt w:val="lowerRoman"/>
      <w:lvlText w:val="%1."/>
      <w:lvlJc w:val="right"/>
      <w:pPr>
        <w:ind w:left="2340" w:hanging="360"/>
      </w:pPr>
      <w:rPr>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7979782A"/>
    <w:multiLevelType w:val="hybridMultilevel"/>
    <w:tmpl w:val="D97047B4"/>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C55B7"/>
    <w:multiLevelType w:val="hybridMultilevel"/>
    <w:tmpl w:val="3D58B6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4"/>
    <w:lvlOverride w:ilvl="0"/>
    <w:lvlOverride w:ilvl="1">
      <w:startOverride w:val="1"/>
    </w:lvlOverride>
    <w:lvlOverride w:ilvl="2"/>
    <w:lvlOverride w:ilvl="3"/>
    <w:lvlOverride w:ilvl="4"/>
    <w:lvlOverride w:ilvl="5"/>
    <w:lvlOverride w:ilvl="6"/>
    <w:lvlOverride w:ilvl="7"/>
    <w:lvlOverride w:ilvl="8"/>
  </w:num>
  <w:num w:numId="2">
    <w:abstractNumId w:val="23"/>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4"/>
  </w:num>
  <w:num w:numId="9">
    <w:abstractNumId w:val="18"/>
  </w:num>
  <w:num w:numId="10">
    <w:abstractNumId w:val="22"/>
  </w:num>
  <w:num w:numId="11">
    <w:abstractNumId w:val="28"/>
  </w:num>
  <w:num w:numId="12">
    <w:abstractNumId w:val="36"/>
  </w:num>
  <w:num w:numId="13">
    <w:abstractNumId w:val="35"/>
  </w:num>
  <w:num w:numId="14">
    <w:abstractNumId w:val="13"/>
  </w:num>
  <w:num w:numId="15">
    <w:abstractNumId w:val="2"/>
  </w:num>
  <w:num w:numId="16">
    <w:abstractNumId w:val="10"/>
  </w:num>
  <w:num w:numId="17">
    <w:abstractNumId w:val="32"/>
  </w:num>
  <w:num w:numId="18">
    <w:abstractNumId w:val="1"/>
  </w:num>
  <w:num w:numId="19">
    <w:abstractNumId w:val="5"/>
  </w:num>
  <w:num w:numId="20">
    <w:abstractNumId w:val="12"/>
  </w:num>
  <w:num w:numId="21">
    <w:abstractNumId w:val="24"/>
  </w:num>
  <w:num w:numId="22">
    <w:abstractNumId w:val="7"/>
  </w:num>
  <w:num w:numId="23">
    <w:abstractNumId w:val="27"/>
  </w:num>
  <w:num w:numId="24">
    <w:abstractNumId w:val="0"/>
  </w:num>
  <w:num w:numId="25">
    <w:abstractNumId w:val="31"/>
  </w:num>
  <w:num w:numId="26">
    <w:abstractNumId w:val="3"/>
  </w:num>
  <w:num w:numId="27">
    <w:abstractNumId w:val="8"/>
  </w:num>
  <w:num w:numId="28">
    <w:abstractNumId w:val="30"/>
  </w:num>
  <w:num w:numId="29">
    <w:abstractNumId w:val="19"/>
  </w:num>
  <w:num w:numId="30">
    <w:abstractNumId w:val="6"/>
  </w:num>
  <w:num w:numId="31">
    <w:abstractNumId w:val="33"/>
  </w:num>
  <w:num w:numId="32">
    <w:abstractNumId w:val="20"/>
  </w:num>
  <w:num w:numId="33">
    <w:abstractNumId w:val="25"/>
  </w:num>
  <w:num w:numId="34">
    <w:abstractNumId w:val="21"/>
  </w:num>
  <w:num w:numId="35">
    <w:abstractNumId w:val="34"/>
  </w:num>
  <w:num w:numId="36">
    <w:abstractNumId w:val="29"/>
  </w:num>
  <w:num w:numId="37">
    <w:abstractNumId w:val="11"/>
  </w:num>
  <w:num w:numId="38">
    <w:abstractNumId w:val="1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21"/>
    <w:rsid w:val="00024471"/>
    <w:rsid w:val="0005017B"/>
    <w:rsid w:val="000528B2"/>
    <w:rsid w:val="000908C0"/>
    <w:rsid w:val="000975D8"/>
    <w:rsid w:val="000A223F"/>
    <w:rsid w:val="000B34A5"/>
    <w:rsid w:val="000F1267"/>
    <w:rsid w:val="0011031C"/>
    <w:rsid w:val="00112F5C"/>
    <w:rsid w:val="001302DE"/>
    <w:rsid w:val="00155D64"/>
    <w:rsid w:val="00171BDF"/>
    <w:rsid w:val="00182DB5"/>
    <w:rsid w:val="00183D20"/>
    <w:rsid w:val="001968FA"/>
    <w:rsid w:val="001A4BB8"/>
    <w:rsid w:val="001B74EC"/>
    <w:rsid w:val="001D45EF"/>
    <w:rsid w:val="001F0CF5"/>
    <w:rsid w:val="00205371"/>
    <w:rsid w:val="00220752"/>
    <w:rsid w:val="002266AE"/>
    <w:rsid w:val="00243A0D"/>
    <w:rsid w:val="002638DB"/>
    <w:rsid w:val="002A0D13"/>
    <w:rsid w:val="002C550B"/>
    <w:rsid w:val="002D1775"/>
    <w:rsid w:val="002D74B6"/>
    <w:rsid w:val="002F0C83"/>
    <w:rsid w:val="00310A20"/>
    <w:rsid w:val="0033193B"/>
    <w:rsid w:val="003362CA"/>
    <w:rsid w:val="0035514A"/>
    <w:rsid w:val="00367CBC"/>
    <w:rsid w:val="00370AAD"/>
    <w:rsid w:val="00377483"/>
    <w:rsid w:val="00392417"/>
    <w:rsid w:val="003A09DD"/>
    <w:rsid w:val="003A0A1E"/>
    <w:rsid w:val="003B0A93"/>
    <w:rsid w:val="003C01E2"/>
    <w:rsid w:val="003E3F08"/>
    <w:rsid w:val="00415B0A"/>
    <w:rsid w:val="0041798F"/>
    <w:rsid w:val="004200A2"/>
    <w:rsid w:val="00442FF0"/>
    <w:rsid w:val="004447F8"/>
    <w:rsid w:val="00447698"/>
    <w:rsid w:val="0047473E"/>
    <w:rsid w:val="0048389C"/>
    <w:rsid w:val="0049326A"/>
    <w:rsid w:val="004A6FA8"/>
    <w:rsid w:val="004B0271"/>
    <w:rsid w:val="004C1310"/>
    <w:rsid w:val="004C2774"/>
    <w:rsid w:val="004C76F4"/>
    <w:rsid w:val="004E7647"/>
    <w:rsid w:val="00510D7B"/>
    <w:rsid w:val="00515A6D"/>
    <w:rsid w:val="00521D59"/>
    <w:rsid w:val="0053118B"/>
    <w:rsid w:val="005533A4"/>
    <w:rsid w:val="00553A65"/>
    <w:rsid w:val="00561E08"/>
    <w:rsid w:val="00564B98"/>
    <w:rsid w:val="00564CE1"/>
    <w:rsid w:val="00566D91"/>
    <w:rsid w:val="005A7D2E"/>
    <w:rsid w:val="005D1746"/>
    <w:rsid w:val="005F6B94"/>
    <w:rsid w:val="006026E1"/>
    <w:rsid w:val="00612F28"/>
    <w:rsid w:val="00613365"/>
    <w:rsid w:val="006148AD"/>
    <w:rsid w:val="00615856"/>
    <w:rsid w:val="00616EA2"/>
    <w:rsid w:val="00617343"/>
    <w:rsid w:val="00621CC5"/>
    <w:rsid w:val="00624027"/>
    <w:rsid w:val="00643A7B"/>
    <w:rsid w:val="0066540E"/>
    <w:rsid w:val="00685B33"/>
    <w:rsid w:val="006A5C83"/>
    <w:rsid w:val="006A6B97"/>
    <w:rsid w:val="006C69AE"/>
    <w:rsid w:val="006C7168"/>
    <w:rsid w:val="006D0331"/>
    <w:rsid w:val="006D2254"/>
    <w:rsid w:val="006E3F97"/>
    <w:rsid w:val="006F0F90"/>
    <w:rsid w:val="006F33A4"/>
    <w:rsid w:val="006F588C"/>
    <w:rsid w:val="006F72EB"/>
    <w:rsid w:val="006F7F4F"/>
    <w:rsid w:val="00704F34"/>
    <w:rsid w:val="0070516E"/>
    <w:rsid w:val="00705D34"/>
    <w:rsid w:val="00734FFE"/>
    <w:rsid w:val="007352BE"/>
    <w:rsid w:val="00752799"/>
    <w:rsid w:val="00781D47"/>
    <w:rsid w:val="00791E4C"/>
    <w:rsid w:val="00794CF3"/>
    <w:rsid w:val="007B67CB"/>
    <w:rsid w:val="007C7CCD"/>
    <w:rsid w:val="007E561D"/>
    <w:rsid w:val="007F26A5"/>
    <w:rsid w:val="007F2B0A"/>
    <w:rsid w:val="00803286"/>
    <w:rsid w:val="008119A0"/>
    <w:rsid w:val="008164DD"/>
    <w:rsid w:val="00817ED9"/>
    <w:rsid w:val="00822639"/>
    <w:rsid w:val="0083288B"/>
    <w:rsid w:val="008350F3"/>
    <w:rsid w:val="00842153"/>
    <w:rsid w:val="00853430"/>
    <w:rsid w:val="00862E4E"/>
    <w:rsid w:val="00864AE8"/>
    <w:rsid w:val="008650B7"/>
    <w:rsid w:val="00881C87"/>
    <w:rsid w:val="00893CEE"/>
    <w:rsid w:val="008964F9"/>
    <w:rsid w:val="00897CC7"/>
    <w:rsid w:val="008A5134"/>
    <w:rsid w:val="008B07DE"/>
    <w:rsid w:val="008B112B"/>
    <w:rsid w:val="008D20B5"/>
    <w:rsid w:val="008D644D"/>
    <w:rsid w:val="008E0653"/>
    <w:rsid w:val="008E1C90"/>
    <w:rsid w:val="008E47C5"/>
    <w:rsid w:val="0090331B"/>
    <w:rsid w:val="00913E9E"/>
    <w:rsid w:val="00915DCB"/>
    <w:rsid w:val="00920D3C"/>
    <w:rsid w:val="009429A0"/>
    <w:rsid w:val="00946EBD"/>
    <w:rsid w:val="00952A11"/>
    <w:rsid w:val="009811BD"/>
    <w:rsid w:val="009858B9"/>
    <w:rsid w:val="009902E8"/>
    <w:rsid w:val="009A2DD2"/>
    <w:rsid w:val="009B6073"/>
    <w:rsid w:val="009C0255"/>
    <w:rsid w:val="009D3624"/>
    <w:rsid w:val="009D4D9D"/>
    <w:rsid w:val="009D4F6A"/>
    <w:rsid w:val="009D74FC"/>
    <w:rsid w:val="009E7811"/>
    <w:rsid w:val="00A117C6"/>
    <w:rsid w:val="00A42C72"/>
    <w:rsid w:val="00A50906"/>
    <w:rsid w:val="00A53FA7"/>
    <w:rsid w:val="00A71298"/>
    <w:rsid w:val="00AA31DE"/>
    <w:rsid w:val="00AB59AF"/>
    <w:rsid w:val="00AD7D5A"/>
    <w:rsid w:val="00AE494F"/>
    <w:rsid w:val="00AE5BFB"/>
    <w:rsid w:val="00B4130F"/>
    <w:rsid w:val="00B57893"/>
    <w:rsid w:val="00B7756C"/>
    <w:rsid w:val="00B80C56"/>
    <w:rsid w:val="00B826C1"/>
    <w:rsid w:val="00B8479C"/>
    <w:rsid w:val="00B934DA"/>
    <w:rsid w:val="00BB7AEF"/>
    <w:rsid w:val="00BC50D3"/>
    <w:rsid w:val="00BD32C8"/>
    <w:rsid w:val="00BD5BB3"/>
    <w:rsid w:val="00BD6E51"/>
    <w:rsid w:val="00BF11A3"/>
    <w:rsid w:val="00C07150"/>
    <w:rsid w:val="00C102A8"/>
    <w:rsid w:val="00C14A4C"/>
    <w:rsid w:val="00C225CC"/>
    <w:rsid w:val="00C37FE7"/>
    <w:rsid w:val="00C60CE1"/>
    <w:rsid w:val="00C72084"/>
    <w:rsid w:val="00C825BB"/>
    <w:rsid w:val="00C92AAA"/>
    <w:rsid w:val="00CA1521"/>
    <w:rsid w:val="00CC174B"/>
    <w:rsid w:val="00CD77C5"/>
    <w:rsid w:val="00CF46B2"/>
    <w:rsid w:val="00D22420"/>
    <w:rsid w:val="00D34022"/>
    <w:rsid w:val="00D347DC"/>
    <w:rsid w:val="00D4688F"/>
    <w:rsid w:val="00D51E2D"/>
    <w:rsid w:val="00D55655"/>
    <w:rsid w:val="00D55D15"/>
    <w:rsid w:val="00D63F60"/>
    <w:rsid w:val="00D65A06"/>
    <w:rsid w:val="00D9100D"/>
    <w:rsid w:val="00D928C6"/>
    <w:rsid w:val="00DA1325"/>
    <w:rsid w:val="00DA6788"/>
    <w:rsid w:val="00DC1D4C"/>
    <w:rsid w:val="00DC4F7F"/>
    <w:rsid w:val="00DE3734"/>
    <w:rsid w:val="00DE7C7D"/>
    <w:rsid w:val="00E0322C"/>
    <w:rsid w:val="00E21099"/>
    <w:rsid w:val="00E544E9"/>
    <w:rsid w:val="00E558E3"/>
    <w:rsid w:val="00E603D9"/>
    <w:rsid w:val="00E63C3D"/>
    <w:rsid w:val="00E8544A"/>
    <w:rsid w:val="00E91E81"/>
    <w:rsid w:val="00EA0787"/>
    <w:rsid w:val="00EC3D04"/>
    <w:rsid w:val="00ED65C1"/>
    <w:rsid w:val="00EE6871"/>
    <w:rsid w:val="00EF4F8E"/>
    <w:rsid w:val="00F001E5"/>
    <w:rsid w:val="00F32982"/>
    <w:rsid w:val="00F36E3C"/>
    <w:rsid w:val="00F4209E"/>
    <w:rsid w:val="00F562B3"/>
    <w:rsid w:val="00F60D50"/>
    <w:rsid w:val="00F70AF3"/>
    <w:rsid w:val="00F75291"/>
    <w:rsid w:val="00F80758"/>
    <w:rsid w:val="00F859E0"/>
    <w:rsid w:val="00F90E21"/>
    <w:rsid w:val="00F91A6E"/>
    <w:rsid w:val="00F97B6B"/>
    <w:rsid w:val="00F97E52"/>
    <w:rsid w:val="00FA37DC"/>
    <w:rsid w:val="00FA46CF"/>
    <w:rsid w:val="00FC23D6"/>
    <w:rsid w:val="00FC621E"/>
    <w:rsid w:val="00FC6468"/>
    <w:rsid w:val="00FD1C9B"/>
    <w:rsid w:val="00FD5FDF"/>
    <w:rsid w:val="00FE16B8"/>
    <w:rsid w:val="00FE3C52"/>
    <w:rsid w:val="00FE60BE"/>
    <w:rsid w:val="00FE7221"/>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3024"/>
  <w15:docId w15:val="{3206DFAB-C50E-4DD7-B167-1CBC0D47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2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221"/>
    <w:pPr>
      <w:spacing w:after="200" w:line="276" w:lineRule="auto"/>
      <w:ind w:left="720"/>
      <w:contextualSpacing/>
    </w:pPr>
  </w:style>
  <w:style w:type="character" w:styleId="Hyperlink">
    <w:name w:val="Hyperlink"/>
    <w:basedOn w:val="DefaultParagraphFont"/>
    <w:uiPriority w:val="99"/>
    <w:unhideWhenUsed/>
    <w:rsid w:val="003362CA"/>
    <w:rPr>
      <w:color w:val="0000FF"/>
      <w:u w:val="single"/>
    </w:rPr>
  </w:style>
  <w:style w:type="paragraph" w:styleId="Header">
    <w:name w:val="header"/>
    <w:basedOn w:val="Normal"/>
    <w:link w:val="HeaderChar"/>
    <w:uiPriority w:val="99"/>
    <w:unhideWhenUsed/>
    <w:rsid w:val="00F859E0"/>
    <w:pPr>
      <w:tabs>
        <w:tab w:val="center" w:pos="4680"/>
        <w:tab w:val="right" w:pos="9360"/>
      </w:tabs>
    </w:pPr>
  </w:style>
  <w:style w:type="character" w:customStyle="1" w:styleId="HeaderChar">
    <w:name w:val="Header Char"/>
    <w:basedOn w:val="DefaultParagraphFont"/>
    <w:link w:val="Header"/>
    <w:uiPriority w:val="99"/>
    <w:rsid w:val="00F859E0"/>
    <w:rPr>
      <w:rFonts w:ascii="Calibri" w:hAnsi="Calibri" w:cs="Times New Roman"/>
    </w:rPr>
  </w:style>
  <w:style w:type="paragraph" w:styleId="Footer">
    <w:name w:val="footer"/>
    <w:basedOn w:val="Normal"/>
    <w:link w:val="FooterChar"/>
    <w:uiPriority w:val="99"/>
    <w:unhideWhenUsed/>
    <w:rsid w:val="00F859E0"/>
    <w:pPr>
      <w:tabs>
        <w:tab w:val="center" w:pos="4680"/>
        <w:tab w:val="right" w:pos="9360"/>
      </w:tabs>
    </w:pPr>
  </w:style>
  <w:style w:type="character" w:customStyle="1" w:styleId="FooterChar">
    <w:name w:val="Footer Char"/>
    <w:basedOn w:val="DefaultParagraphFont"/>
    <w:link w:val="Footer"/>
    <w:uiPriority w:val="99"/>
    <w:rsid w:val="00F859E0"/>
    <w:rPr>
      <w:rFonts w:ascii="Calibri" w:hAnsi="Calibri" w:cs="Times New Roman"/>
    </w:rPr>
  </w:style>
  <w:style w:type="paragraph" w:styleId="Subtitle">
    <w:name w:val="Subtitle"/>
    <w:basedOn w:val="Normal"/>
    <w:next w:val="Normal"/>
    <w:link w:val="SubtitleChar"/>
    <w:uiPriority w:val="11"/>
    <w:qFormat/>
    <w:rsid w:val="00F859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59E0"/>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semiHidden/>
    <w:unhideWhenUsed/>
    <w:rsid w:val="00E544E9"/>
    <w:rPr>
      <w:sz w:val="16"/>
      <w:szCs w:val="16"/>
    </w:rPr>
  </w:style>
  <w:style w:type="paragraph" w:styleId="CommentText">
    <w:name w:val="annotation text"/>
    <w:basedOn w:val="Normal"/>
    <w:link w:val="CommentTextChar"/>
    <w:uiPriority w:val="99"/>
    <w:unhideWhenUsed/>
    <w:rsid w:val="00E544E9"/>
    <w:rPr>
      <w:sz w:val="20"/>
      <w:szCs w:val="20"/>
    </w:rPr>
  </w:style>
  <w:style w:type="character" w:customStyle="1" w:styleId="CommentTextChar">
    <w:name w:val="Comment Text Char"/>
    <w:basedOn w:val="DefaultParagraphFont"/>
    <w:link w:val="CommentText"/>
    <w:uiPriority w:val="99"/>
    <w:rsid w:val="00E544E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544E9"/>
    <w:rPr>
      <w:b/>
      <w:bCs/>
    </w:rPr>
  </w:style>
  <w:style w:type="character" w:customStyle="1" w:styleId="CommentSubjectChar">
    <w:name w:val="Comment Subject Char"/>
    <w:basedOn w:val="CommentTextChar"/>
    <w:link w:val="CommentSubject"/>
    <w:uiPriority w:val="99"/>
    <w:semiHidden/>
    <w:rsid w:val="00E544E9"/>
    <w:rPr>
      <w:rFonts w:ascii="Calibri" w:hAnsi="Calibri" w:cs="Times New Roman"/>
      <w:b/>
      <w:bCs/>
      <w:sz w:val="20"/>
      <w:szCs w:val="20"/>
    </w:rPr>
  </w:style>
  <w:style w:type="paragraph" w:styleId="BalloonText">
    <w:name w:val="Balloon Text"/>
    <w:basedOn w:val="Normal"/>
    <w:link w:val="BalloonTextChar"/>
    <w:uiPriority w:val="99"/>
    <w:semiHidden/>
    <w:unhideWhenUsed/>
    <w:rsid w:val="00E544E9"/>
    <w:rPr>
      <w:rFonts w:ascii="Tahoma" w:hAnsi="Tahoma" w:cs="Tahoma"/>
      <w:sz w:val="16"/>
      <w:szCs w:val="16"/>
    </w:rPr>
  </w:style>
  <w:style w:type="character" w:customStyle="1" w:styleId="BalloonTextChar">
    <w:name w:val="Balloon Text Char"/>
    <w:basedOn w:val="DefaultParagraphFont"/>
    <w:link w:val="BalloonText"/>
    <w:uiPriority w:val="99"/>
    <w:semiHidden/>
    <w:rsid w:val="00E544E9"/>
    <w:rPr>
      <w:rFonts w:ascii="Tahoma" w:hAnsi="Tahoma" w:cs="Tahoma"/>
      <w:sz w:val="16"/>
      <w:szCs w:val="16"/>
    </w:rPr>
  </w:style>
  <w:style w:type="paragraph" w:styleId="Revision">
    <w:name w:val="Revision"/>
    <w:hidden/>
    <w:uiPriority w:val="99"/>
    <w:semiHidden/>
    <w:rsid w:val="00F97E52"/>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33193B"/>
    <w:rPr>
      <w:color w:val="800080" w:themeColor="followedHyperlink"/>
      <w:u w:val="single"/>
    </w:rPr>
  </w:style>
  <w:style w:type="table" w:customStyle="1" w:styleId="GridTable1Light1">
    <w:name w:val="Grid Table 1 Light1"/>
    <w:basedOn w:val="TableNormal"/>
    <w:uiPriority w:val="46"/>
    <w:rsid w:val="00B826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rialLetter">
    <w:name w:val="Arial Letter"/>
    <w:basedOn w:val="Normal"/>
    <w:qFormat/>
    <w:rsid w:val="004E7647"/>
    <w:rPr>
      <w:rFonts w:ascii="Arial" w:eastAsia="SimSun" w:hAnsi="Arial" w:cs="Arial"/>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78186">
      <w:bodyDiv w:val="1"/>
      <w:marLeft w:val="0"/>
      <w:marRight w:val="0"/>
      <w:marTop w:val="0"/>
      <w:marBottom w:val="0"/>
      <w:divBdr>
        <w:top w:val="none" w:sz="0" w:space="0" w:color="auto"/>
        <w:left w:val="none" w:sz="0" w:space="0" w:color="auto"/>
        <w:bottom w:val="none" w:sz="0" w:space="0" w:color="auto"/>
        <w:right w:val="none" w:sz="0" w:space="0" w:color="auto"/>
      </w:divBdr>
    </w:div>
    <w:div w:id="12804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federalregister.gov/a/2016-10032/p-86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ederalregister.gov/a/2016-10032/p-670" TargetMode="External"/><Relationship Id="rId17" Type="http://schemas.openxmlformats.org/officeDocument/2006/relationships/hyperlink" Target="https://www.federalregister.gov/articles/2016/05/09/2016-10032/medicare-program-merit-based-incentive-payment-system-mips-and-alternative-payment-model-apm" TargetMode="External"/><Relationship Id="rId2" Type="http://schemas.openxmlformats.org/officeDocument/2006/relationships/numbering" Target="numbering.xml"/><Relationship Id="rId16" Type="http://schemas.openxmlformats.org/officeDocument/2006/relationships/hyperlink" Target="http://www.federalregister.gov/a/2016-10032/p-3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register.gov/a/2016-10032/p-686" TargetMode="External"/><Relationship Id="rId5" Type="http://schemas.openxmlformats.org/officeDocument/2006/relationships/webSettings" Target="webSettings.xml"/><Relationship Id="rId15" Type="http://schemas.openxmlformats.org/officeDocument/2006/relationships/hyperlink" Target="http://www.federalregister.gov/a/2016-10032/p-975" TargetMode="External"/><Relationship Id="rId10" Type="http://schemas.openxmlformats.org/officeDocument/2006/relationships/hyperlink" Target="https://www.federalregister.gov/articles/2016/05/09/2016-10032/medicare-program-merit-based-incentive-payment-system-mips-and-alternative-payment-model-apm"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federalregister.gov/a/2016-10032/p-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42EF-6999-4208-9771-4AD462C3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2806</Words>
  <Characters>15996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Wyatt</dc:creator>
  <cp:lastModifiedBy>Jaclyn Fontanella</cp:lastModifiedBy>
  <cp:revision>2</cp:revision>
  <cp:lastPrinted>2016-06-15T19:25:00Z</cp:lastPrinted>
  <dcterms:created xsi:type="dcterms:W3CDTF">2016-06-17T18:06:00Z</dcterms:created>
  <dcterms:modified xsi:type="dcterms:W3CDTF">2016-06-17T18:06:00Z</dcterms:modified>
</cp:coreProperties>
</file>