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30" w:rsidRPr="00A435B7" w:rsidRDefault="00590230">
      <w:pPr>
        <w:rPr>
          <w:sz w:val="22"/>
          <w:u w:val="single"/>
        </w:rPr>
      </w:pPr>
      <w:r w:rsidRPr="00A435B7">
        <w:rPr>
          <w:sz w:val="22"/>
          <w:u w:val="single"/>
        </w:rPr>
        <w:t>Patient rights to protected health information under HIPAA</w:t>
      </w:r>
    </w:p>
    <w:p w:rsidR="00590230" w:rsidRPr="00A435B7" w:rsidRDefault="00590230">
      <w:pPr>
        <w:rPr>
          <w:sz w:val="22"/>
        </w:rPr>
      </w:pPr>
    </w:p>
    <w:p w:rsidR="00E93D51" w:rsidRPr="00A435B7" w:rsidRDefault="00E93D51">
      <w:pPr>
        <w:rPr>
          <w:sz w:val="22"/>
        </w:rPr>
      </w:pPr>
      <w:r w:rsidRPr="00A435B7">
        <w:rPr>
          <w:sz w:val="22"/>
        </w:rPr>
        <w:t xml:space="preserve">Most people with even a basic knowledge of the HIPAA regulations understand that HIPAA </w:t>
      </w:r>
      <w:r w:rsidRPr="00A435B7">
        <w:rPr>
          <w:sz w:val="22"/>
          <w:u w:val="single"/>
        </w:rPr>
        <w:t>permits</w:t>
      </w:r>
      <w:r w:rsidRPr="00A435B7">
        <w:rPr>
          <w:sz w:val="22"/>
        </w:rPr>
        <w:t xml:space="preserve"> covered entities to disclose protected (identifiable) health information (PHI) for “treatment, payment and health care operations” without the need to first obtain authorization from the patient.  For some other uses or disclosures, such as marketing and research, the patient’s prior authorization is required (although the authorization requirement for research can be waived).  Other provisions provide that information can be shared – such as with family members or in general facility directories – unless the patient has clearly objected.</w:t>
      </w:r>
    </w:p>
    <w:p w:rsidR="00E93D51" w:rsidRPr="00A435B7" w:rsidRDefault="00E93D51">
      <w:pPr>
        <w:rPr>
          <w:sz w:val="22"/>
        </w:rPr>
      </w:pPr>
    </w:p>
    <w:p w:rsidR="00E93D51" w:rsidRPr="00A435B7" w:rsidRDefault="00E93D51">
      <w:pPr>
        <w:rPr>
          <w:sz w:val="22"/>
        </w:rPr>
      </w:pPr>
      <w:r w:rsidRPr="00A435B7">
        <w:rPr>
          <w:sz w:val="22"/>
        </w:rPr>
        <w:t>What is often not emphasized in these provisions is that the HIPAA privacy rule “permits” the sharing of health information under these circumstances, but does not require it.  For example, a provider caring for a patient is allowed to share data with other treating providers for treatment purposes – but HIPAA does not mandate that this sharing occur.</w:t>
      </w:r>
    </w:p>
    <w:p w:rsidR="00E93D51" w:rsidRPr="00A435B7" w:rsidRDefault="00E93D51">
      <w:pPr>
        <w:rPr>
          <w:sz w:val="22"/>
        </w:rPr>
      </w:pPr>
    </w:p>
    <w:p w:rsidR="008E5996" w:rsidRPr="00A435B7" w:rsidRDefault="00E93D51">
      <w:pPr>
        <w:rPr>
          <w:sz w:val="22"/>
        </w:rPr>
      </w:pPr>
      <w:r w:rsidRPr="00A435B7">
        <w:rPr>
          <w:sz w:val="22"/>
        </w:rPr>
        <w:t xml:space="preserve">In contrast, HIPAA </w:t>
      </w:r>
      <w:r w:rsidRPr="00A435B7">
        <w:rPr>
          <w:sz w:val="22"/>
          <w:u w:val="single"/>
        </w:rPr>
        <w:t>requires</w:t>
      </w:r>
      <w:r w:rsidRPr="00A435B7">
        <w:rPr>
          <w:sz w:val="22"/>
        </w:rPr>
        <w:t xml:space="preserve"> the sharing of health information in two specific instances:  with the patient when the patient requests access to or a copy of his or her PHI, and with the government when the covered</w:t>
      </w:r>
      <w:r w:rsidR="008E5996" w:rsidRPr="00A435B7">
        <w:rPr>
          <w:sz w:val="22"/>
        </w:rPr>
        <w:t xml:space="preserve"> entity is being investigated for possible violations of HIPAA.  Consequently, patients have greater rights with respect to the sharing of their health information than other health care providers.</w:t>
      </w:r>
    </w:p>
    <w:p w:rsidR="008E5996" w:rsidRPr="00A435B7" w:rsidRDefault="008E5996">
      <w:pPr>
        <w:rPr>
          <w:sz w:val="22"/>
        </w:rPr>
      </w:pPr>
    </w:p>
    <w:p w:rsidR="008E5996" w:rsidRPr="00A435B7" w:rsidRDefault="008E5996">
      <w:pPr>
        <w:rPr>
          <w:sz w:val="22"/>
        </w:rPr>
      </w:pPr>
      <w:r w:rsidRPr="00A435B7">
        <w:rPr>
          <w:sz w:val="22"/>
        </w:rPr>
        <w:t xml:space="preserve">The specific provision providing patients with the right to access or obtain a copy of his or her PHI allows patients to receive this information “in the form or format requested by the individual, if it is readily producible in such form or format…”  </w:t>
      </w:r>
    </w:p>
    <w:p w:rsidR="008E5996" w:rsidRPr="00A435B7" w:rsidRDefault="008E5996">
      <w:pPr>
        <w:rPr>
          <w:sz w:val="22"/>
        </w:rPr>
      </w:pPr>
    </w:p>
    <w:p w:rsidR="008E5996" w:rsidRPr="00A435B7" w:rsidRDefault="008E5996">
      <w:pPr>
        <w:rPr>
          <w:sz w:val="22"/>
        </w:rPr>
      </w:pPr>
      <w:r w:rsidRPr="00A435B7">
        <w:rPr>
          <w:sz w:val="22"/>
        </w:rPr>
        <w:t xml:space="preserve">HITECH clarified that patients have the right to obtain copies of their health data in electronic form (and have those copies digitally transmitted directly to a third party) if the data they are requesting is maintained electronically.  In the recent regulations finalizing those provisions (referred to as the Omnibus), the HHS Office for Civil Rights, which has oversight over HIPAA, clarified how entities are to manage patient requests for digital data in particular formats.  </w:t>
      </w:r>
    </w:p>
    <w:p w:rsidR="008E5996" w:rsidRPr="00A435B7" w:rsidRDefault="008E5996">
      <w:pPr>
        <w:rPr>
          <w:sz w:val="22"/>
        </w:rPr>
      </w:pPr>
    </w:p>
    <w:p w:rsidR="00BB4F9C" w:rsidRPr="00A435B7" w:rsidRDefault="008E5996">
      <w:pPr>
        <w:rPr>
          <w:sz w:val="22"/>
        </w:rPr>
      </w:pPr>
      <w:r w:rsidRPr="00A435B7">
        <w:rPr>
          <w:sz w:val="22"/>
        </w:rPr>
        <w:t xml:space="preserve">Many covered </w:t>
      </w:r>
      <w:r w:rsidR="00BB4F9C" w:rsidRPr="00A435B7">
        <w:rPr>
          <w:sz w:val="22"/>
        </w:rPr>
        <w:t xml:space="preserve">entities have presumed that protected health information sent to patients would need to be sent securely consistent with the HIPAA Security Rule.  But the Omnibus clarified this as well, making clear that if the patient requests his or her protected health information in an unencrypted form – such as by unencrypted e-mail – the patient has the right to receive it in this form.  Covered entities have an obligation to be certain the patient knows that receiving the protected health information in this form is not secure and to confirm that the patient still wants it in this format – but once that is done (and a burdensome, detailed warning is not expected), the patient has the right to his information “in the form or format requested,” even if the form requested is not secure.  </w:t>
      </w:r>
    </w:p>
    <w:p w:rsidR="00BB4F9C" w:rsidRPr="00A435B7" w:rsidRDefault="00BB4F9C">
      <w:pPr>
        <w:rPr>
          <w:sz w:val="22"/>
        </w:rPr>
      </w:pPr>
    </w:p>
    <w:p w:rsidR="00BB4F9C" w:rsidRPr="00A435B7" w:rsidRDefault="00BB4F9C">
      <w:pPr>
        <w:rPr>
          <w:sz w:val="22"/>
        </w:rPr>
      </w:pPr>
      <w:r w:rsidRPr="00A435B7">
        <w:rPr>
          <w:sz w:val="22"/>
        </w:rPr>
        <w:t>Here, excerpted directly from the Omnibus rule, is the precise language on this point:</w:t>
      </w:r>
    </w:p>
    <w:p w:rsidR="00A435B7" w:rsidRPr="00A435B7" w:rsidRDefault="00A435B7">
      <w:pPr>
        <w:rPr>
          <w:sz w:val="22"/>
        </w:rPr>
      </w:pPr>
    </w:p>
    <w:p w:rsidR="00D77804" w:rsidRDefault="00D77804" w:rsidP="00927DA7">
      <w:pPr>
        <w:widowControl w:val="0"/>
        <w:autoSpaceDE w:val="0"/>
        <w:autoSpaceDN w:val="0"/>
        <w:adjustRightInd w:val="0"/>
        <w:ind w:left="720" w:right="720"/>
        <w:rPr>
          <w:rFonts w:cs="Times New Roman"/>
          <w:sz w:val="22"/>
          <w:szCs w:val="18"/>
        </w:rPr>
      </w:pPr>
      <w:r>
        <w:rPr>
          <w:rFonts w:cs="Times New Roman"/>
          <w:sz w:val="22"/>
          <w:szCs w:val="18"/>
        </w:rPr>
        <w:t xml:space="preserve">Comment: Several </w:t>
      </w:r>
      <w:proofErr w:type="spellStart"/>
      <w:r>
        <w:rPr>
          <w:rFonts w:cs="Times New Roman"/>
          <w:sz w:val="22"/>
          <w:szCs w:val="18"/>
        </w:rPr>
        <w:t>commenters</w:t>
      </w:r>
      <w:proofErr w:type="spellEnd"/>
      <w:r>
        <w:rPr>
          <w:rFonts w:cs="Times New Roman"/>
          <w:sz w:val="22"/>
          <w:szCs w:val="18"/>
        </w:rPr>
        <w:t xml:space="preserve"> </w:t>
      </w:r>
      <w:r w:rsidR="00A435B7" w:rsidRPr="00A435B7">
        <w:rPr>
          <w:rFonts w:cs="Times New Roman"/>
          <w:sz w:val="22"/>
          <w:szCs w:val="18"/>
        </w:rPr>
        <w:t>specifically commented on the option to</w:t>
      </w:r>
      <w:r>
        <w:rPr>
          <w:rFonts w:cs="Times New Roman"/>
          <w:sz w:val="22"/>
          <w:szCs w:val="18"/>
        </w:rPr>
        <w:t xml:space="preserve"> </w:t>
      </w:r>
      <w:r w:rsidR="00A435B7" w:rsidRPr="00A435B7">
        <w:rPr>
          <w:rFonts w:cs="Times New Roman"/>
          <w:sz w:val="22"/>
          <w:szCs w:val="18"/>
        </w:rPr>
        <w:t>provide electronic protected health</w:t>
      </w:r>
      <w:r>
        <w:rPr>
          <w:rFonts w:cs="Times New Roman"/>
          <w:sz w:val="22"/>
          <w:szCs w:val="18"/>
        </w:rPr>
        <w:t xml:space="preserve"> </w:t>
      </w:r>
      <w:r w:rsidR="00A435B7" w:rsidRPr="00A435B7">
        <w:rPr>
          <w:rFonts w:cs="Times New Roman"/>
          <w:sz w:val="22"/>
          <w:szCs w:val="18"/>
        </w:rPr>
        <w:t>information via unencrypted email.</w:t>
      </w:r>
      <w:r>
        <w:rPr>
          <w:rFonts w:cs="Times New Roman"/>
          <w:sz w:val="22"/>
          <w:szCs w:val="18"/>
        </w:rPr>
        <w:t xml:space="preserve">  </w:t>
      </w:r>
      <w:r w:rsidR="00A435B7" w:rsidRPr="00A435B7">
        <w:rPr>
          <w:rFonts w:cs="Times New Roman"/>
          <w:sz w:val="22"/>
          <w:szCs w:val="18"/>
        </w:rPr>
        <w:t>Covered entities requested clarification</w:t>
      </w:r>
      <w:r>
        <w:rPr>
          <w:rFonts w:cs="Times New Roman"/>
          <w:sz w:val="22"/>
          <w:szCs w:val="18"/>
        </w:rPr>
        <w:t xml:space="preserve"> </w:t>
      </w:r>
      <w:r w:rsidR="00A435B7" w:rsidRPr="00A435B7">
        <w:rPr>
          <w:rFonts w:cs="Times New Roman"/>
          <w:sz w:val="22"/>
          <w:szCs w:val="18"/>
        </w:rPr>
        <w:t>that they are permitted to send</w:t>
      </w:r>
      <w:r>
        <w:rPr>
          <w:rFonts w:cs="Times New Roman"/>
          <w:sz w:val="22"/>
          <w:szCs w:val="18"/>
        </w:rPr>
        <w:t xml:space="preserve"> </w:t>
      </w:r>
      <w:r w:rsidR="00A435B7" w:rsidRPr="00A435B7">
        <w:rPr>
          <w:rFonts w:cs="Times New Roman"/>
          <w:sz w:val="22"/>
          <w:szCs w:val="18"/>
        </w:rPr>
        <w:t>individuals unencrypted emails if</w:t>
      </w:r>
      <w:r>
        <w:rPr>
          <w:rFonts w:cs="Times New Roman"/>
          <w:sz w:val="22"/>
          <w:szCs w:val="18"/>
        </w:rPr>
        <w:t xml:space="preserve"> </w:t>
      </w:r>
      <w:r w:rsidR="00A435B7" w:rsidRPr="00A435B7">
        <w:rPr>
          <w:rFonts w:cs="Times New Roman"/>
          <w:sz w:val="22"/>
          <w:szCs w:val="18"/>
        </w:rPr>
        <w:t>they</w:t>
      </w:r>
      <w:r>
        <w:rPr>
          <w:rFonts w:cs="Times New Roman"/>
          <w:sz w:val="22"/>
          <w:szCs w:val="18"/>
        </w:rPr>
        <w:t xml:space="preserve"> </w:t>
      </w:r>
      <w:r w:rsidR="00A435B7" w:rsidRPr="00A435B7">
        <w:rPr>
          <w:rFonts w:cs="Times New Roman"/>
          <w:sz w:val="22"/>
          <w:szCs w:val="18"/>
        </w:rPr>
        <w:t>have advised the individual of the risk,</w:t>
      </w:r>
      <w:r>
        <w:rPr>
          <w:rFonts w:cs="Times New Roman"/>
          <w:sz w:val="22"/>
          <w:szCs w:val="18"/>
        </w:rPr>
        <w:t xml:space="preserve"> </w:t>
      </w:r>
      <w:r w:rsidR="00A435B7" w:rsidRPr="00A435B7">
        <w:rPr>
          <w:rFonts w:cs="Times New Roman"/>
          <w:sz w:val="22"/>
          <w:szCs w:val="18"/>
        </w:rPr>
        <w:t>and the individual still prefers the</w:t>
      </w:r>
      <w:r>
        <w:rPr>
          <w:rFonts w:cs="Times New Roman"/>
          <w:sz w:val="22"/>
          <w:szCs w:val="18"/>
        </w:rPr>
        <w:t xml:space="preserve"> </w:t>
      </w:r>
      <w:r w:rsidR="00A435B7" w:rsidRPr="00A435B7">
        <w:rPr>
          <w:rFonts w:cs="Times New Roman"/>
          <w:sz w:val="22"/>
          <w:szCs w:val="18"/>
        </w:rPr>
        <w:t>unencrypted email. Some felt that the</w:t>
      </w:r>
      <w:r>
        <w:rPr>
          <w:rFonts w:cs="Times New Roman"/>
          <w:sz w:val="22"/>
          <w:szCs w:val="18"/>
        </w:rPr>
        <w:t xml:space="preserve"> </w:t>
      </w:r>
      <w:r w:rsidR="00A435B7" w:rsidRPr="00A435B7">
        <w:rPr>
          <w:rFonts w:cs="Times New Roman"/>
          <w:sz w:val="22"/>
          <w:szCs w:val="18"/>
        </w:rPr>
        <w:t>‘‘duty to warn’’ individuals of risks</w:t>
      </w:r>
      <w:r>
        <w:rPr>
          <w:rFonts w:cs="Times New Roman"/>
          <w:sz w:val="22"/>
          <w:szCs w:val="18"/>
        </w:rPr>
        <w:t xml:space="preserve"> </w:t>
      </w:r>
      <w:r w:rsidR="00A435B7" w:rsidRPr="00A435B7">
        <w:rPr>
          <w:rFonts w:cs="Times New Roman"/>
          <w:sz w:val="22"/>
          <w:szCs w:val="18"/>
        </w:rPr>
        <w:t>as</w:t>
      </w:r>
      <w:r>
        <w:rPr>
          <w:rFonts w:cs="Times New Roman"/>
          <w:sz w:val="22"/>
          <w:szCs w:val="18"/>
        </w:rPr>
        <w:t xml:space="preserve">sociated with unencrypted email </w:t>
      </w:r>
      <w:r w:rsidR="00A435B7" w:rsidRPr="00A435B7">
        <w:rPr>
          <w:rFonts w:cs="Times New Roman"/>
          <w:sz w:val="22"/>
          <w:szCs w:val="18"/>
        </w:rPr>
        <w:t>would be unduly burdensome on</w:t>
      </w:r>
      <w:r>
        <w:rPr>
          <w:rFonts w:cs="Times New Roman"/>
          <w:sz w:val="22"/>
          <w:szCs w:val="18"/>
        </w:rPr>
        <w:t xml:space="preserve"> covered entities.  </w:t>
      </w:r>
      <w:r w:rsidR="00A435B7" w:rsidRPr="00A435B7">
        <w:rPr>
          <w:rFonts w:cs="Times New Roman"/>
          <w:sz w:val="22"/>
          <w:szCs w:val="18"/>
        </w:rPr>
        <w:t>Covered entities also</w:t>
      </w:r>
      <w:r>
        <w:rPr>
          <w:rFonts w:cs="Times New Roman"/>
          <w:sz w:val="22"/>
          <w:szCs w:val="18"/>
        </w:rPr>
        <w:t xml:space="preserve"> </w:t>
      </w:r>
      <w:r w:rsidR="00A435B7" w:rsidRPr="00A435B7">
        <w:rPr>
          <w:rFonts w:cs="Times New Roman"/>
          <w:sz w:val="22"/>
          <w:szCs w:val="18"/>
        </w:rPr>
        <w:t>requested clarification that they would</w:t>
      </w:r>
      <w:r>
        <w:rPr>
          <w:rFonts w:cs="Times New Roman"/>
          <w:sz w:val="22"/>
          <w:szCs w:val="18"/>
        </w:rPr>
        <w:t xml:space="preserve"> </w:t>
      </w:r>
      <w:r w:rsidR="00A435B7" w:rsidRPr="00A435B7">
        <w:rPr>
          <w:rFonts w:cs="Times New Roman"/>
          <w:sz w:val="22"/>
          <w:szCs w:val="18"/>
        </w:rPr>
        <w:t>not be responsible for breach</w:t>
      </w:r>
      <w:r>
        <w:rPr>
          <w:rFonts w:cs="Times New Roman"/>
          <w:sz w:val="22"/>
          <w:szCs w:val="18"/>
        </w:rPr>
        <w:t xml:space="preserve"> </w:t>
      </w:r>
      <w:r w:rsidR="00A435B7" w:rsidRPr="00A435B7">
        <w:rPr>
          <w:rFonts w:cs="Times New Roman"/>
          <w:sz w:val="22"/>
          <w:szCs w:val="18"/>
        </w:rPr>
        <w:t>notification in the event that</w:t>
      </w:r>
      <w:r>
        <w:rPr>
          <w:rFonts w:cs="Times New Roman"/>
          <w:sz w:val="22"/>
          <w:szCs w:val="18"/>
        </w:rPr>
        <w:t xml:space="preserve"> </w:t>
      </w:r>
      <w:r w:rsidR="00A435B7" w:rsidRPr="00A435B7">
        <w:rPr>
          <w:rFonts w:cs="Times New Roman"/>
          <w:sz w:val="22"/>
          <w:szCs w:val="18"/>
        </w:rPr>
        <w:t>unauthorized access of protected health</w:t>
      </w:r>
      <w:r>
        <w:rPr>
          <w:rFonts w:cs="Times New Roman"/>
          <w:sz w:val="22"/>
          <w:szCs w:val="18"/>
        </w:rPr>
        <w:t xml:space="preserve"> </w:t>
      </w:r>
      <w:r w:rsidR="00A435B7" w:rsidRPr="00A435B7">
        <w:rPr>
          <w:rFonts w:cs="Times New Roman"/>
          <w:sz w:val="22"/>
          <w:szCs w:val="18"/>
        </w:rPr>
        <w:t>info</w:t>
      </w:r>
      <w:r>
        <w:rPr>
          <w:rFonts w:cs="Times New Roman"/>
          <w:sz w:val="22"/>
          <w:szCs w:val="18"/>
        </w:rPr>
        <w:t xml:space="preserve">rmation occurred as a result of </w:t>
      </w:r>
      <w:r w:rsidR="00A435B7" w:rsidRPr="00A435B7">
        <w:rPr>
          <w:rFonts w:cs="Times New Roman"/>
          <w:sz w:val="22"/>
          <w:szCs w:val="18"/>
        </w:rPr>
        <w:t>sending an unencrypted email based on</w:t>
      </w:r>
      <w:r>
        <w:rPr>
          <w:rFonts w:cs="Times New Roman"/>
          <w:sz w:val="22"/>
          <w:szCs w:val="18"/>
        </w:rPr>
        <w:t xml:space="preserve"> an </w:t>
      </w:r>
      <w:r w:rsidR="00A435B7" w:rsidRPr="00A435B7">
        <w:rPr>
          <w:rFonts w:cs="Times New Roman"/>
          <w:sz w:val="22"/>
          <w:szCs w:val="18"/>
        </w:rPr>
        <w:t>individual’s request. Finally, one</w:t>
      </w:r>
      <w:r>
        <w:rPr>
          <w:rFonts w:cs="Times New Roman"/>
          <w:sz w:val="22"/>
          <w:szCs w:val="18"/>
        </w:rPr>
        <w:t xml:space="preserve"> </w:t>
      </w:r>
      <w:r w:rsidR="00A435B7" w:rsidRPr="00A435B7">
        <w:rPr>
          <w:rFonts w:cs="Times New Roman"/>
          <w:sz w:val="22"/>
          <w:szCs w:val="18"/>
        </w:rPr>
        <w:t>commenter emphasized the importance</w:t>
      </w:r>
      <w:r>
        <w:rPr>
          <w:rFonts w:cs="Times New Roman"/>
          <w:sz w:val="22"/>
          <w:szCs w:val="18"/>
        </w:rPr>
        <w:t xml:space="preserve"> </w:t>
      </w:r>
      <w:r w:rsidR="00A435B7" w:rsidRPr="00A435B7">
        <w:rPr>
          <w:rFonts w:cs="Times New Roman"/>
          <w:sz w:val="22"/>
          <w:szCs w:val="18"/>
        </w:rPr>
        <w:t>that individuals are allowed to decide if</w:t>
      </w:r>
      <w:r>
        <w:rPr>
          <w:rFonts w:cs="Times New Roman"/>
          <w:sz w:val="22"/>
          <w:szCs w:val="18"/>
        </w:rPr>
        <w:t xml:space="preserve"> </w:t>
      </w:r>
      <w:r w:rsidR="00A435B7" w:rsidRPr="00A435B7">
        <w:rPr>
          <w:rFonts w:cs="Times New Roman"/>
          <w:sz w:val="22"/>
          <w:szCs w:val="18"/>
        </w:rPr>
        <w:t>they want to receive unencrypted</w:t>
      </w:r>
      <w:r>
        <w:rPr>
          <w:rFonts w:cs="Times New Roman"/>
          <w:sz w:val="22"/>
          <w:szCs w:val="18"/>
        </w:rPr>
        <w:t xml:space="preserve"> </w:t>
      </w:r>
      <w:r w:rsidR="00A435B7" w:rsidRPr="00A435B7">
        <w:rPr>
          <w:rFonts w:cs="Times New Roman"/>
          <w:sz w:val="22"/>
          <w:szCs w:val="18"/>
        </w:rPr>
        <w:t>emails.</w:t>
      </w:r>
    </w:p>
    <w:p w:rsidR="00A435B7" w:rsidRPr="00A435B7" w:rsidRDefault="00A435B7" w:rsidP="00927DA7">
      <w:pPr>
        <w:widowControl w:val="0"/>
        <w:autoSpaceDE w:val="0"/>
        <w:autoSpaceDN w:val="0"/>
        <w:adjustRightInd w:val="0"/>
        <w:ind w:left="720" w:right="720"/>
        <w:rPr>
          <w:rFonts w:cs="Times New Roman"/>
          <w:sz w:val="22"/>
          <w:szCs w:val="18"/>
        </w:rPr>
      </w:pPr>
    </w:p>
    <w:p w:rsidR="00927DA7" w:rsidRDefault="00A435B7" w:rsidP="00927DA7">
      <w:pPr>
        <w:widowControl w:val="0"/>
        <w:autoSpaceDE w:val="0"/>
        <w:autoSpaceDN w:val="0"/>
        <w:adjustRightInd w:val="0"/>
        <w:ind w:left="720" w:right="720"/>
        <w:rPr>
          <w:rFonts w:cs="Times New Roman"/>
          <w:sz w:val="22"/>
          <w:szCs w:val="18"/>
        </w:rPr>
      </w:pPr>
      <w:r w:rsidRPr="00A435B7">
        <w:rPr>
          <w:rFonts w:cs="Times New Roman"/>
          <w:sz w:val="22"/>
          <w:szCs w:val="18"/>
        </w:rPr>
        <w:t>Re</w:t>
      </w:r>
      <w:r w:rsidR="00D77804">
        <w:rPr>
          <w:rFonts w:cs="Times New Roman"/>
          <w:sz w:val="22"/>
          <w:szCs w:val="18"/>
        </w:rPr>
        <w:t xml:space="preserve">sponse: We clarify that covered </w:t>
      </w:r>
      <w:r w:rsidRPr="00A435B7">
        <w:rPr>
          <w:rFonts w:cs="Times New Roman"/>
          <w:sz w:val="22"/>
          <w:szCs w:val="18"/>
        </w:rPr>
        <w:t>entities are permitted to send</w:t>
      </w:r>
      <w:r w:rsidR="00D77804">
        <w:rPr>
          <w:rFonts w:cs="Times New Roman"/>
          <w:sz w:val="22"/>
          <w:szCs w:val="18"/>
        </w:rPr>
        <w:t xml:space="preserve"> individuals unencrypted </w:t>
      </w:r>
      <w:r w:rsidRPr="00A435B7">
        <w:rPr>
          <w:rFonts w:cs="Times New Roman"/>
          <w:sz w:val="22"/>
          <w:szCs w:val="18"/>
        </w:rPr>
        <w:t>emails if they</w:t>
      </w:r>
      <w:r w:rsidR="00D77804">
        <w:rPr>
          <w:rFonts w:cs="Times New Roman"/>
          <w:sz w:val="22"/>
          <w:szCs w:val="18"/>
        </w:rPr>
        <w:t xml:space="preserve"> </w:t>
      </w:r>
      <w:r w:rsidRPr="00A435B7">
        <w:rPr>
          <w:rFonts w:cs="Times New Roman"/>
          <w:sz w:val="22"/>
          <w:szCs w:val="18"/>
        </w:rPr>
        <w:t>have advised the individual of the risk,</w:t>
      </w:r>
      <w:r w:rsidR="00D77804">
        <w:rPr>
          <w:rFonts w:cs="Times New Roman"/>
          <w:sz w:val="22"/>
          <w:szCs w:val="18"/>
        </w:rPr>
        <w:t xml:space="preserve"> </w:t>
      </w:r>
      <w:r w:rsidRPr="00A435B7">
        <w:rPr>
          <w:rFonts w:cs="Times New Roman"/>
          <w:sz w:val="22"/>
          <w:szCs w:val="18"/>
        </w:rPr>
        <w:t>and the individual still prefers the</w:t>
      </w:r>
      <w:r w:rsidR="00D77804">
        <w:rPr>
          <w:rFonts w:cs="Times New Roman"/>
          <w:sz w:val="22"/>
          <w:szCs w:val="18"/>
        </w:rPr>
        <w:t xml:space="preserve"> </w:t>
      </w:r>
      <w:r w:rsidRPr="00A435B7">
        <w:rPr>
          <w:rFonts w:cs="Times New Roman"/>
          <w:sz w:val="22"/>
          <w:szCs w:val="18"/>
        </w:rPr>
        <w:t>unencrypted email. We disagree that the</w:t>
      </w:r>
      <w:r w:rsidR="00D77804">
        <w:rPr>
          <w:rFonts w:cs="Times New Roman"/>
          <w:sz w:val="22"/>
          <w:szCs w:val="18"/>
        </w:rPr>
        <w:t xml:space="preserve"> </w:t>
      </w:r>
      <w:r w:rsidRPr="00A435B7">
        <w:rPr>
          <w:rFonts w:cs="Times New Roman"/>
          <w:sz w:val="22"/>
          <w:szCs w:val="18"/>
        </w:rPr>
        <w:t>‘‘duty to warn’’ individuals of risks</w:t>
      </w:r>
      <w:r w:rsidR="00D77804">
        <w:rPr>
          <w:rFonts w:cs="Times New Roman"/>
          <w:sz w:val="22"/>
          <w:szCs w:val="18"/>
        </w:rPr>
        <w:t xml:space="preserve"> associated </w:t>
      </w:r>
      <w:r w:rsidRPr="00A435B7">
        <w:rPr>
          <w:rFonts w:cs="Times New Roman"/>
          <w:sz w:val="22"/>
          <w:szCs w:val="18"/>
        </w:rPr>
        <w:t>with unencrypted email</w:t>
      </w:r>
      <w:r w:rsidR="00D77804">
        <w:rPr>
          <w:rFonts w:cs="Times New Roman"/>
          <w:sz w:val="22"/>
          <w:szCs w:val="18"/>
        </w:rPr>
        <w:t xml:space="preserve"> </w:t>
      </w:r>
      <w:r w:rsidRPr="00A435B7">
        <w:rPr>
          <w:rFonts w:cs="Times New Roman"/>
          <w:sz w:val="22"/>
          <w:szCs w:val="18"/>
        </w:rPr>
        <w:t>would be unduly burdensome on</w:t>
      </w:r>
      <w:r w:rsidR="00D77804">
        <w:rPr>
          <w:rFonts w:cs="Times New Roman"/>
          <w:sz w:val="22"/>
          <w:szCs w:val="18"/>
        </w:rPr>
        <w:t xml:space="preserve"> covered entities and believe t</w:t>
      </w:r>
      <w:r w:rsidRPr="00A435B7">
        <w:rPr>
          <w:rFonts w:cs="Times New Roman"/>
          <w:sz w:val="22"/>
          <w:szCs w:val="18"/>
        </w:rPr>
        <w:t>his is</w:t>
      </w:r>
      <w:r w:rsidR="00D77804">
        <w:rPr>
          <w:rFonts w:cs="Times New Roman"/>
          <w:sz w:val="22"/>
          <w:szCs w:val="18"/>
        </w:rPr>
        <w:t xml:space="preserve"> a </w:t>
      </w:r>
      <w:r w:rsidRPr="00A435B7">
        <w:rPr>
          <w:rFonts w:cs="Times New Roman"/>
          <w:color w:val="000000"/>
          <w:sz w:val="22"/>
          <w:szCs w:val="18"/>
        </w:rPr>
        <w:t>necessary step in protecting the</w:t>
      </w:r>
      <w:r w:rsidR="00D77804">
        <w:rPr>
          <w:rFonts w:cs="Times New Roman"/>
          <w:sz w:val="22"/>
          <w:szCs w:val="18"/>
        </w:rPr>
        <w:t xml:space="preserve"> </w:t>
      </w:r>
      <w:r w:rsidRPr="00A435B7">
        <w:rPr>
          <w:rFonts w:cs="Times New Roman"/>
          <w:color w:val="000000"/>
          <w:sz w:val="22"/>
          <w:szCs w:val="18"/>
        </w:rPr>
        <w:t>protected health information. We do not</w:t>
      </w:r>
      <w:r w:rsidR="00D77804">
        <w:rPr>
          <w:rFonts w:cs="Times New Roman"/>
          <w:sz w:val="22"/>
          <w:szCs w:val="18"/>
        </w:rPr>
        <w:t xml:space="preserve"> </w:t>
      </w:r>
      <w:r w:rsidRPr="00A435B7">
        <w:rPr>
          <w:rFonts w:cs="Times New Roman"/>
          <w:color w:val="000000"/>
          <w:sz w:val="22"/>
          <w:szCs w:val="18"/>
        </w:rPr>
        <w:t>expect covered entities to educate</w:t>
      </w:r>
      <w:r w:rsidR="00D77804">
        <w:rPr>
          <w:rFonts w:cs="Times New Roman"/>
          <w:sz w:val="22"/>
          <w:szCs w:val="18"/>
        </w:rPr>
        <w:t xml:space="preserve"> </w:t>
      </w:r>
      <w:r w:rsidRPr="00A435B7">
        <w:rPr>
          <w:rFonts w:cs="Times New Roman"/>
          <w:color w:val="000000"/>
          <w:sz w:val="22"/>
          <w:szCs w:val="18"/>
        </w:rPr>
        <w:t>individuals about encryption</w:t>
      </w:r>
      <w:r w:rsidR="00D77804">
        <w:rPr>
          <w:rFonts w:cs="Times New Roman"/>
          <w:sz w:val="22"/>
          <w:szCs w:val="18"/>
        </w:rPr>
        <w:t xml:space="preserve"> </w:t>
      </w:r>
      <w:r w:rsidRPr="00A435B7">
        <w:rPr>
          <w:rFonts w:cs="Times New Roman"/>
          <w:color w:val="000000"/>
          <w:sz w:val="22"/>
          <w:szCs w:val="18"/>
        </w:rPr>
        <w:t>technology and the information</w:t>
      </w:r>
      <w:r w:rsidR="00D77804">
        <w:rPr>
          <w:rFonts w:cs="Times New Roman"/>
          <w:sz w:val="22"/>
          <w:szCs w:val="18"/>
        </w:rPr>
        <w:t xml:space="preserve"> </w:t>
      </w:r>
      <w:r w:rsidRPr="00A435B7">
        <w:rPr>
          <w:rFonts w:cs="Times New Roman"/>
          <w:color w:val="000000"/>
          <w:sz w:val="22"/>
          <w:szCs w:val="18"/>
        </w:rPr>
        <w:t>security. Rather, we merely expect the</w:t>
      </w:r>
      <w:r w:rsidR="00D77804">
        <w:rPr>
          <w:rFonts w:cs="Times New Roman"/>
          <w:sz w:val="22"/>
          <w:szCs w:val="18"/>
        </w:rPr>
        <w:t xml:space="preserve"> </w:t>
      </w:r>
      <w:r w:rsidRPr="00A435B7">
        <w:rPr>
          <w:rFonts w:cs="Times New Roman"/>
          <w:color w:val="000000"/>
          <w:sz w:val="22"/>
          <w:szCs w:val="18"/>
        </w:rPr>
        <w:t>covered entity to notify the individual</w:t>
      </w:r>
      <w:r w:rsidR="00D77804">
        <w:rPr>
          <w:rFonts w:cs="Times New Roman"/>
          <w:sz w:val="22"/>
          <w:szCs w:val="18"/>
        </w:rPr>
        <w:t xml:space="preserve"> </w:t>
      </w:r>
      <w:r w:rsidRPr="00A435B7">
        <w:rPr>
          <w:rFonts w:cs="Times New Roman"/>
          <w:color w:val="000000"/>
          <w:sz w:val="22"/>
          <w:szCs w:val="18"/>
        </w:rPr>
        <w:t>that there may be some level of risk that</w:t>
      </w:r>
      <w:r w:rsidR="00D77804">
        <w:rPr>
          <w:rFonts w:cs="Times New Roman"/>
          <w:sz w:val="22"/>
          <w:szCs w:val="18"/>
        </w:rPr>
        <w:t xml:space="preserve"> </w:t>
      </w:r>
      <w:r w:rsidRPr="00A435B7">
        <w:rPr>
          <w:rFonts w:cs="Times New Roman"/>
          <w:color w:val="000000"/>
          <w:sz w:val="22"/>
          <w:szCs w:val="18"/>
        </w:rPr>
        <w:t>the information in the email could be</w:t>
      </w:r>
      <w:r w:rsidR="00D77804">
        <w:rPr>
          <w:rFonts w:cs="Times New Roman"/>
          <w:sz w:val="22"/>
          <w:szCs w:val="18"/>
        </w:rPr>
        <w:t xml:space="preserve"> </w:t>
      </w:r>
      <w:r w:rsidRPr="00A435B7">
        <w:rPr>
          <w:rFonts w:cs="Times New Roman"/>
          <w:color w:val="000000"/>
          <w:sz w:val="22"/>
          <w:szCs w:val="18"/>
        </w:rPr>
        <w:t>read by a third party. If individuals are</w:t>
      </w:r>
      <w:r w:rsidR="00D77804">
        <w:rPr>
          <w:rFonts w:cs="Times New Roman"/>
          <w:sz w:val="22"/>
          <w:szCs w:val="18"/>
        </w:rPr>
        <w:t xml:space="preserve"> </w:t>
      </w:r>
      <w:r w:rsidRPr="00A435B7">
        <w:rPr>
          <w:rFonts w:cs="Times New Roman"/>
          <w:color w:val="000000"/>
          <w:sz w:val="22"/>
          <w:szCs w:val="18"/>
        </w:rPr>
        <w:t>notified of the risks and still prefer</w:t>
      </w:r>
      <w:r w:rsidR="00D77804">
        <w:rPr>
          <w:rFonts w:cs="Times New Roman"/>
          <w:sz w:val="22"/>
          <w:szCs w:val="18"/>
        </w:rPr>
        <w:t xml:space="preserve"> </w:t>
      </w:r>
      <w:r w:rsidRPr="00A435B7">
        <w:rPr>
          <w:rFonts w:cs="Times New Roman"/>
          <w:color w:val="000000"/>
          <w:sz w:val="22"/>
          <w:szCs w:val="18"/>
        </w:rPr>
        <w:t>unencrypted email, the individual has</w:t>
      </w:r>
      <w:r w:rsidR="00D77804">
        <w:rPr>
          <w:rFonts w:cs="Times New Roman"/>
          <w:sz w:val="22"/>
          <w:szCs w:val="18"/>
        </w:rPr>
        <w:t xml:space="preserve"> </w:t>
      </w:r>
      <w:r w:rsidRPr="00A435B7">
        <w:rPr>
          <w:rFonts w:cs="Times New Roman"/>
          <w:color w:val="000000"/>
          <w:sz w:val="22"/>
          <w:szCs w:val="18"/>
        </w:rPr>
        <w:t>the right to receive protected health</w:t>
      </w:r>
      <w:r w:rsidR="00D77804">
        <w:rPr>
          <w:rFonts w:cs="Times New Roman"/>
          <w:sz w:val="22"/>
          <w:szCs w:val="18"/>
        </w:rPr>
        <w:t xml:space="preserve"> </w:t>
      </w:r>
      <w:r w:rsidRPr="00A435B7">
        <w:rPr>
          <w:rFonts w:cs="Times New Roman"/>
          <w:color w:val="000000"/>
          <w:sz w:val="22"/>
          <w:szCs w:val="18"/>
        </w:rPr>
        <w:t>information in that way, and covered</w:t>
      </w:r>
      <w:r w:rsidR="00D77804">
        <w:rPr>
          <w:rFonts w:cs="Times New Roman"/>
          <w:sz w:val="22"/>
          <w:szCs w:val="18"/>
        </w:rPr>
        <w:t xml:space="preserve"> </w:t>
      </w:r>
      <w:r w:rsidRPr="00A435B7">
        <w:rPr>
          <w:rFonts w:cs="Times New Roman"/>
          <w:color w:val="000000"/>
          <w:sz w:val="22"/>
          <w:szCs w:val="18"/>
        </w:rPr>
        <w:t>entities are not responsible for</w:t>
      </w:r>
      <w:r w:rsidR="00D77804">
        <w:rPr>
          <w:rFonts w:cs="Times New Roman"/>
          <w:sz w:val="22"/>
          <w:szCs w:val="18"/>
        </w:rPr>
        <w:t xml:space="preserve"> </w:t>
      </w:r>
      <w:r w:rsidRPr="00A435B7">
        <w:rPr>
          <w:rFonts w:cs="Times New Roman"/>
          <w:color w:val="000000"/>
          <w:sz w:val="22"/>
          <w:szCs w:val="18"/>
        </w:rPr>
        <w:t>unauthorized access of protected health</w:t>
      </w:r>
      <w:r w:rsidR="00D77804">
        <w:rPr>
          <w:rFonts w:cs="Times New Roman"/>
          <w:sz w:val="22"/>
          <w:szCs w:val="18"/>
        </w:rPr>
        <w:t xml:space="preserve"> </w:t>
      </w:r>
      <w:r w:rsidRPr="00A435B7">
        <w:rPr>
          <w:rFonts w:cs="Times New Roman"/>
          <w:color w:val="000000"/>
          <w:sz w:val="22"/>
          <w:szCs w:val="18"/>
        </w:rPr>
        <w:t>information while in transmission to the</w:t>
      </w:r>
      <w:r w:rsidR="00D77804">
        <w:rPr>
          <w:rFonts w:cs="Times New Roman"/>
          <w:sz w:val="22"/>
          <w:szCs w:val="18"/>
        </w:rPr>
        <w:t xml:space="preserve"> </w:t>
      </w:r>
      <w:r w:rsidRPr="00A435B7">
        <w:rPr>
          <w:rFonts w:cs="Times New Roman"/>
          <w:color w:val="000000"/>
          <w:sz w:val="22"/>
          <w:szCs w:val="18"/>
        </w:rPr>
        <w:t>individual based on the individual’s</w:t>
      </w:r>
      <w:r w:rsidR="00D77804">
        <w:rPr>
          <w:rFonts w:cs="Times New Roman"/>
          <w:sz w:val="22"/>
          <w:szCs w:val="18"/>
        </w:rPr>
        <w:t xml:space="preserve"> </w:t>
      </w:r>
      <w:r w:rsidRPr="00A435B7">
        <w:rPr>
          <w:rFonts w:cs="Times New Roman"/>
          <w:color w:val="000000"/>
          <w:sz w:val="22"/>
          <w:szCs w:val="18"/>
        </w:rPr>
        <w:t>request. Further, covered entities are not</w:t>
      </w:r>
      <w:r w:rsidR="00D77804">
        <w:rPr>
          <w:rFonts w:cs="Times New Roman"/>
          <w:sz w:val="22"/>
          <w:szCs w:val="18"/>
        </w:rPr>
        <w:t xml:space="preserve"> </w:t>
      </w:r>
      <w:r w:rsidRPr="00A435B7">
        <w:rPr>
          <w:rFonts w:cs="Times New Roman"/>
          <w:color w:val="000000"/>
          <w:sz w:val="22"/>
          <w:szCs w:val="18"/>
        </w:rPr>
        <w:t>responsible for safeguarding information</w:t>
      </w:r>
      <w:r w:rsidR="00D77804">
        <w:rPr>
          <w:rFonts w:cs="Times New Roman"/>
          <w:sz w:val="22"/>
          <w:szCs w:val="18"/>
        </w:rPr>
        <w:t xml:space="preserve"> </w:t>
      </w:r>
      <w:r w:rsidRPr="00A435B7">
        <w:rPr>
          <w:rFonts w:cs="Times New Roman"/>
          <w:color w:val="000000"/>
          <w:sz w:val="22"/>
          <w:szCs w:val="18"/>
        </w:rPr>
        <w:t>once delivered to the individual.</w:t>
      </w:r>
      <w:r w:rsidR="00D77804">
        <w:rPr>
          <w:rStyle w:val="FootnoteReference"/>
          <w:rFonts w:cs="Times New Roman"/>
          <w:color w:val="000000"/>
          <w:sz w:val="22"/>
          <w:szCs w:val="18"/>
        </w:rPr>
        <w:footnoteReference w:id="-1"/>
      </w:r>
      <w:r w:rsidR="00D77804">
        <w:rPr>
          <w:rFonts w:cs="Times New Roman"/>
          <w:sz w:val="22"/>
          <w:szCs w:val="18"/>
        </w:rPr>
        <w:t xml:space="preserve">  </w:t>
      </w:r>
    </w:p>
    <w:p w:rsidR="00927DA7" w:rsidRDefault="00927DA7" w:rsidP="00927DA7">
      <w:pPr>
        <w:widowControl w:val="0"/>
        <w:autoSpaceDE w:val="0"/>
        <w:autoSpaceDN w:val="0"/>
        <w:adjustRightInd w:val="0"/>
        <w:ind w:left="720" w:right="720"/>
        <w:rPr>
          <w:rFonts w:cs="Times New Roman"/>
          <w:sz w:val="22"/>
          <w:szCs w:val="18"/>
        </w:rPr>
      </w:pPr>
    </w:p>
    <w:p w:rsidR="00BB4F9C" w:rsidRPr="00D77804" w:rsidRDefault="00AE4A56" w:rsidP="00927DA7">
      <w:pPr>
        <w:widowControl w:val="0"/>
        <w:autoSpaceDE w:val="0"/>
        <w:autoSpaceDN w:val="0"/>
        <w:adjustRightInd w:val="0"/>
        <w:rPr>
          <w:rFonts w:cs="Times New Roman"/>
          <w:sz w:val="22"/>
          <w:szCs w:val="18"/>
        </w:rPr>
      </w:pPr>
      <w:r>
        <w:rPr>
          <w:rFonts w:cs="Times New Roman"/>
          <w:sz w:val="22"/>
          <w:szCs w:val="18"/>
        </w:rPr>
        <w:t xml:space="preserve">This guidance was provided in the context of implementing an individual’s right under HITECH and HIPAA to get electronic access to their protected health information, but there is no reason why different standards would apply with respect to any communications between a health care provider and patient.  If the patient wants those communications via a methodology that is more convenient for them – but is unsecure – the provider should be able to meet the patient’s wishes, without being in violation of the HIPAA Security Rule, as long as the safeguards above re: transparency to the patient and confirming the patient’s wishes, are honored.  </w:t>
      </w:r>
    </w:p>
    <w:sectPr w:rsidR="00BB4F9C" w:rsidRPr="00D77804" w:rsidSect="00BB4F9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E4A56" w:rsidRDefault="00AE4A56">
      <w:pPr>
        <w:pStyle w:val="FootnoteText"/>
      </w:pPr>
      <w:r>
        <w:rPr>
          <w:rStyle w:val="FootnoteReference"/>
        </w:rPr>
        <w:footnoteRef/>
      </w:r>
      <w:r>
        <w:t xml:space="preserve"> </w:t>
      </w:r>
      <w:r w:rsidRPr="00A435B7">
        <w:rPr>
          <w:rFonts w:cs="Times New Roman"/>
          <w:color w:val="000000"/>
          <w:sz w:val="22"/>
          <w:szCs w:val="18"/>
        </w:rPr>
        <w:t xml:space="preserve">78 Fed. </w:t>
      </w:r>
      <w:proofErr w:type="gramStart"/>
      <w:r w:rsidRPr="00A435B7">
        <w:rPr>
          <w:rFonts w:cs="Times New Roman"/>
          <w:color w:val="000000"/>
          <w:sz w:val="22"/>
          <w:szCs w:val="18"/>
        </w:rPr>
        <w:t>Reg. 5634 (January 25, 2013)</w:t>
      </w:r>
      <w:r>
        <w:rPr>
          <w:rFonts w:cs="Times New Roman"/>
          <w:color w:val="000000"/>
          <w:sz w:val="22"/>
          <w:szCs w:val="18"/>
        </w:rPr>
        <w: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230"/>
    <w:rsid w:val="003459E4"/>
    <w:rsid w:val="00590230"/>
    <w:rsid w:val="008E5996"/>
    <w:rsid w:val="00927DA7"/>
    <w:rsid w:val="00A435B7"/>
    <w:rsid w:val="00AE4A56"/>
    <w:rsid w:val="00BB4F9C"/>
    <w:rsid w:val="00D77804"/>
    <w:rsid w:val="00E93D51"/>
  </w:rsids>
  <m:mathPr>
    <m:mathFont m:val="Kaiti SC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rPr>
      <w:rFonts w:ascii="Helvetica" w:hAnsi="Helveti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77804"/>
  </w:style>
  <w:style w:type="character" w:customStyle="1" w:styleId="FootnoteTextChar">
    <w:name w:val="Footnote Text Char"/>
    <w:basedOn w:val="DefaultParagraphFont"/>
    <w:link w:val="FootnoteText"/>
    <w:uiPriority w:val="99"/>
    <w:semiHidden/>
    <w:rsid w:val="00D77804"/>
    <w:rPr>
      <w:rFonts w:ascii="Helvetica" w:hAnsi="Helvetica"/>
    </w:rPr>
  </w:style>
  <w:style w:type="character" w:styleId="FootnoteReference">
    <w:name w:val="footnote reference"/>
    <w:basedOn w:val="DefaultParagraphFont"/>
    <w:uiPriority w:val="99"/>
    <w:semiHidden/>
    <w:unhideWhenUsed/>
    <w:rsid w:val="00D77804"/>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742</Words>
  <Characters>4234</Characters>
  <Application>Microsoft Macintosh Word</Application>
  <DocSecurity>0</DocSecurity>
  <Lines>35</Lines>
  <Paragraphs>8</Paragraphs>
  <ScaleCrop>false</ScaleCrop>
  <Company>CDT</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 McGraw</dc:creator>
  <cp:keywords/>
  <cp:lastModifiedBy>Deven McGraw</cp:lastModifiedBy>
  <cp:revision>10</cp:revision>
  <dcterms:created xsi:type="dcterms:W3CDTF">2013-06-24T21:31:00Z</dcterms:created>
  <dcterms:modified xsi:type="dcterms:W3CDTF">2013-06-24T22:26:00Z</dcterms:modified>
</cp:coreProperties>
</file>