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44026505"/>
        <w:docPartObj>
          <w:docPartGallery w:val="Cover Pages"/>
          <w:docPartUnique/>
        </w:docPartObj>
      </w:sdtPr>
      <w:sdtEndPr/>
      <w:sdtContent>
        <w:p w14:paraId="7A01500F" w14:textId="40DE89C9" w:rsidR="00090959" w:rsidRDefault="00090959">
          <w:r>
            <w:rPr>
              <w:noProof/>
            </w:rPr>
            <mc:AlternateContent>
              <mc:Choice Requires="wpg">
                <w:drawing>
                  <wp:anchor distT="0" distB="0" distL="114300" distR="114300" simplePos="0" relativeHeight="251662336" behindDoc="0" locked="0" layoutInCell="1" allowOverlap="1" wp14:anchorId="1F693727" wp14:editId="227595A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1DED4D53"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6704" behindDoc="0" locked="0" layoutInCell="1" allowOverlap="1" wp14:anchorId="0C150D0D" wp14:editId="3458B3D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8DF90" w14:textId="0417D101" w:rsidR="00E76581" w:rsidRDefault="006E7D3A">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76581">
                                      <w:rPr>
                                        <w:caps/>
                                        <w:color w:val="4F81BD" w:themeColor="accent1"/>
                                        <w:sz w:val="64"/>
                                        <w:szCs w:val="64"/>
                                      </w:rPr>
                                      <w:t>Health Big Data Recommendations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D157640" w14:textId="19014798" w:rsidR="00E76581" w:rsidRDefault="00E76581">
                                    <w:pPr>
                                      <w:jc w:val="right"/>
                                      <w:rPr>
                                        <w:smallCaps/>
                                        <w:color w:val="404040" w:themeColor="text1" w:themeTint="BF"/>
                                        <w:sz w:val="36"/>
                                        <w:szCs w:val="36"/>
                                      </w:rPr>
                                    </w:pPr>
                                    <w:r>
                                      <w:rPr>
                                        <w:color w:val="404040" w:themeColor="text1" w:themeTint="BF"/>
                                        <w:sz w:val="36"/>
                                        <w:szCs w:val="36"/>
                                      </w:rPr>
                                      <w:t>HITPC Privacy and Security Workgroup</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5="http://schemas.microsoft.com/office/word/2012/wordml">
                <w:pict>
                  <v:shapetype w14:anchorId="0C150D0D" id="_x0000_t202" coordsize="21600,21600" o:spt="202" path="m,l,21600r21600,l21600,xe">
                    <v:stroke joinstyle="miter"/>
                    <v:path gradientshapeok="t" o:connecttype="rect"/>
                  </v:shapetype>
                  <v:shape id="Text Box 154" o:spid="_x0000_s1026" type="#_x0000_t202" style="position:absolute;margin-left:0;margin-top:0;width:8in;height:286.5pt;z-index:25165670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" filled="f" stroked="f" strokeweight=".5pt">
                    <v:textbox inset="126pt,0,54pt,0">
                      <w:txbxContent>
                        <w:p w14:paraId="4A28DF90" w14:textId="0417D101" w:rsidR="00E76581" w:rsidRDefault="00E76581">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Health Big Data Recommendations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D157640" w14:textId="19014798" w:rsidR="00E76581" w:rsidRDefault="00E76581">
                              <w:pPr>
                                <w:jc w:val="right"/>
                                <w:rPr>
                                  <w:smallCaps/>
                                  <w:color w:val="404040" w:themeColor="text1" w:themeTint="BF"/>
                                  <w:sz w:val="36"/>
                                  <w:szCs w:val="36"/>
                                </w:rPr>
                              </w:pPr>
                              <w:r>
                                <w:rPr>
                                  <w:color w:val="404040" w:themeColor="text1" w:themeTint="BF"/>
                                  <w:sz w:val="36"/>
                                  <w:szCs w:val="36"/>
                                </w:rPr>
                                <w:t>HITPC Privacy and Security Workgroup</w:t>
                              </w:r>
                            </w:p>
                          </w:sdtContent>
                        </w:sdt>
                      </w:txbxContent>
                    </v:textbox>
                    <w10:wrap type="square" anchorx="page" anchory="page"/>
                  </v:shape>
                </w:pict>
              </mc:Fallback>
            </mc:AlternateContent>
          </w:r>
        </w:p>
        <w:p w14:paraId="31D2C8E9" w14:textId="18053694" w:rsidR="00090959" w:rsidRDefault="00090959">
          <w:r>
            <w:br w:type="page"/>
          </w:r>
        </w:p>
      </w:sdtContent>
    </w:sdt>
    <w:sdt>
      <w:sdtPr>
        <w:rPr>
          <w:rFonts w:asciiTheme="minorHAnsi" w:eastAsiaTheme="minorEastAsia" w:hAnsiTheme="minorHAnsi" w:cstheme="minorBidi"/>
          <w:color w:val="auto"/>
          <w:sz w:val="24"/>
          <w:szCs w:val="24"/>
        </w:rPr>
        <w:id w:val="1118650587"/>
        <w:docPartObj>
          <w:docPartGallery w:val="Table of Contents"/>
          <w:docPartUnique/>
        </w:docPartObj>
      </w:sdtPr>
      <w:sdtEndPr>
        <w:rPr>
          <w:b/>
          <w:bCs/>
          <w:noProof/>
        </w:rPr>
      </w:sdtEndPr>
      <w:sdtContent>
        <w:p w14:paraId="57CFD563" w14:textId="14307075" w:rsidR="002F4D82" w:rsidRPr="004705EE" w:rsidRDefault="002F4D82">
          <w:pPr>
            <w:pStyle w:val="TOCHeading"/>
          </w:pPr>
          <w:r w:rsidRPr="004705EE">
            <w:t>Table of Contents</w:t>
          </w:r>
        </w:p>
        <w:p w14:paraId="483B0CD2" w14:textId="77777777" w:rsidR="003A6165" w:rsidRDefault="002F4D82">
          <w:pPr>
            <w:pStyle w:val="TOC1"/>
            <w:tabs>
              <w:tab w:val="left" w:pos="480"/>
              <w:tab w:val="right" w:leader="dot" w:pos="9350"/>
            </w:tabs>
            <w:rPr>
              <w:noProof/>
              <w:sz w:val="22"/>
              <w:szCs w:val="22"/>
            </w:rPr>
          </w:pPr>
          <w:r w:rsidRPr="005F2AF0">
            <w:rPr>
              <w:rFonts w:asciiTheme="majorHAnsi" w:hAnsiTheme="majorHAnsi"/>
            </w:rPr>
            <w:fldChar w:fldCharType="begin"/>
          </w:r>
          <w:r w:rsidRPr="00A641AD">
            <w:rPr>
              <w:rFonts w:asciiTheme="majorHAnsi" w:hAnsiTheme="majorHAnsi"/>
            </w:rPr>
            <w:instrText xml:space="preserve"> TOC \o "1-3" \h \z \u </w:instrText>
          </w:r>
          <w:r w:rsidRPr="005F2AF0">
            <w:rPr>
              <w:rFonts w:asciiTheme="majorHAnsi" w:hAnsiTheme="majorHAnsi"/>
            </w:rPr>
            <w:fldChar w:fldCharType="separate"/>
          </w:r>
          <w:hyperlink w:anchor="_Toc425145054" w:history="1">
            <w:r w:rsidR="003A6165" w:rsidRPr="009323D1">
              <w:rPr>
                <w:rStyle w:val="Hyperlink"/>
                <w:noProof/>
              </w:rPr>
              <w:t>1</w:t>
            </w:r>
            <w:r w:rsidR="003A6165">
              <w:rPr>
                <w:noProof/>
                <w:sz w:val="22"/>
                <w:szCs w:val="22"/>
              </w:rPr>
              <w:tab/>
            </w:r>
            <w:r w:rsidR="003A6165" w:rsidRPr="009323D1">
              <w:rPr>
                <w:rStyle w:val="Hyperlink"/>
                <w:noProof/>
              </w:rPr>
              <w:t>Introduction</w:t>
            </w:r>
            <w:r w:rsidR="003A6165">
              <w:rPr>
                <w:noProof/>
                <w:webHidden/>
              </w:rPr>
              <w:tab/>
            </w:r>
            <w:r w:rsidR="003A6165">
              <w:rPr>
                <w:noProof/>
                <w:webHidden/>
              </w:rPr>
              <w:fldChar w:fldCharType="begin"/>
            </w:r>
            <w:r w:rsidR="003A6165">
              <w:rPr>
                <w:noProof/>
                <w:webHidden/>
              </w:rPr>
              <w:instrText xml:space="preserve"> PAGEREF _Toc425145054 \h </w:instrText>
            </w:r>
            <w:r w:rsidR="003A6165">
              <w:rPr>
                <w:noProof/>
                <w:webHidden/>
              </w:rPr>
            </w:r>
            <w:r w:rsidR="003A6165">
              <w:rPr>
                <w:noProof/>
                <w:webHidden/>
              </w:rPr>
              <w:fldChar w:fldCharType="separate"/>
            </w:r>
            <w:r w:rsidR="006E7D3A">
              <w:rPr>
                <w:noProof/>
                <w:webHidden/>
              </w:rPr>
              <w:t>3</w:t>
            </w:r>
            <w:r w:rsidR="003A6165">
              <w:rPr>
                <w:noProof/>
                <w:webHidden/>
              </w:rPr>
              <w:fldChar w:fldCharType="end"/>
            </w:r>
          </w:hyperlink>
        </w:p>
        <w:p w14:paraId="1C67ABBC" w14:textId="77777777" w:rsidR="003A6165" w:rsidRDefault="006E7D3A">
          <w:pPr>
            <w:pStyle w:val="TOC2"/>
            <w:tabs>
              <w:tab w:val="left" w:pos="880"/>
              <w:tab w:val="right" w:leader="dot" w:pos="9350"/>
            </w:tabs>
            <w:rPr>
              <w:noProof/>
              <w:sz w:val="22"/>
              <w:szCs w:val="22"/>
            </w:rPr>
          </w:pPr>
          <w:hyperlink w:anchor="_Toc425145055" w:history="1">
            <w:r w:rsidR="003A6165" w:rsidRPr="009323D1">
              <w:rPr>
                <w:rStyle w:val="Hyperlink"/>
                <w:noProof/>
              </w:rPr>
              <w:t>1.1</w:t>
            </w:r>
            <w:r w:rsidR="003A6165">
              <w:rPr>
                <w:noProof/>
                <w:sz w:val="22"/>
                <w:szCs w:val="22"/>
              </w:rPr>
              <w:tab/>
            </w:r>
            <w:r w:rsidR="003A6165" w:rsidRPr="009323D1">
              <w:rPr>
                <w:rStyle w:val="Hyperlink"/>
                <w:noProof/>
              </w:rPr>
              <w:t>Opportunities and Challenges</w:t>
            </w:r>
            <w:r w:rsidR="003A6165">
              <w:rPr>
                <w:noProof/>
                <w:webHidden/>
              </w:rPr>
              <w:tab/>
            </w:r>
            <w:r w:rsidR="003A6165">
              <w:rPr>
                <w:noProof/>
                <w:webHidden/>
              </w:rPr>
              <w:fldChar w:fldCharType="begin"/>
            </w:r>
            <w:r w:rsidR="003A6165">
              <w:rPr>
                <w:noProof/>
                <w:webHidden/>
              </w:rPr>
              <w:instrText xml:space="preserve"> PAGEREF _Toc425145055 \h </w:instrText>
            </w:r>
            <w:r w:rsidR="003A6165">
              <w:rPr>
                <w:noProof/>
                <w:webHidden/>
              </w:rPr>
            </w:r>
            <w:r w:rsidR="003A6165">
              <w:rPr>
                <w:noProof/>
                <w:webHidden/>
              </w:rPr>
              <w:fldChar w:fldCharType="separate"/>
            </w:r>
            <w:r>
              <w:rPr>
                <w:noProof/>
                <w:webHidden/>
              </w:rPr>
              <w:t>3</w:t>
            </w:r>
            <w:r w:rsidR="003A6165">
              <w:rPr>
                <w:noProof/>
                <w:webHidden/>
              </w:rPr>
              <w:fldChar w:fldCharType="end"/>
            </w:r>
          </w:hyperlink>
        </w:p>
        <w:p w14:paraId="5033FDCC" w14:textId="77777777" w:rsidR="003A6165" w:rsidRDefault="006E7D3A">
          <w:pPr>
            <w:pStyle w:val="TOC2"/>
            <w:tabs>
              <w:tab w:val="left" w:pos="880"/>
              <w:tab w:val="right" w:leader="dot" w:pos="9350"/>
            </w:tabs>
            <w:rPr>
              <w:noProof/>
              <w:sz w:val="22"/>
              <w:szCs w:val="22"/>
            </w:rPr>
          </w:pPr>
          <w:hyperlink w:anchor="_Toc425145056" w:history="1">
            <w:r w:rsidR="003A6165" w:rsidRPr="009323D1">
              <w:rPr>
                <w:rStyle w:val="Hyperlink"/>
                <w:noProof/>
              </w:rPr>
              <w:t>1.2</w:t>
            </w:r>
            <w:r w:rsidR="003A6165">
              <w:rPr>
                <w:noProof/>
                <w:sz w:val="22"/>
                <w:szCs w:val="22"/>
              </w:rPr>
              <w:tab/>
            </w:r>
            <w:r w:rsidR="003A6165" w:rsidRPr="009323D1">
              <w:rPr>
                <w:rStyle w:val="Hyperlink"/>
                <w:noProof/>
              </w:rPr>
              <w:t>Recommendations Summary</w:t>
            </w:r>
            <w:r w:rsidR="003A6165">
              <w:rPr>
                <w:noProof/>
                <w:webHidden/>
              </w:rPr>
              <w:tab/>
            </w:r>
            <w:r w:rsidR="003A6165">
              <w:rPr>
                <w:noProof/>
                <w:webHidden/>
              </w:rPr>
              <w:fldChar w:fldCharType="begin"/>
            </w:r>
            <w:r w:rsidR="003A6165">
              <w:rPr>
                <w:noProof/>
                <w:webHidden/>
              </w:rPr>
              <w:instrText xml:space="preserve"> PAGEREF _Toc425145056 \h </w:instrText>
            </w:r>
            <w:r w:rsidR="003A6165">
              <w:rPr>
                <w:noProof/>
                <w:webHidden/>
              </w:rPr>
            </w:r>
            <w:r w:rsidR="003A6165">
              <w:rPr>
                <w:noProof/>
                <w:webHidden/>
              </w:rPr>
              <w:fldChar w:fldCharType="separate"/>
            </w:r>
            <w:r>
              <w:rPr>
                <w:noProof/>
                <w:webHidden/>
              </w:rPr>
              <w:t>4</w:t>
            </w:r>
            <w:r w:rsidR="003A6165">
              <w:rPr>
                <w:noProof/>
                <w:webHidden/>
              </w:rPr>
              <w:fldChar w:fldCharType="end"/>
            </w:r>
          </w:hyperlink>
        </w:p>
        <w:p w14:paraId="759C6548" w14:textId="77777777" w:rsidR="003A6165" w:rsidRDefault="006E7D3A">
          <w:pPr>
            <w:pStyle w:val="TOC1"/>
            <w:tabs>
              <w:tab w:val="left" w:pos="480"/>
              <w:tab w:val="right" w:leader="dot" w:pos="9350"/>
            </w:tabs>
            <w:rPr>
              <w:noProof/>
              <w:sz w:val="22"/>
              <w:szCs w:val="22"/>
            </w:rPr>
          </w:pPr>
          <w:hyperlink w:anchor="_Toc425145057" w:history="1">
            <w:r w:rsidR="003A6165" w:rsidRPr="009323D1">
              <w:rPr>
                <w:rStyle w:val="Hyperlink"/>
                <w:noProof/>
              </w:rPr>
              <w:t>2</w:t>
            </w:r>
            <w:r w:rsidR="003A6165">
              <w:rPr>
                <w:noProof/>
                <w:sz w:val="22"/>
                <w:szCs w:val="22"/>
              </w:rPr>
              <w:tab/>
            </w:r>
            <w:r w:rsidR="003A6165" w:rsidRPr="009323D1">
              <w:rPr>
                <w:rStyle w:val="Hyperlink"/>
                <w:noProof/>
              </w:rPr>
              <w:t>Background</w:t>
            </w:r>
            <w:r w:rsidR="003A6165">
              <w:rPr>
                <w:noProof/>
                <w:webHidden/>
              </w:rPr>
              <w:tab/>
            </w:r>
            <w:r w:rsidR="003A6165">
              <w:rPr>
                <w:noProof/>
                <w:webHidden/>
              </w:rPr>
              <w:fldChar w:fldCharType="begin"/>
            </w:r>
            <w:r w:rsidR="003A6165">
              <w:rPr>
                <w:noProof/>
                <w:webHidden/>
              </w:rPr>
              <w:instrText xml:space="preserve"> PAGEREF _Toc425145057 \h </w:instrText>
            </w:r>
            <w:r w:rsidR="003A6165">
              <w:rPr>
                <w:noProof/>
                <w:webHidden/>
              </w:rPr>
            </w:r>
            <w:r w:rsidR="003A6165">
              <w:rPr>
                <w:noProof/>
                <w:webHidden/>
              </w:rPr>
              <w:fldChar w:fldCharType="separate"/>
            </w:r>
            <w:r>
              <w:rPr>
                <w:noProof/>
                <w:webHidden/>
              </w:rPr>
              <w:t>6</w:t>
            </w:r>
            <w:r w:rsidR="003A6165">
              <w:rPr>
                <w:noProof/>
                <w:webHidden/>
              </w:rPr>
              <w:fldChar w:fldCharType="end"/>
            </w:r>
          </w:hyperlink>
        </w:p>
        <w:p w14:paraId="0BE663C2" w14:textId="77777777" w:rsidR="003A6165" w:rsidRDefault="006E7D3A">
          <w:pPr>
            <w:pStyle w:val="TOC2"/>
            <w:tabs>
              <w:tab w:val="left" w:pos="880"/>
              <w:tab w:val="right" w:leader="dot" w:pos="9350"/>
            </w:tabs>
            <w:rPr>
              <w:noProof/>
              <w:sz w:val="22"/>
              <w:szCs w:val="22"/>
            </w:rPr>
          </w:pPr>
          <w:hyperlink w:anchor="_Toc425145058" w:history="1">
            <w:r w:rsidR="003A6165" w:rsidRPr="009323D1">
              <w:rPr>
                <w:rStyle w:val="Hyperlink"/>
                <w:noProof/>
              </w:rPr>
              <w:t>2.1</w:t>
            </w:r>
            <w:r w:rsidR="003A6165">
              <w:rPr>
                <w:noProof/>
                <w:sz w:val="22"/>
                <w:szCs w:val="22"/>
              </w:rPr>
              <w:tab/>
            </w:r>
            <w:r w:rsidR="003A6165" w:rsidRPr="009323D1">
              <w:rPr>
                <w:rStyle w:val="Hyperlink"/>
                <w:noProof/>
              </w:rPr>
              <w:t>Privacy and Security Workgroup Charge</w:t>
            </w:r>
            <w:r w:rsidR="003A6165">
              <w:rPr>
                <w:noProof/>
                <w:webHidden/>
              </w:rPr>
              <w:tab/>
            </w:r>
            <w:r w:rsidR="003A6165">
              <w:rPr>
                <w:noProof/>
                <w:webHidden/>
              </w:rPr>
              <w:fldChar w:fldCharType="begin"/>
            </w:r>
            <w:r w:rsidR="003A6165">
              <w:rPr>
                <w:noProof/>
                <w:webHidden/>
              </w:rPr>
              <w:instrText xml:space="preserve"> PAGEREF _Toc425145058 \h </w:instrText>
            </w:r>
            <w:r w:rsidR="003A6165">
              <w:rPr>
                <w:noProof/>
                <w:webHidden/>
              </w:rPr>
            </w:r>
            <w:r w:rsidR="003A6165">
              <w:rPr>
                <w:noProof/>
                <w:webHidden/>
              </w:rPr>
              <w:fldChar w:fldCharType="separate"/>
            </w:r>
            <w:r>
              <w:rPr>
                <w:noProof/>
                <w:webHidden/>
              </w:rPr>
              <w:t>6</w:t>
            </w:r>
            <w:r w:rsidR="003A6165">
              <w:rPr>
                <w:noProof/>
                <w:webHidden/>
              </w:rPr>
              <w:fldChar w:fldCharType="end"/>
            </w:r>
          </w:hyperlink>
        </w:p>
        <w:p w14:paraId="208DD2D5" w14:textId="77777777" w:rsidR="003A6165" w:rsidRDefault="006E7D3A">
          <w:pPr>
            <w:pStyle w:val="TOC3"/>
            <w:tabs>
              <w:tab w:val="left" w:pos="1320"/>
              <w:tab w:val="right" w:leader="dot" w:pos="9350"/>
            </w:tabs>
            <w:rPr>
              <w:noProof/>
              <w:sz w:val="22"/>
              <w:szCs w:val="22"/>
            </w:rPr>
          </w:pPr>
          <w:hyperlink w:anchor="_Toc425145059" w:history="1">
            <w:r w:rsidR="003A6165" w:rsidRPr="009323D1">
              <w:rPr>
                <w:rStyle w:val="Hyperlink"/>
                <w:noProof/>
              </w:rPr>
              <w:t>2.1.1</w:t>
            </w:r>
            <w:r w:rsidR="003A6165">
              <w:rPr>
                <w:noProof/>
                <w:sz w:val="22"/>
                <w:szCs w:val="22"/>
              </w:rPr>
              <w:tab/>
            </w:r>
            <w:r w:rsidR="003A6165" w:rsidRPr="009323D1">
              <w:rPr>
                <w:rStyle w:val="Hyperlink"/>
                <w:noProof/>
              </w:rPr>
              <w:t>White House Report on Big Data and the President’s Council on Advisors for Science and Technology Report</w:t>
            </w:r>
            <w:r w:rsidR="003A6165">
              <w:rPr>
                <w:noProof/>
                <w:webHidden/>
              </w:rPr>
              <w:tab/>
            </w:r>
            <w:r w:rsidR="003A6165">
              <w:rPr>
                <w:noProof/>
                <w:webHidden/>
              </w:rPr>
              <w:fldChar w:fldCharType="begin"/>
            </w:r>
            <w:r w:rsidR="003A6165">
              <w:rPr>
                <w:noProof/>
                <w:webHidden/>
              </w:rPr>
              <w:instrText xml:space="preserve"> PAGEREF _Toc425145059 \h </w:instrText>
            </w:r>
            <w:r w:rsidR="003A6165">
              <w:rPr>
                <w:noProof/>
                <w:webHidden/>
              </w:rPr>
            </w:r>
            <w:r w:rsidR="003A6165">
              <w:rPr>
                <w:noProof/>
                <w:webHidden/>
              </w:rPr>
              <w:fldChar w:fldCharType="separate"/>
            </w:r>
            <w:r>
              <w:rPr>
                <w:noProof/>
                <w:webHidden/>
              </w:rPr>
              <w:t>6</w:t>
            </w:r>
            <w:r w:rsidR="003A6165">
              <w:rPr>
                <w:noProof/>
                <w:webHidden/>
              </w:rPr>
              <w:fldChar w:fldCharType="end"/>
            </w:r>
          </w:hyperlink>
        </w:p>
        <w:p w14:paraId="7BDE088C" w14:textId="77777777" w:rsidR="003A6165" w:rsidRDefault="006E7D3A">
          <w:pPr>
            <w:pStyle w:val="TOC3"/>
            <w:tabs>
              <w:tab w:val="left" w:pos="1320"/>
              <w:tab w:val="right" w:leader="dot" w:pos="9350"/>
            </w:tabs>
            <w:rPr>
              <w:noProof/>
              <w:sz w:val="22"/>
              <w:szCs w:val="22"/>
            </w:rPr>
          </w:pPr>
          <w:hyperlink w:anchor="_Toc425145060" w:history="1">
            <w:r w:rsidR="003A6165" w:rsidRPr="009323D1">
              <w:rPr>
                <w:rStyle w:val="Hyperlink"/>
                <w:noProof/>
              </w:rPr>
              <w:t>2.1.2</w:t>
            </w:r>
            <w:r w:rsidR="003A6165">
              <w:rPr>
                <w:noProof/>
                <w:sz w:val="22"/>
                <w:szCs w:val="22"/>
              </w:rPr>
              <w:tab/>
            </w:r>
            <w:r w:rsidR="003A6165" w:rsidRPr="009323D1">
              <w:rPr>
                <w:rStyle w:val="Hyperlink"/>
                <w:noProof/>
              </w:rPr>
              <w:t>White House Open Government Partnership</w:t>
            </w:r>
            <w:r w:rsidR="003A6165">
              <w:rPr>
                <w:noProof/>
                <w:webHidden/>
              </w:rPr>
              <w:tab/>
            </w:r>
            <w:r w:rsidR="003A6165">
              <w:rPr>
                <w:noProof/>
                <w:webHidden/>
              </w:rPr>
              <w:fldChar w:fldCharType="begin"/>
            </w:r>
            <w:r w:rsidR="003A6165">
              <w:rPr>
                <w:noProof/>
                <w:webHidden/>
              </w:rPr>
              <w:instrText xml:space="preserve"> PAGEREF _Toc425145060 \h </w:instrText>
            </w:r>
            <w:r w:rsidR="003A6165">
              <w:rPr>
                <w:noProof/>
                <w:webHidden/>
              </w:rPr>
            </w:r>
            <w:r w:rsidR="003A6165">
              <w:rPr>
                <w:noProof/>
                <w:webHidden/>
              </w:rPr>
              <w:fldChar w:fldCharType="separate"/>
            </w:r>
            <w:r>
              <w:rPr>
                <w:noProof/>
                <w:webHidden/>
              </w:rPr>
              <w:t>7</w:t>
            </w:r>
            <w:r w:rsidR="003A6165">
              <w:rPr>
                <w:noProof/>
                <w:webHidden/>
              </w:rPr>
              <w:fldChar w:fldCharType="end"/>
            </w:r>
          </w:hyperlink>
        </w:p>
        <w:p w14:paraId="0FFAD487" w14:textId="77777777" w:rsidR="003A6165" w:rsidRDefault="006E7D3A">
          <w:pPr>
            <w:pStyle w:val="TOC2"/>
            <w:tabs>
              <w:tab w:val="left" w:pos="880"/>
              <w:tab w:val="right" w:leader="dot" w:pos="9350"/>
            </w:tabs>
            <w:rPr>
              <w:noProof/>
              <w:sz w:val="22"/>
              <w:szCs w:val="22"/>
            </w:rPr>
          </w:pPr>
          <w:hyperlink w:anchor="_Toc425145061" w:history="1">
            <w:r w:rsidR="003A6165" w:rsidRPr="009323D1">
              <w:rPr>
                <w:rStyle w:val="Hyperlink"/>
                <w:noProof/>
              </w:rPr>
              <w:t>2.2</w:t>
            </w:r>
            <w:r w:rsidR="003A6165">
              <w:rPr>
                <w:noProof/>
                <w:sz w:val="22"/>
                <w:szCs w:val="22"/>
              </w:rPr>
              <w:tab/>
            </w:r>
            <w:r w:rsidR="003A6165" w:rsidRPr="009323D1">
              <w:rPr>
                <w:rStyle w:val="Hyperlink"/>
                <w:noProof/>
              </w:rPr>
              <w:t>PSWG Plan of Action</w:t>
            </w:r>
            <w:r w:rsidR="003A6165">
              <w:rPr>
                <w:noProof/>
                <w:webHidden/>
              </w:rPr>
              <w:tab/>
            </w:r>
            <w:r w:rsidR="003A6165">
              <w:rPr>
                <w:noProof/>
                <w:webHidden/>
              </w:rPr>
              <w:fldChar w:fldCharType="begin"/>
            </w:r>
            <w:r w:rsidR="003A6165">
              <w:rPr>
                <w:noProof/>
                <w:webHidden/>
              </w:rPr>
              <w:instrText xml:space="preserve"> PAGEREF _Toc425145061 \h </w:instrText>
            </w:r>
            <w:r w:rsidR="003A6165">
              <w:rPr>
                <w:noProof/>
                <w:webHidden/>
              </w:rPr>
            </w:r>
            <w:r w:rsidR="003A6165">
              <w:rPr>
                <w:noProof/>
                <w:webHidden/>
              </w:rPr>
              <w:fldChar w:fldCharType="separate"/>
            </w:r>
            <w:r>
              <w:rPr>
                <w:noProof/>
                <w:webHidden/>
              </w:rPr>
              <w:t>7</w:t>
            </w:r>
            <w:r w:rsidR="003A6165">
              <w:rPr>
                <w:noProof/>
                <w:webHidden/>
              </w:rPr>
              <w:fldChar w:fldCharType="end"/>
            </w:r>
          </w:hyperlink>
        </w:p>
        <w:p w14:paraId="24B807A7" w14:textId="77777777" w:rsidR="003A6165" w:rsidRDefault="006E7D3A">
          <w:pPr>
            <w:pStyle w:val="TOC1"/>
            <w:tabs>
              <w:tab w:val="left" w:pos="480"/>
              <w:tab w:val="right" w:leader="dot" w:pos="9350"/>
            </w:tabs>
            <w:rPr>
              <w:noProof/>
              <w:sz w:val="22"/>
              <w:szCs w:val="22"/>
            </w:rPr>
          </w:pPr>
          <w:hyperlink w:anchor="_Toc425145062" w:history="1">
            <w:r w:rsidR="003A6165" w:rsidRPr="009323D1">
              <w:rPr>
                <w:rStyle w:val="Hyperlink"/>
                <w:noProof/>
              </w:rPr>
              <w:t>3</w:t>
            </w:r>
            <w:r w:rsidR="003A6165">
              <w:rPr>
                <w:noProof/>
                <w:sz w:val="22"/>
                <w:szCs w:val="22"/>
              </w:rPr>
              <w:tab/>
            </w:r>
            <w:r w:rsidR="003A6165" w:rsidRPr="009323D1">
              <w:rPr>
                <w:rStyle w:val="Hyperlink"/>
                <w:noProof/>
              </w:rPr>
              <w:t>Scope</w:t>
            </w:r>
            <w:r w:rsidR="003A6165">
              <w:rPr>
                <w:noProof/>
                <w:webHidden/>
              </w:rPr>
              <w:tab/>
            </w:r>
            <w:r w:rsidR="003A6165">
              <w:rPr>
                <w:noProof/>
                <w:webHidden/>
              </w:rPr>
              <w:fldChar w:fldCharType="begin"/>
            </w:r>
            <w:r w:rsidR="003A6165">
              <w:rPr>
                <w:noProof/>
                <w:webHidden/>
              </w:rPr>
              <w:instrText xml:space="preserve"> PAGEREF _Toc425145062 \h </w:instrText>
            </w:r>
            <w:r w:rsidR="003A6165">
              <w:rPr>
                <w:noProof/>
                <w:webHidden/>
              </w:rPr>
            </w:r>
            <w:r w:rsidR="003A6165">
              <w:rPr>
                <w:noProof/>
                <w:webHidden/>
              </w:rPr>
              <w:fldChar w:fldCharType="separate"/>
            </w:r>
            <w:r>
              <w:rPr>
                <w:noProof/>
                <w:webHidden/>
              </w:rPr>
              <w:t>8</w:t>
            </w:r>
            <w:r w:rsidR="003A6165">
              <w:rPr>
                <w:noProof/>
                <w:webHidden/>
              </w:rPr>
              <w:fldChar w:fldCharType="end"/>
            </w:r>
          </w:hyperlink>
        </w:p>
        <w:p w14:paraId="430A4585" w14:textId="77777777" w:rsidR="003A6165" w:rsidRDefault="006E7D3A">
          <w:pPr>
            <w:pStyle w:val="TOC1"/>
            <w:tabs>
              <w:tab w:val="left" w:pos="480"/>
              <w:tab w:val="right" w:leader="dot" w:pos="9350"/>
            </w:tabs>
            <w:rPr>
              <w:noProof/>
              <w:sz w:val="22"/>
              <w:szCs w:val="22"/>
            </w:rPr>
          </w:pPr>
          <w:hyperlink w:anchor="_Toc425145063" w:history="1">
            <w:r w:rsidR="003A6165" w:rsidRPr="009323D1">
              <w:rPr>
                <w:rStyle w:val="Hyperlink"/>
                <w:noProof/>
              </w:rPr>
              <w:t>4</w:t>
            </w:r>
            <w:r w:rsidR="003A6165">
              <w:rPr>
                <w:noProof/>
                <w:sz w:val="22"/>
                <w:szCs w:val="22"/>
              </w:rPr>
              <w:tab/>
            </w:r>
            <w:r w:rsidR="003A6165" w:rsidRPr="009323D1">
              <w:rPr>
                <w:rStyle w:val="Hyperlink"/>
                <w:noProof/>
              </w:rPr>
              <w:t>Public Testimony</w:t>
            </w:r>
            <w:r w:rsidR="003A6165">
              <w:rPr>
                <w:noProof/>
                <w:webHidden/>
              </w:rPr>
              <w:tab/>
            </w:r>
            <w:r w:rsidR="003A6165">
              <w:rPr>
                <w:noProof/>
                <w:webHidden/>
              </w:rPr>
              <w:fldChar w:fldCharType="begin"/>
            </w:r>
            <w:r w:rsidR="003A6165">
              <w:rPr>
                <w:noProof/>
                <w:webHidden/>
              </w:rPr>
              <w:instrText xml:space="preserve"> PAGEREF _Toc425145063 \h </w:instrText>
            </w:r>
            <w:r w:rsidR="003A6165">
              <w:rPr>
                <w:noProof/>
                <w:webHidden/>
              </w:rPr>
            </w:r>
            <w:r w:rsidR="003A6165">
              <w:rPr>
                <w:noProof/>
                <w:webHidden/>
              </w:rPr>
              <w:fldChar w:fldCharType="separate"/>
            </w:r>
            <w:r>
              <w:rPr>
                <w:noProof/>
                <w:webHidden/>
              </w:rPr>
              <w:t>8</w:t>
            </w:r>
            <w:r w:rsidR="003A6165">
              <w:rPr>
                <w:noProof/>
                <w:webHidden/>
              </w:rPr>
              <w:fldChar w:fldCharType="end"/>
            </w:r>
          </w:hyperlink>
        </w:p>
        <w:p w14:paraId="7C19CD77" w14:textId="77777777" w:rsidR="003A6165" w:rsidRDefault="006E7D3A">
          <w:pPr>
            <w:pStyle w:val="TOC2"/>
            <w:tabs>
              <w:tab w:val="left" w:pos="880"/>
              <w:tab w:val="right" w:leader="dot" w:pos="9350"/>
            </w:tabs>
            <w:rPr>
              <w:noProof/>
              <w:sz w:val="22"/>
              <w:szCs w:val="22"/>
            </w:rPr>
          </w:pPr>
          <w:hyperlink w:anchor="_Toc425145064" w:history="1">
            <w:r w:rsidR="003A6165" w:rsidRPr="009323D1">
              <w:rPr>
                <w:rStyle w:val="Hyperlink"/>
                <w:noProof/>
              </w:rPr>
              <w:t>4.1</w:t>
            </w:r>
            <w:r w:rsidR="003A6165">
              <w:rPr>
                <w:noProof/>
                <w:sz w:val="22"/>
                <w:szCs w:val="22"/>
              </w:rPr>
              <w:tab/>
            </w:r>
            <w:r w:rsidR="003A6165" w:rsidRPr="009323D1">
              <w:rPr>
                <w:rStyle w:val="Hyperlink"/>
                <w:noProof/>
              </w:rPr>
              <w:t>Concerns about Tools Commonly Used to Protect Privacy</w:t>
            </w:r>
            <w:r w:rsidR="003A6165">
              <w:rPr>
                <w:noProof/>
                <w:webHidden/>
              </w:rPr>
              <w:tab/>
            </w:r>
            <w:r w:rsidR="003A6165">
              <w:rPr>
                <w:noProof/>
                <w:webHidden/>
              </w:rPr>
              <w:fldChar w:fldCharType="begin"/>
            </w:r>
            <w:r w:rsidR="003A6165">
              <w:rPr>
                <w:noProof/>
                <w:webHidden/>
              </w:rPr>
              <w:instrText xml:space="preserve"> PAGEREF _Toc425145064 \h </w:instrText>
            </w:r>
            <w:r w:rsidR="003A6165">
              <w:rPr>
                <w:noProof/>
                <w:webHidden/>
              </w:rPr>
            </w:r>
            <w:r w:rsidR="003A6165">
              <w:rPr>
                <w:noProof/>
                <w:webHidden/>
              </w:rPr>
              <w:fldChar w:fldCharType="separate"/>
            </w:r>
            <w:r>
              <w:rPr>
                <w:noProof/>
                <w:webHidden/>
              </w:rPr>
              <w:t>9</w:t>
            </w:r>
            <w:r w:rsidR="003A6165">
              <w:rPr>
                <w:noProof/>
                <w:webHidden/>
              </w:rPr>
              <w:fldChar w:fldCharType="end"/>
            </w:r>
          </w:hyperlink>
        </w:p>
        <w:p w14:paraId="04EC3962" w14:textId="77777777" w:rsidR="003A6165" w:rsidRDefault="006E7D3A">
          <w:pPr>
            <w:pStyle w:val="TOC3"/>
            <w:tabs>
              <w:tab w:val="left" w:pos="1320"/>
              <w:tab w:val="right" w:leader="dot" w:pos="9350"/>
            </w:tabs>
            <w:rPr>
              <w:noProof/>
              <w:sz w:val="22"/>
              <w:szCs w:val="22"/>
            </w:rPr>
          </w:pPr>
          <w:hyperlink w:anchor="_Toc425145065" w:history="1">
            <w:r w:rsidR="003A6165" w:rsidRPr="009323D1">
              <w:rPr>
                <w:rStyle w:val="Hyperlink"/>
                <w:noProof/>
              </w:rPr>
              <w:t>4.1.1</w:t>
            </w:r>
            <w:r w:rsidR="003A6165">
              <w:rPr>
                <w:noProof/>
                <w:sz w:val="22"/>
                <w:szCs w:val="22"/>
              </w:rPr>
              <w:tab/>
            </w:r>
            <w:r w:rsidR="003A6165" w:rsidRPr="009323D1">
              <w:rPr>
                <w:rStyle w:val="Hyperlink"/>
                <w:noProof/>
              </w:rPr>
              <w:t>De-identification</w:t>
            </w:r>
            <w:r w:rsidR="003A6165">
              <w:rPr>
                <w:noProof/>
                <w:webHidden/>
              </w:rPr>
              <w:tab/>
            </w:r>
            <w:r w:rsidR="003A6165">
              <w:rPr>
                <w:noProof/>
                <w:webHidden/>
              </w:rPr>
              <w:fldChar w:fldCharType="begin"/>
            </w:r>
            <w:r w:rsidR="003A6165">
              <w:rPr>
                <w:noProof/>
                <w:webHidden/>
              </w:rPr>
              <w:instrText xml:space="preserve"> PAGEREF _Toc425145065 \h </w:instrText>
            </w:r>
            <w:r w:rsidR="003A6165">
              <w:rPr>
                <w:noProof/>
                <w:webHidden/>
              </w:rPr>
            </w:r>
            <w:r w:rsidR="003A6165">
              <w:rPr>
                <w:noProof/>
                <w:webHidden/>
              </w:rPr>
              <w:fldChar w:fldCharType="separate"/>
            </w:r>
            <w:r>
              <w:rPr>
                <w:noProof/>
                <w:webHidden/>
              </w:rPr>
              <w:t>9</w:t>
            </w:r>
            <w:r w:rsidR="003A6165">
              <w:rPr>
                <w:noProof/>
                <w:webHidden/>
              </w:rPr>
              <w:fldChar w:fldCharType="end"/>
            </w:r>
          </w:hyperlink>
        </w:p>
        <w:p w14:paraId="75620E7C" w14:textId="77777777" w:rsidR="003A6165" w:rsidRDefault="006E7D3A">
          <w:pPr>
            <w:pStyle w:val="TOC3"/>
            <w:tabs>
              <w:tab w:val="left" w:pos="1320"/>
              <w:tab w:val="right" w:leader="dot" w:pos="9350"/>
            </w:tabs>
            <w:rPr>
              <w:noProof/>
              <w:sz w:val="22"/>
              <w:szCs w:val="22"/>
            </w:rPr>
          </w:pPr>
          <w:hyperlink w:anchor="_Toc425145066" w:history="1">
            <w:r w:rsidR="003A6165" w:rsidRPr="009323D1">
              <w:rPr>
                <w:rStyle w:val="Hyperlink"/>
                <w:noProof/>
              </w:rPr>
              <w:t>4.1.2</w:t>
            </w:r>
            <w:r w:rsidR="003A6165">
              <w:rPr>
                <w:noProof/>
                <w:sz w:val="22"/>
                <w:szCs w:val="22"/>
              </w:rPr>
              <w:tab/>
            </w:r>
            <w:r w:rsidR="003A6165" w:rsidRPr="009323D1">
              <w:rPr>
                <w:rStyle w:val="Hyperlink"/>
                <w:noProof/>
              </w:rPr>
              <w:t>Patient consent</w:t>
            </w:r>
            <w:r w:rsidR="003A6165">
              <w:rPr>
                <w:noProof/>
                <w:webHidden/>
              </w:rPr>
              <w:tab/>
            </w:r>
            <w:r w:rsidR="003A6165">
              <w:rPr>
                <w:noProof/>
                <w:webHidden/>
              </w:rPr>
              <w:fldChar w:fldCharType="begin"/>
            </w:r>
            <w:r w:rsidR="003A6165">
              <w:rPr>
                <w:noProof/>
                <w:webHidden/>
              </w:rPr>
              <w:instrText xml:space="preserve"> PAGEREF _Toc425145066 \h </w:instrText>
            </w:r>
            <w:r w:rsidR="003A6165">
              <w:rPr>
                <w:noProof/>
                <w:webHidden/>
              </w:rPr>
            </w:r>
            <w:r w:rsidR="003A6165">
              <w:rPr>
                <w:noProof/>
                <w:webHidden/>
              </w:rPr>
              <w:fldChar w:fldCharType="separate"/>
            </w:r>
            <w:r>
              <w:rPr>
                <w:noProof/>
                <w:webHidden/>
              </w:rPr>
              <w:t>9</w:t>
            </w:r>
            <w:r w:rsidR="003A6165">
              <w:rPr>
                <w:noProof/>
                <w:webHidden/>
              </w:rPr>
              <w:fldChar w:fldCharType="end"/>
            </w:r>
          </w:hyperlink>
        </w:p>
        <w:p w14:paraId="4DD2997E" w14:textId="77777777" w:rsidR="003A6165" w:rsidRDefault="006E7D3A">
          <w:pPr>
            <w:pStyle w:val="TOC3"/>
            <w:tabs>
              <w:tab w:val="left" w:pos="1320"/>
              <w:tab w:val="right" w:leader="dot" w:pos="9350"/>
            </w:tabs>
            <w:rPr>
              <w:noProof/>
              <w:sz w:val="22"/>
              <w:szCs w:val="22"/>
            </w:rPr>
          </w:pPr>
          <w:hyperlink w:anchor="_Toc425145067" w:history="1">
            <w:r w:rsidR="003A6165" w:rsidRPr="009323D1">
              <w:rPr>
                <w:rStyle w:val="Hyperlink"/>
                <w:noProof/>
              </w:rPr>
              <w:t>4.1.3</w:t>
            </w:r>
            <w:r w:rsidR="003A6165">
              <w:rPr>
                <w:noProof/>
                <w:sz w:val="22"/>
                <w:szCs w:val="22"/>
              </w:rPr>
              <w:tab/>
            </w:r>
            <w:r w:rsidR="003A6165" w:rsidRPr="009323D1">
              <w:rPr>
                <w:rStyle w:val="Hyperlink"/>
                <w:noProof/>
              </w:rPr>
              <w:t>Data security</w:t>
            </w:r>
            <w:r w:rsidR="003A6165">
              <w:rPr>
                <w:noProof/>
                <w:webHidden/>
              </w:rPr>
              <w:tab/>
            </w:r>
            <w:r w:rsidR="003A6165">
              <w:rPr>
                <w:noProof/>
                <w:webHidden/>
              </w:rPr>
              <w:fldChar w:fldCharType="begin"/>
            </w:r>
            <w:r w:rsidR="003A6165">
              <w:rPr>
                <w:noProof/>
                <w:webHidden/>
              </w:rPr>
              <w:instrText xml:space="preserve"> PAGEREF _Toc425145067 \h </w:instrText>
            </w:r>
            <w:r w:rsidR="003A6165">
              <w:rPr>
                <w:noProof/>
                <w:webHidden/>
              </w:rPr>
            </w:r>
            <w:r w:rsidR="003A6165">
              <w:rPr>
                <w:noProof/>
                <w:webHidden/>
              </w:rPr>
              <w:fldChar w:fldCharType="separate"/>
            </w:r>
            <w:r>
              <w:rPr>
                <w:noProof/>
                <w:webHidden/>
              </w:rPr>
              <w:t>9</w:t>
            </w:r>
            <w:r w:rsidR="003A6165">
              <w:rPr>
                <w:noProof/>
                <w:webHidden/>
              </w:rPr>
              <w:fldChar w:fldCharType="end"/>
            </w:r>
          </w:hyperlink>
        </w:p>
        <w:p w14:paraId="235746B9" w14:textId="77777777" w:rsidR="003A6165" w:rsidRDefault="006E7D3A">
          <w:pPr>
            <w:pStyle w:val="TOC3"/>
            <w:tabs>
              <w:tab w:val="left" w:pos="1320"/>
              <w:tab w:val="right" w:leader="dot" w:pos="9350"/>
            </w:tabs>
            <w:rPr>
              <w:noProof/>
              <w:sz w:val="22"/>
              <w:szCs w:val="22"/>
            </w:rPr>
          </w:pPr>
          <w:hyperlink w:anchor="_Toc425145068" w:history="1">
            <w:r w:rsidR="003A6165" w:rsidRPr="009323D1">
              <w:rPr>
                <w:rStyle w:val="Hyperlink"/>
                <w:noProof/>
              </w:rPr>
              <w:t>4.1.4</w:t>
            </w:r>
            <w:r w:rsidR="003A6165">
              <w:rPr>
                <w:noProof/>
                <w:sz w:val="22"/>
                <w:szCs w:val="22"/>
              </w:rPr>
              <w:tab/>
            </w:r>
            <w:r w:rsidR="003A6165" w:rsidRPr="009323D1">
              <w:rPr>
                <w:rStyle w:val="Hyperlink"/>
                <w:noProof/>
              </w:rPr>
              <w:t>Transparency</w:t>
            </w:r>
            <w:r w:rsidR="003A6165">
              <w:rPr>
                <w:noProof/>
                <w:webHidden/>
              </w:rPr>
              <w:tab/>
            </w:r>
            <w:r w:rsidR="003A6165">
              <w:rPr>
                <w:noProof/>
                <w:webHidden/>
              </w:rPr>
              <w:fldChar w:fldCharType="begin"/>
            </w:r>
            <w:r w:rsidR="003A6165">
              <w:rPr>
                <w:noProof/>
                <w:webHidden/>
              </w:rPr>
              <w:instrText xml:space="preserve"> PAGEREF _Toc425145068 \h </w:instrText>
            </w:r>
            <w:r w:rsidR="003A6165">
              <w:rPr>
                <w:noProof/>
                <w:webHidden/>
              </w:rPr>
            </w:r>
            <w:r w:rsidR="003A6165">
              <w:rPr>
                <w:noProof/>
                <w:webHidden/>
              </w:rPr>
              <w:fldChar w:fldCharType="separate"/>
            </w:r>
            <w:r>
              <w:rPr>
                <w:noProof/>
                <w:webHidden/>
              </w:rPr>
              <w:t>10</w:t>
            </w:r>
            <w:r w:rsidR="003A6165">
              <w:rPr>
                <w:noProof/>
                <w:webHidden/>
              </w:rPr>
              <w:fldChar w:fldCharType="end"/>
            </w:r>
          </w:hyperlink>
        </w:p>
        <w:p w14:paraId="6640F9C7" w14:textId="77777777" w:rsidR="003A6165" w:rsidRDefault="006E7D3A">
          <w:pPr>
            <w:pStyle w:val="TOC3"/>
            <w:tabs>
              <w:tab w:val="left" w:pos="1320"/>
              <w:tab w:val="right" w:leader="dot" w:pos="9350"/>
            </w:tabs>
            <w:rPr>
              <w:noProof/>
              <w:sz w:val="22"/>
              <w:szCs w:val="22"/>
            </w:rPr>
          </w:pPr>
          <w:hyperlink w:anchor="_Toc425145069" w:history="1">
            <w:r w:rsidR="003A6165" w:rsidRPr="009323D1">
              <w:rPr>
                <w:rStyle w:val="Hyperlink"/>
                <w:noProof/>
              </w:rPr>
              <w:t>4.1.5</w:t>
            </w:r>
            <w:r w:rsidR="003A6165">
              <w:rPr>
                <w:noProof/>
                <w:sz w:val="22"/>
                <w:szCs w:val="22"/>
              </w:rPr>
              <w:tab/>
            </w:r>
            <w:r w:rsidR="003A6165" w:rsidRPr="009323D1">
              <w:rPr>
                <w:rStyle w:val="Hyperlink"/>
                <w:noProof/>
              </w:rPr>
              <w:t>Collection, use, and purpose limitation</w:t>
            </w:r>
            <w:r w:rsidR="003A6165">
              <w:rPr>
                <w:noProof/>
                <w:webHidden/>
              </w:rPr>
              <w:tab/>
            </w:r>
            <w:r w:rsidR="003A6165">
              <w:rPr>
                <w:noProof/>
                <w:webHidden/>
              </w:rPr>
              <w:fldChar w:fldCharType="begin"/>
            </w:r>
            <w:r w:rsidR="003A6165">
              <w:rPr>
                <w:noProof/>
                <w:webHidden/>
              </w:rPr>
              <w:instrText xml:space="preserve"> PAGEREF _Toc425145069 \h </w:instrText>
            </w:r>
            <w:r w:rsidR="003A6165">
              <w:rPr>
                <w:noProof/>
                <w:webHidden/>
              </w:rPr>
            </w:r>
            <w:r w:rsidR="003A6165">
              <w:rPr>
                <w:noProof/>
                <w:webHidden/>
              </w:rPr>
              <w:fldChar w:fldCharType="separate"/>
            </w:r>
            <w:r>
              <w:rPr>
                <w:noProof/>
                <w:webHidden/>
              </w:rPr>
              <w:t>10</w:t>
            </w:r>
            <w:r w:rsidR="003A6165">
              <w:rPr>
                <w:noProof/>
                <w:webHidden/>
              </w:rPr>
              <w:fldChar w:fldCharType="end"/>
            </w:r>
          </w:hyperlink>
        </w:p>
        <w:p w14:paraId="65BB2793" w14:textId="77777777" w:rsidR="003A6165" w:rsidRDefault="006E7D3A">
          <w:pPr>
            <w:pStyle w:val="TOC2"/>
            <w:tabs>
              <w:tab w:val="left" w:pos="880"/>
              <w:tab w:val="right" w:leader="dot" w:pos="9350"/>
            </w:tabs>
            <w:rPr>
              <w:noProof/>
              <w:sz w:val="22"/>
              <w:szCs w:val="22"/>
            </w:rPr>
          </w:pPr>
          <w:hyperlink w:anchor="_Toc425145070" w:history="1">
            <w:r w:rsidR="003A6165" w:rsidRPr="009323D1">
              <w:rPr>
                <w:rStyle w:val="Hyperlink"/>
                <w:noProof/>
              </w:rPr>
              <w:t>4.2</w:t>
            </w:r>
            <w:r w:rsidR="003A6165">
              <w:rPr>
                <w:noProof/>
                <w:sz w:val="22"/>
                <w:szCs w:val="22"/>
              </w:rPr>
              <w:tab/>
            </w:r>
            <w:r w:rsidR="003A6165" w:rsidRPr="009323D1">
              <w:rPr>
                <w:rStyle w:val="Hyperlink"/>
                <w:noProof/>
              </w:rPr>
              <w:t>Preventing, Limiting, and Redressing Privacy Harms</w:t>
            </w:r>
            <w:r w:rsidR="003A6165">
              <w:rPr>
                <w:noProof/>
                <w:webHidden/>
              </w:rPr>
              <w:tab/>
            </w:r>
            <w:r w:rsidR="003A6165">
              <w:rPr>
                <w:noProof/>
                <w:webHidden/>
              </w:rPr>
              <w:fldChar w:fldCharType="begin"/>
            </w:r>
            <w:r w:rsidR="003A6165">
              <w:rPr>
                <w:noProof/>
                <w:webHidden/>
              </w:rPr>
              <w:instrText xml:space="preserve"> PAGEREF _Toc425145070 \h </w:instrText>
            </w:r>
            <w:r w:rsidR="003A6165">
              <w:rPr>
                <w:noProof/>
                <w:webHidden/>
              </w:rPr>
            </w:r>
            <w:r w:rsidR="003A6165">
              <w:rPr>
                <w:noProof/>
                <w:webHidden/>
              </w:rPr>
              <w:fldChar w:fldCharType="separate"/>
            </w:r>
            <w:r>
              <w:rPr>
                <w:noProof/>
                <w:webHidden/>
              </w:rPr>
              <w:t>10</w:t>
            </w:r>
            <w:r w:rsidR="003A6165">
              <w:rPr>
                <w:noProof/>
                <w:webHidden/>
              </w:rPr>
              <w:fldChar w:fldCharType="end"/>
            </w:r>
          </w:hyperlink>
        </w:p>
        <w:p w14:paraId="57EA1BE6" w14:textId="77777777" w:rsidR="003A6165" w:rsidRDefault="006E7D3A">
          <w:pPr>
            <w:pStyle w:val="TOC2"/>
            <w:tabs>
              <w:tab w:val="left" w:pos="880"/>
              <w:tab w:val="right" w:leader="dot" w:pos="9350"/>
            </w:tabs>
            <w:rPr>
              <w:noProof/>
              <w:sz w:val="22"/>
              <w:szCs w:val="22"/>
            </w:rPr>
          </w:pPr>
          <w:hyperlink w:anchor="_Toc425145071" w:history="1">
            <w:r w:rsidR="003A6165" w:rsidRPr="009323D1">
              <w:rPr>
                <w:rStyle w:val="Hyperlink"/>
                <w:noProof/>
              </w:rPr>
              <w:t>4.3</w:t>
            </w:r>
            <w:r w:rsidR="003A6165">
              <w:rPr>
                <w:noProof/>
                <w:sz w:val="22"/>
                <w:szCs w:val="22"/>
              </w:rPr>
              <w:tab/>
            </w:r>
            <w:r w:rsidR="003A6165" w:rsidRPr="009323D1">
              <w:rPr>
                <w:rStyle w:val="Hyperlink"/>
                <w:noProof/>
              </w:rPr>
              <w:t>The Complex Health Information Legal Landscape</w:t>
            </w:r>
            <w:r w:rsidR="003A6165">
              <w:rPr>
                <w:noProof/>
                <w:webHidden/>
              </w:rPr>
              <w:tab/>
            </w:r>
            <w:r w:rsidR="003A6165">
              <w:rPr>
                <w:noProof/>
                <w:webHidden/>
              </w:rPr>
              <w:fldChar w:fldCharType="begin"/>
            </w:r>
            <w:r w:rsidR="003A6165">
              <w:rPr>
                <w:noProof/>
                <w:webHidden/>
              </w:rPr>
              <w:instrText xml:space="preserve"> PAGEREF _Toc425145071 \h </w:instrText>
            </w:r>
            <w:r w:rsidR="003A6165">
              <w:rPr>
                <w:noProof/>
                <w:webHidden/>
              </w:rPr>
            </w:r>
            <w:r w:rsidR="003A6165">
              <w:rPr>
                <w:noProof/>
                <w:webHidden/>
              </w:rPr>
              <w:fldChar w:fldCharType="separate"/>
            </w:r>
            <w:r>
              <w:rPr>
                <w:noProof/>
                <w:webHidden/>
              </w:rPr>
              <w:t>11</w:t>
            </w:r>
            <w:r w:rsidR="003A6165">
              <w:rPr>
                <w:noProof/>
                <w:webHidden/>
              </w:rPr>
              <w:fldChar w:fldCharType="end"/>
            </w:r>
          </w:hyperlink>
        </w:p>
        <w:p w14:paraId="4B3D3D2A" w14:textId="77777777" w:rsidR="003A6165" w:rsidRDefault="006E7D3A">
          <w:pPr>
            <w:pStyle w:val="TOC2"/>
            <w:tabs>
              <w:tab w:val="left" w:pos="880"/>
              <w:tab w:val="right" w:leader="dot" w:pos="9350"/>
            </w:tabs>
            <w:rPr>
              <w:noProof/>
              <w:sz w:val="22"/>
              <w:szCs w:val="22"/>
            </w:rPr>
          </w:pPr>
          <w:hyperlink w:anchor="_Toc425145072" w:history="1">
            <w:r w:rsidR="003A6165" w:rsidRPr="009323D1">
              <w:rPr>
                <w:rStyle w:val="Hyperlink"/>
                <w:noProof/>
              </w:rPr>
              <w:t>4.4</w:t>
            </w:r>
            <w:r w:rsidR="003A6165">
              <w:rPr>
                <w:noProof/>
                <w:sz w:val="22"/>
                <w:szCs w:val="22"/>
              </w:rPr>
              <w:tab/>
            </w:r>
            <w:r w:rsidR="003A6165" w:rsidRPr="009323D1">
              <w:rPr>
                <w:rStyle w:val="Hyperlink"/>
                <w:noProof/>
              </w:rPr>
              <w:t>General Suggestions</w:t>
            </w:r>
            <w:r w:rsidR="003A6165">
              <w:rPr>
                <w:noProof/>
                <w:webHidden/>
              </w:rPr>
              <w:tab/>
            </w:r>
            <w:r w:rsidR="003A6165">
              <w:rPr>
                <w:noProof/>
                <w:webHidden/>
              </w:rPr>
              <w:fldChar w:fldCharType="begin"/>
            </w:r>
            <w:r w:rsidR="003A6165">
              <w:rPr>
                <w:noProof/>
                <w:webHidden/>
              </w:rPr>
              <w:instrText xml:space="preserve"> PAGEREF _Toc425145072 \h </w:instrText>
            </w:r>
            <w:r w:rsidR="003A6165">
              <w:rPr>
                <w:noProof/>
                <w:webHidden/>
              </w:rPr>
            </w:r>
            <w:r w:rsidR="003A6165">
              <w:rPr>
                <w:noProof/>
                <w:webHidden/>
              </w:rPr>
              <w:fldChar w:fldCharType="separate"/>
            </w:r>
            <w:r>
              <w:rPr>
                <w:noProof/>
                <w:webHidden/>
              </w:rPr>
              <w:t>11</w:t>
            </w:r>
            <w:r w:rsidR="003A6165">
              <w:rPr>
                <w:noProof/>
                <w:webHidden/>
              </w:rPr>
              <w:fldChar w:fldCharType="end"/>
            </w:r>
          </w:hyperlink>
        </w:p>
        <w:p w14:paraId="076062B5" w14:textId="77777777" w:rsidR="003A6165" w:rsidRDefault="006E7D3A">
          <w:pPr>
            <w:pStyle w:val="TOC1"/>
            <w:tabs>
              <w:tab w:val="left" w:pos="480"/>
              <w:tab w:val="right" w:leader="dot" w:pos="9350"/>
            </w:tabs>
            <w:rPr>
              <w:noProof/>
              <w:sz w:val="22"/>
              <w:szCs w:val="22"/>
            </w:rPr>
          </w:pPr>
          <w:hyperlink w:anchor="_Toc425145073" w:history="1">
            <w:r w:rsidR="003A6165" w:rsidRPr="009323D1">
              <w:rPr>
                <w:rStyle w:val="Hyperlink"/>
                <w:noProof/>
              </w:rPr>
              <w:t>5</w:t>
            </w:r>
            <w:r w:rsidR="003A6165">
              <w:rPr>
                <w:noProof/>
                <w:sz w:val="22"/>
                <w:szCs w:val="22"/>
              </w:rPr>
              <w:tab/>
            </w:r>
            <w:r w:rsidR="003A6165" w:rsidRPr="009323D1">
              <w:rPr>
                <w:rStyle w:val="Hyperlink"/>
                <w:noProof/>
              </w:rPr>
              <w:t>Detailed Problem Statements</w:t>
            </w:r>
            <w:r w:rsidR="003A6165">
              <w:rPr>
                <w:noProof/>
                <w:webHidden/>
              </w:rPr>
              <w:tab/>
            </w:r>
            <w:r w:rsidR="003A6165">
              <w:rPr>
                <w:noProof/>
                <w:webHidden/>
              </w:rPr>
              <w:fldChar w:fldCharType="begin"/>
            </w:r>
            <w:r w:rsidR="003A6165">
              <w:rPr>
                <w:noProof/>
                <w:webHidden/>
              </w:rPr>
              <w:instrText xml:space="preserve"> PAGEREF _Toc425145073 \h </w:instrText>
            </w:r>
            <w:r w:rsidR="003A6165">
              <w:rPr>
                <w:noProof/>
                <w:webHidden/>
              </w:rPr>
            </w:r>
            <w:r w:rsidR="003A6165">
              <w:rPr>
                <w:noProof/>
                <w:webHidden/>
              </w:rPr>
              <w:fldChar w:fldCharType="separate"/>
            </w:r>
            <w:r>
              <w:rPr>
                <w:noProof/>
                <w:webHidden/>
              </w:rPr>
              <w:t>12</w:t>
            </w:r>
            <w:r w:rsidR="003A6165">
              <w:rPr>
                <w:noProof/>
                <w:webHidden/>
              </w:rPr>
              <w:fldChar w:fldCharType="end"/>
            </w:r>
          </w:hyperlink>
        </w:p>
        <w:p w14:paraId="17B76331" w14:textId="77777777" w:rsidR="003A6165" w:rsidRDefault="006E7D3A">
          <w:pPr>
            <w:pStyle w:val="TOC2"/>
            <w:tabs>
              <w:tab w:val="left" w:pos="880"/>
              <w:tab w:val="right" w:leader="dot" w:pos="9350"/>
            </w:tabs>
            <w:rPr>
              <w:noProof/>
              <w:sz w:val="22"/>
              <w:szCs w:val="22"/>
            </w:rPr>
          </w:pPr>
          <w:hyperlink w:anchor="_Toc425145074" w:history="1">
            <w:r w:rsidR="003A6165" w:rsidRPr="009323D1">
              <w:rPr>
                <w:rStyle w:val="Hyperlink"/>
                <w:noProof/>
              </w:rPr>
              <w:t>5.1</w:t>
            </w:r>
            <w:r w:rsidR="003A6165">
              <w:rPr>
                <w:noProof/>
                <w:sz w:val="22"/>
                <w:szCs w:val="22"/>
              </w:rPr>
              <w:tab/>
            </w:r>
            <w:r w:rsidR="003A6165" w:rsidRPr="009323D1">
              <w:rPr>
                <w:rStyle w:val="Hyperlink"/>
                <w:noProof/>
              </w:rPr>
              <w:t>Potential for Harmful or Discriminatory Practices</w:t>
            </w:r>
            <w:r w:rsidR="003A6165">
              <w:rPr>
                <w:noProof/>
                <w:webHidden/>
              </w:rPr>
              <w:tab/>
            </w:r>
            <w:r w:rsidR="003A6165">
              <w:rPr>
                <w:noProof/>
                <w:webHidden/>
              </w:rPr>
              <w:fldChar w:fldCharType="begin"/>
            </w:r>
            <w:r w:rsidR="003A6165">
              <w:rPr>
                <w:noProof/>
                <w:webHidden/>
              </w:rPr>
              <w:instrText xml:space="preserve"> PAGEREF _Toc425145074 \h </w:instrText>
            </w:r>
            <w:r w:rsidR="003A6165">
              <w:rPr>
                <w:noProof/>
                <w:webHidden/>
              </w:rPr>
            </w:r>
            <w:r w:rsidR="003A6165">
              <w:rPr>
                <w:noProof/>
                <w:webHidden/>
              </w:rPr>
              <w:fldChar w:fldCharType="separate"/>
            </w:r>
            <w:r>
              <w:rPr>
                <w:noProof/>
                <w:webHidden/>
              </w:rPr>
              <w:t>12</w:t>
            </w:r>
            <w:r w:rsidR="003A6165">
              <w:rPr>
                <w:noProof/>
                <w:webHidden/>
              </w:rPr>
              <w:fldChar w:fldCharType="end"/>
            </w:r>
          </w:hyperlink>
        </w:p>
        <w:p w14:paraId="7165136F" w14:textId="77777777" w:rsidR="003A6165" w:rsidRDefault="006E7D3A">
          <w:pPr>
            <w:pStyle w:val="TOC2"/>
            <w:tabs>
              <w:tab w:val="left" w:pos="880"/>
              <w:tab w:val="right" w:leader="dot" w:pos="9350"/>
            </w:tabs>
            <w:rPr>
              <w:noProof/>
              <w:sz w:val="22"/>
              <w:szCs w:val="22"/>
            </w:rPr>
          </w:pPr>
          <w:hyperlink w:anchor="_Toc425145075" w:history="1">
            <w:r w:rsidR="003A6165" w:rsidRPr="009323D1">
              <w:rPr>
                <w:rStyle w:val="Hyperlink"/>
                <w:noProof/>
              </w:rPr>
              <w:t>5.2</w:t>
            </w:r>
            <w:r w:rsidR="003A6165">
              <w:rPr>
                <w:noProof/>
                <w:sz w:val="22"/>
                <w:szCs w:val="22"/>
              </w:rPr>
              <w:tab/>
            </w:r>
            <w:r w:rsidR="003A6165" w:rsidRPr="009323D1">
              <w:rPr>
                <w:rStyle w:val="Hyperlink"/>
                <w:noProof/>
              </w:rPr>
              <w:t>Two Different Domains of Regulation (HIPAA and “Other”) Yields Contradictions and Unpredictability</w:t>
            </w:r>
            <w:r w:rsidR="003A6165">
              <w:rPr>
                <w:noProof/>
                <w:webHidden/>
              </w:rPr>
              <w:tab/>
            </w:r>
            <w:r w:rsidR="003A6165">
              <w:rPr>
                <w:noProof/>
                <w:webHidden/>
              </w:rPr>
              <w:fldChar w:fldCharType="begin"/>
            </w:r>
            <w:r w:rsidR="003A6165">
              <w:rPr>
                <w:noProof/>
                <w:webHidden/>
              </w:rPr>
              <w:instrText xml:space="preserve"> PAGEREF _Toc425145075 \h </w:instrText>
            </w:r>
            <w:r w:rsidR="003A6165">
              <w:rPr>
                <w:noProof/>
                <w:webHidden/>
              </w:rPr>
            </w:r>
            <w:r w:rsidR="003A6165">
              <w:rPr>
                <w:noProof/>
                <w:webHidden/>
              </w:rPr>
              <w:fldChar w:fldCharType="separate"/>
            </w:r>
            <w:r>
              <w:rPr>
                <w:noProof/>
                <w:webHidden/>
              </w:rPr>
              <w:t>13</w:t>
            </w:r>
            <w:r w:rsidR="003A6165">
              <w:rPr>
                <w:noProof/>
                <w:webHidden/>
              </w:rPr>
              <w:fldChar w:fldCharType="end"/>
            </w:r>
          </w:hyperlink>
        </w:p>
        <w:p w14:paraId="4DA771D9" w14:textId="77777777" w:rsidR="003A6165" w:rsidRDefault="006E7D3A">
          <w:pPr>
            <w:pStyle w:val="TOC2"/>
            <w:tabs>
              <w:tab w:val="left" w:pos="880"/>
              <w:tab w:val="right" w:leader="dot" w:pos="9350"/>
            </w:tabs>
            <w:rPr>
              <w:noProof/>
              <w:sz w:val="22"/>
              <w:szCs w:val="22"/>
            </w:rPr>
          </w:pPr>
          <w:hyperlink w:anchor="_Toc425145076" w:history="1">
            <w:r w:rsidR="003A6165" w:rsidRPr="009323D1">
              <w:rPr>
                <w:rStyle w:val="Hyperlink"/>
                <w:noProof/>
              </w:rPr>
              <w:t>5.3</w:t>
            </w:r>
            <w:r w:rsidR="003A6165">
              <w:rPr>
                <w:noProof/>
                <w:sz w:val="22"/>
                <w:szCs w:val="22"/>
              </w:rPr>
              <w:tab/>
            </w:r>
            <w:r w:rsidR="003A6165" w:rsidRPr="009323D1">
              <w:rPr>
                <w:rStyle w:val="Hyperlink"/>
                <w:noProof/>
              </w:rPr>
              <w:t>Lack of Confidence in De-identification Methodologies and the Risk of Re-identification</w:t>
            </w:r>
            <w:r w:rsidR="003A6165">
              <w:rPr>
                <w:noProof/>
                <w:webHidden/>
              </w:rPr>
              <w:tab/>
            </w:r>
            <w:r w:rsidR="003A6165">
              <w:rPr>
                <w:noProof/>
                <w:webHidden/>
              </w:rPr>
              <w:fldChar w:fldCharType="begin"/>
            </w:r>
            <w:r w:rsidR="003A6165">
              <w:rPr>
                <w:noProof/>
                <w:webHidden/>
              </w:rPr>
              <w:instrText xml:space="preserve"> PAGEREF _Toc425145076 \h </w:instrText>
            </w:r>
            <w:r w:rsidR="003A6165">
              <w:rPr>
                <w:noProof/>
                <w:webHidden/>
              </w:rPr>
            </w:r>
            <w:r w:rsidR="003A6165">
              <w:rPr>
                <w:noProof/>
                <w:webHidden/>
              </w:rPr>
              <w:fldChar w:fldCharType="separate"/>
            </w:r>
            <w:r>
              <w:rPr>
                <w:noProof/>
                <w:webHidden/>
              </w:rPr>
              <w:t>13</w:t>
            </w:r>
            <w:r w:rsidR="003A6165">
              <w:rPr>
                <w:noProof/>
                <w:webHidden/>
              </w:rPr>
              <w:fldChar w:fldCharType="end"/>
            </w:r>
          </w:hyperlink>
        </w:p>
        <w:p w14:paraId="2BC77AA9" w14:textId="77777777" w:rsidR="003A6165" w:rsidRDefault="006E7D3A">
          <w:pPr>
            <w:pStyle w:val="TOC2"/>
            <w:tabs>
              <w:tab w:val="left" w:pos="880"/>
              <w:tab w:val="right" w:leader="dot" w:pos="9350"/>
            </w:tabs>
            <w:rPr>
              <w:noProof/>
              <w:sz w:val="22"/>
              <w:szCs w:val="22"/>
            </w:rPr>
          </w:pPr>
          <w:hyperlink w:anchor="_Toc425145077" w:history="1">
            <w:r w:rsidR="003A6165" w:rsidRPr="009323D1">
              <w:rPr>
                <w:rStyle w:val="Hyperlink"/>
                <w:noProof/>
              </w:rPr>
              <w:t>5.4</w:t>
            </w:r>
            <w:r w:rsidR="003A6165">
              <w:rPr>
                <w:noProof/>
                <w:sz w:val="22"/>
                <w:szCs w:val="22"/>
              </w:rPr>
              <w:tab/>
            </w:r>
            <w:r w:rsidR="003A6165" w:rsidRPr="009323D1">
              <w:rPr>
                <w:rStyle w:val="Hyperlink"/>
                <w:noProof/>
              </w:rPr>
              <w:t>Security Threats and Gaps</w:t>
            </w:r>
            <w:r w:rsidR="003A6165">
              <w:rPr>
                <w:noProof/>
                <w:webHidden/>
              </w:rPr>
              <w:tab/>
            </w:r>
            <w:r w:rsidR="003A6165">
              <w:rPr>
                <w:noProof/>
                <w:webHidden/>
              </w:rPr>
              <w:fldChar w:fldCharType="begin"/>
            </w:r>
            <w:r w:rsidR="003A6165">
              <w:rPr>
                <w:noProof/>
                <w:webHidden/>
              </w:rPr>
              <w:instrText xml:space="preserve"> PAGEREF _Toc425145077 \h </w:instrText>
            </w:r>
            <w:r w:rsidR="003A6165">
              <w:rPr>
                <w:noProof/>
                <w:webHidden/>
              </w:rPr>
            </w:r>
            <w:r w:rsidR="003A6165">
              <w:rPr>
                <w:noProof/>
                <w:webHidden/>
              </w:rPr>
              <w:fldChar w:fldCharType="separate"/>
            </w:r>
            <w:r>
              <w:rPr>
                <w:noProof/>
                <w:webHidden/>
              </w:rPr>
              <w:t>14</w:t>
            </w:r>
            <w:r w:rsidR="003A6165">
              <w:rPr>
                <w:noProof/>
                <w:webHidden/>
              </w:rPr>
              <w:fldChar w:fldCharType="end"/>
            </w:r>
          </w:hyperlink>
        </w:p>
        <w:p w14:paraId="1EB95D4B" w14:textId="77777777" w:rsidR="003A6165" w:rsidRDefault="006E7D3A">
          <w:pPr>
            <w:pStyle w:val="TOC1"/>
            <w:tabs>
              <w:tab w:val="left" w:pos="480"/>
              <w:tab w:val="right" w:leader="dot" w:pos="9350"/>
            </w:tabs>
            <w:rPr>
              <w:noProof/>
              <w:sz w:val="22"/>
              <w:szCs w:val="22"/>
            </w:rPr>
          </w:pPr>
          <w:hyperlink w:anchor="_Toc425145078" w:history="1">
            <w:r w:rsidR="003A6165" w:rsidRPr="009323D1">
              <w:rPr>
                <w:rStyle w:val="Hyperlink"/>
                <w:noProof/>
              </w:rPr>
              <w:t>6</w:t>
            </w:r>
            <w:r w:rsidR="003A6165">
              <w:rPr>
                <w:noProof/>
                <w:sz w:val="22"/>
                <w:szCs w:val="22"/>
              </w:rPr>
              <w:tab/>
            </w:r>
            <w:r w:rsidR="003A6165" w:rsidRPr="009323D1">
              <w:rPr>
                <w:rStyle w:val="Hyperlink"/>
                <w:noProof/>
              </w:rPr>
              <w:t>Solutions and Recommendations</w:t>
            </w:r>
            <w:r w:rsidR="003A6165">
              <w:rPr>
                <w:noProof/>
                <w:webHidden/>
              </w:rPr>
              <w:tab/>
            </w:r>
            <w:r w:rsidR="003A6165">
              <w:rPr>
                <w:noProof/>
                <w:webHidden/>
              </w:rPr>
              <w:fldChar w:fldCharType="begin"/>
            </w:r>
            <w:r w:rsidR="003A6165">
              <w:rPr>
                <w:noProof/>
                <w:webHidden/>
              </w:rPr>
              <w:instrText xml:space="preserve"> PAGEREF _Toc425145078 \h </w:instrText>
            </w:r>
            <w:r w:rsidR="003A6165">
              <w:rPr>
                <w:noProof/>
                <w:webHidden/>
              </w:rPr>
            </w:r>
            <w:r w:rsidR="003A6165">
              <w:rPr>
                <w:noProof/>
                <w:webHidden/>
              </w:rPr>
              <w:fldChar w:fldCharType="separate"/>
            </w:r>
            <w:r>
              <w:rPr>
                <w:noProof/>
                <w:webHidden/>
              </w:rPr>
              <w:t>15</w:t>
            </w:r>
            <w:r w:rsidR="003A6165">
              <w:rPr>
                <w:noProof/>
                <w:webHidden/>
              </w:rPr>
              <w:fldChar w:fldCharType="end"/>
            </w:r>
          </w:hyperlink>
        </w:p>
        <w:p w14:paraId="483CCD0E" w14:textId="77777777" w:rsidR="003A6165" w:rsidRDefault="006E7D3A">
          <w:pPr>
            <w:pStyle w:val="TOC2"/>
            <w:tabs>
              <w:tab w:val="left" w:pos="880"/>
              <w:tab w:val="right" w:leader="dot" w:pos="9350"/>
            </w:tabs>
            <w:rPr>
              <w:noProof/>
              <w:sz w:val="22"/>
              <w:szCs w:val="22"/>
            </w:rPr>
          </w:pPr>
          <w:hyperlink w:anchor="_Toc425145079" w:history="1">
            <w:r w:rsidR="003A6165" w:rsidRPr="009323D1">
              <w:rPr>
                <w:rStyle w:val="Hyperlink"/>
                <w:noProof/>
              </w:rPr>
              <w:t>6.1</w:t>
            </w:r>
            <w:r w:rsidR="003A6165">
              <w:rPr>
                <w:noProof/>
                <w:sz w:val="22"/>
                <w:szCs w:val="22"/>
              </w:rPr>
              <w:tab/>
            </w:r>
            <w:r w:rsidR="003A6165" w:rsidRPr="009323D1">
              <w:rPr>
                <w:rStyle w:val="Hyperlink"/>
                <w:noProof/>
              </w:rPr>
              <w:t>Address Harm, Including Discrimination Concerns</w:t>
            </w:r>
            <w:r w:rsidR="003A6165">
              <w:rPr>
                <w:noProof/>
                <w:webHidden/>
              </w:rPr>
              <w:tab/>
            </w:r>
            <w:r w:rsidR="003A6165">
              <w:rPr>
                <w:noProof/>
                <w:webHidden/>
              </w:rPr>
              <w:fldChar w:fldCharType="begin"/>
            </w:r>
            <w:r w:rsidR="003A6165">
              <w:rPr>
                <w:noProof/>
                <w:webHidden/>
              </w:rPr>
              <w:instrText xml:space="preserve"> PAGEREF _Toc425145079 \h </w:instrText>
            </w:r>
            <w:r w:rsidR="003A6165">
              <w:rPr>
                <w:noProof/>
                <w:webHidden/>
              </w:rPr>
            </w:r>
            <w:r w:rsidR="003A6165">
              <w:rPr>
                <w:noProof/>
                <w:webHidden/>
              </w:rPr>
              <w:fldChar w:fldCharType="separate"/>
            </w:r>
            <w:r>
              <w:rPr>
                <w:noProof/>
                <w:webHidden/>
              </w:rPr>
              <w:t>15</w:t>
            </w:r>
            <w:r w:rsidR="003A6165">
              <w:rPr>
                <w:noProof/>
                <w:webHidden/>
              </w:rPr>
              <w:fldChar w:fldCharType="end"/>
            </w:r>
          </w:hyperlink>
        </w:p>
        <w:p w14:paraId="5F935E83" w14:textId="77777777" w:rsidR="003A6165" w:rsidRDefault="006E7D3A">
          <w:pPr>
            <w:pStyle w:val="TOC2"/>
            <w:tabs>
              <w:tab w:val="left" w:pos="880"/>
              <w:tab w:val="right" w:leader="dot" w:pos="9350"/>
            </w:tabs>
            <w:rPr>
              <w:noProof/>
              <w:sz w:val="22"/>
              <w:szCs w:val="22"/>
            </w:rPr>
          </w:pPr>
          <w:hyperlink w:anchor="_Toc425145080" w:history="1">
            <w:r w:rsidR="003A6165" w:rsidRPr="009323D1">
              <w:rPr>
                <w:rStyle w:val="Hyperlink"/>
                <w:noProof/>
              </w:rPr>
              <w:t>6.2</w:t>
            </w:r>
            <w:r w:rsidR="003A6165">
              <w:rPr>
                <w:noProof/>
                <w:sz w:val="22"/>
                <w:szCs w:val="22"/>
              </w:rPr>
              <w:tab/>
            </w:r>
            <w:r w:rsidR="003A6165" w:rsidRPr="009323D1">
              <w:rPr>
                <w:rStyle w:val="Hyperlink"/>
                <w:noProof/>
              </w:rPr>
              <w:t>Address Uneven Policy Environment</w:t>
            </w:r>
            <w:r w:rsidR="003A6165">
              <w:rPr>
                <w:noProof/>
                <w:webHidden/>
              </w:rPr>
              <w:tab/>
            </w:r>
            <w:r w:rsidR="003A6165">
              <w:rPr>
                <w:noProof/>
                <w:webHidden/>
              </w:rPr>
              <w:fldChar w:fldCharType="begin"/>
            </w:r>
            <w:r w:rsidR="003A6165">
              <w:rPr>
                <w:noProof/>
                <w:webHidden/>
              </w:rPr>
              <w:instrText xml:space="preserve"> PAGEREF _Toc425145080 \h </w:instrText>
            </w:r>
            <w:r w:rsidR="003A6165">
              <w:rPr>
                <w:noProof/>
                <w:webHidden/>
              </w:rPr>
            </w:r>
            <w:r w:rsidR="003A6165">
              <w:rPr>
                <w:noProof/>
                <w:webHidden/>
              </w:rPr>
              <w:fldChar w:fldCharType="separate"/>
            </w:r>
            <w:r>
              <w:rPr>
                <w:noProof/>
                <w:webHidden/>
              </w:rPr>
              <w:t>16</w:t>
            </w:r>
            <w:r w:rsidR="003A6165">
              <w:rPr>
                <w:noProof/>
                <w:webHidden/>
              </w:rPr>
              <w:fldChar w:fldCharType="end"/>
            </w:r>
          </w:hyperlink>
        </w:p>
        <w:p w14:paraId="339DABEB" w14:textId="77777777" w:rsidR="003A6165" w:rsidRDefault="006E7D3A">
          <w:pPr>
            <w:pStyle w:val="TOC2"/>
            <w:tabs>
              <w:tab w:val="left" w:pos="880"/>
              <w:tab w:val="right" w:leader="dot" w:pos="9350"/>
            </w:tabs>
            <w:rPr>
              <w:noProof/>
              <w:sz w:val="22"/>
              <w:szCs w:val="22"/>
            </w:rPr>
          </w:pPr>
          <w:hyperlink w:anchor="_Toc425145081" w:history="1">
            <w:r w:rsidR="003A6165" w:rsidRPr="009323D1">
              <w:rPr>
                <w:rStyle w:val="Hyperlink"/>
                <w:noProof/>
              </w:rPr>
              <w:t>6.3</w:t>
            </w:r>
            <w:r w:rsidR="003A6165">
              <w:rPr>
                <w:noProof/>
                <w:sz w:val="22"/>
                <w:szCs w:val="22"/>
              </w:rPr>
              <w:tab/>
            </w:r>
            <w:r w:rsidR="003A6165" w:rsidRPr="009323D1">
              <w:rPr>
                <w:rStyle w:val="Hyperlink"/>
                <w:noProof/>
              </w:rPr>
              <w:t>Protect Health Information by Improving Trust in De-Identification Methodologies and Reducing the Risk of Re-Identification</w:t>
            </w:r>
            <w:r w:rsidR="003A6165">
              <w:rPr>
                <w:noProof/>
                <w:webHidden/>
              </w:rPr>
              <w:tab/>
            </w:r>
            <w:r w:rsidR="003A6165">
              <w:rPr>
                <w:noProof/>
                <w:webHidden/>
              </w:rPr>
              <w:fldChar w:fldCharType="begin"/>
            </w:r>
            <w:r w:rsidR="003A6165">
              <w:rPr>
                <w:noProof/>
                <w:webHidden/>
              </w:rPr>
              <w:instrText xml:space="preserve"> PAGEREF _Toc425145081 \h </w:instrText>
            </w:r>
            <w:r w:rsidR="003A6165">
              <w:rPr>
                <w:noProof/>
                <w:webHidden/>
              </w:rPr>
            </w:r>
            <w:r w:rsidR="003A6165">
              <w:rPr>
                <w:noProof/>
                <w:webHidden/>
              </w:rPr>
              <w:fldChar w:fldCharType="separate"/>
            </w:r>
            <w:r>
              <w:rPr>
                <w:noProof/>
                <w:webHidden/>
              </w:rPr>
              <w:t>18</w:t>
            </w:r>
            <w:r w:rsidR="003A6165">
              <w:rPr>
                <w:noProof/>
                <w:webHidden/>
              </w:rPr>
              <w:fldChar w:fldCharType="end"/>
            </w:r>
          </w:hyperlink>
        </w:p>
        <w:p w14:paraId="42D93887" w14:textId="77777777" w:rsidR="003A6165" w:rsidRDefault="006E7D3A">
          <w:pPr>
            <w:pStyle w:val="TOC2"/>
            <w:tabs>
              <w:tab w:val="left" w:pos="880"/>
              <w:tab w:val="right" w:leader="dot" w:pos="9350"/>
            </w:tabs>
            <w:rPr>
              <w:noProof/>
              <w:sz w:val="22"/>
              <w:szCs w:val="22"/>
            </w:rPr>
          </w:pPr>
          <w:hyperlink w:anchor="_Toc425145082" w:history="1">
            <w:r w:rsidR="003A6165" w:rsidRPr="009323D1">
              <w:rPr>
                <w:rStyle w:val="Hyperlink"/>
                <w:noProof/>
              </w:rPr>
              <w:t>6.4</w:t>
            </w:r>
            <w:r w:rsidR="003A6165">
              <w:rPr>
                <w:noProof/>
                <w:sz w:val="22"/>
                <w:szCs w:val="22"/>
              </w:rPr>
              <w:tab/>
            </w:r>
            <w:r w:rsidR="003A6165" w:rsidRPr="009323D1">
              <w:rPr>
                <w:rStyle w:val="Hyperlink"/>
                <w:noProof/>
              </w:rPr>
              <w:t>Support Secure Use of Data for Learning</w:t>
            </w:r>
            <w:r w:rsidR="003A6165">
              <w:rPr>
                <w:noProof/>
                <w:webHidden/>
              </w:rPr>
              <w:tab/>
            </w:r>
            <w:r w:rsidR="003A6165">
              <w:rPr>
                <w:noProof/>
                <w:webHidden/>
              </w:rPr>
              <w:fldChar w:fldCharType="begin"/>
            </w:r>
            <w:r w:rsidR="003A6165">
              <w:rPr>
                <w:noProof/>
                <w:webHidden/>
              </w:rPr>
              <w:instrText xml:space="preserve"> PAGEREF _Toc425145082 \h </w:instrText>
            </w:r>
            <w:r w:rsidR="003A6165">
              <w:rPr>
                <w:noProof/>
                <w:webHidden/>
              </w:rPr>
            </w:r>
            <w:r w:rsidR="003A6165">
              <w:rPr>
                <w:noProof/>
                <w:webHidden/>
              </w:rPr>
              <w:fldChar w:fldCharType="separate"/>
            </w:r>
            <w:r>
              <w:rPr>
                <w:noProof/>
                <w:webHidden/>
              </w:rPr>
              <w:t>19</w:t>
            </w:r>
            <w:r w:rsidR="003A6165">
              <w:rPr>
                <w:noProof/>
                <w:webHidden/>
              </w:rPr>
              <w:fldChar w:fldCharType="end"/>
            </w:r>
          </w:hyperlink>
        </w:p>
        <w:p w14:paraId="225A6AF0" w14:textId="77777777" w:rsidR="003A6165" w:rsidRDefault="006E7D3A">
          <w:pPr>
            <w:pStyle w:val="TOC1"/>
            <w:tabs>
              <w:tab w:val="left" w:pos="480"/>
              <w:tab w:val="right" w:leader="dot" w:pos="9350"/>
            </w:tabs>
            <w:rPr>
              <w:noProof/>
              <w:sz w:val="22"/>
              <w:szCs w:val="22"/>
            </w:rPr>
          </w:pPr>
          <w:hyperlink w:anchor="_Toc425145083" w:history="1">
            <w:r w:rsidR="003A6165" w:rsidRPr="009323D1">
              <w:rPr>
                <w:rStyle w:val="Hyperlink"/>
                <w:noProof/>
              </w:rPr>
              <w:t>7</w:t>
            </w:r>
            <w:r w:rsidR="003A6165">
              <w:rPr>
                <w:noProof/>
                <w:sz w:val="22"/>
                <w:szCs w:val="22"/>
              </w:rPr>
              <w:tab/>
            </w:r>
            <w:r w:rsidR="003A6165" w:rsidRPr="009323D1">
              <w:rPr>
                <w:rStyle w:val="Hyperlink"/>
                <w:noProof/>
              </w:rPr>
              <w:t>Bibliography</w:t>
            </w:r>
            <w:r w:rsidR="003A6165">
              <w:rPr>
                <w:noProof/>
                <w:webHidden/>
              </w:rPr>
              <w:tab/>
            </w:r>
            <w:r w:rsidR="003A6165">
              <w:rPr>
                <w:noProof/>
                <w:webHidden/>
              </w:rPr>
              <w:fldChar w:fldCharType="begin"/>
            </w:r>
            <w:r w:rsidR="003A6165">
              <w:rPr>
                <w:noProof/>
                <w:webHidden/>
              </w:rPr>
              <w:instrText xml:space="preserve"> PAGEREF _Toc425145083 \h </w:instrText>
            </w:r>
            <w:r w:rsidR="003A6165">
              <w:rPr>
                <w:noProof/>
                <w:webHidden/>
              </w:rPr>
            </w:r>
            <w:r w:rsidR="003A6165">
              <w:rPr>
                <w:noProof/>
                <w:webHidden/>
              </w:rPr>
              <w:fldChar w:fldCharType="separate"/>
            </w:r>
            <w:r>
              <w:rPr>
                <w:noProof/>
                <w:webHidden/>
              </w:rPr>
              <w:t>21</w:t>
            </w:r>
            <w:r w:rsidR="003A6165">
              <w:rPr>
                <w:noProof/>
                <w:webHidden/>
              </w:rPr>
              <w:fldChar w:fldCharType="end"/>
            </w:r>
          </w:hyperlink>
        </w:p>
        <w:p w14:paraId="01C52F24" w14:textId="77777777" w:rsidR="003A6165" w:rsidRDefault="006E7D3A">
          <w:pPr>
            <w:pStyle w:val="TOC1"/>
            <w:tabs>
              <w:tab w:val="left" w:pos="480"/>
              <w:tab w:val="right" w:leader="dot" w:pos="9350"/>
            </w:tabs>
            <w:rPr>
              <w:noProof/>
              <w:sz w:val="22"/>
              <w:szCs w:val="22"/>
            </w:rPr>
          </w:pPr>
          <w:hyperlink w:anchor="_Toc425145084" w:history="1">
            <w:r w:rsidR="003A6165" w:rsidRPr="009323D1">
              <w:rPr>
                <w:rStyle w:val="Hyperlink"/>
                <w:noProof/>
              </w:rPr>
              <w:t>8</w:t>
            </w:r>
            <w:r w:rsidR="003A6165">
              <w:rPr>
                <w:noProof/>
                <w:sz w:val="22"/>
                <w:szCs w:val="22"/>
              </w:rPr>
              <w:tab/>
            </w:r>
            <w:r w:rsidR="003A6165" w:rsidRPr="009323D1">
              <w:rPr>
                <w:rStyle w:val="Hyperlink"/>
                <w:noProof/>
              </w:rPr>
              <w:t>Appendix A – Health Big Data Public Hearing Topics and Speakers</w:t>
            </w:r>
            <w:r w:rsidR="003A6165">
              <w:rPr>
                <w:noProof/>
                <w:webHidden/>
              </w:rPr>
              <w:tab/>
            </w:r>
            <w:r w:rsidR="003A6165">
              <w:rPr>
                <w:noProof/>
                <w:webHidden/>
              </w:rPr>
              <w:fldChar w:fldCharType="begin"/>
            </w:r>
            <w:r w:rsidR="003A6165">
              <w:rPr>
                <w:noProof/>
                <w:webHidden/>
              </w:rPr>
              <w:instrText xml:space="preserve"> PAGEREF _Toc425145084 \h </w:instrText>
            </w:r>
            <w:r w:rsidR="003A6165">
              <w:rPr>
                <w:noProof/>
                <w:webHidden/>
              </w:rPr>
            </w:r>
            <w:r w:rsidR="003A6165">
              <w:rPr>
                <w:noProof/>
                <w:webHidden/>
              </w:rPr>
              <w:fldChar w:fldCharType="separate"/>
            </w:r>
            <w:r>
              <w:rPr>
                <w:noProof/>
                <w:webHidden/>
              </w:rPr>
              <w:t>24</w:t>
            </w:r>
            <w:r w:rsidR="003A6165">
              <w:rPr>
                <w:noProof/>
                <w:webHidden/>
              </w:rPr>
              <w:fldChar w:fldCharType="end"/>
            </w:r>
          </w:hyperlink>
        </w:p>
        <w:p w14:paraId="04AE232A" w14:textId="77777777" w:rsidR="003A6165" w:rsidRDefault="006E7D3A">
          <w:pPr>
            <w:pStyle w:val="TOC2"/>
            <w:tabs>
              <w:tab w:val="left" w:pos="880"/>
              <w:tab w:val="right" w:leader="dot" w:pos="9350"/>
            </w:tabs>
            <w:rPr>
              <w:noProof/>
              <w:sz w:val="22"/>
              <w:szCs w:val="22"/>
            </w:rPr>
          </w:pPr>
          <w:hyperlink w:anchor="_Toc425145085" w:history="1">
            <w:r w:rsidR="003A6165" w:rsidRPr="009323D1">
              <w:rPr>
                <w:rStyle w:val="Hyperlink"/>
                <w:noProof/>
              </w:rPr>
              <w:t>8.1</w:t>
            </w:r>
            <w:r w:rsidR="003A6165">
              <w:rPr>
                <w:noProof/>
                <w:sz w:val="22"/>
                <w:szCs w:val="22"/>
              </w:rPr>
              <w:tab/>
            </w:r>
            <w:r w:rsidR="003A6165" w:rsidRPr="009323D1">
              <w:rPr>
                <w:rStyle w:val="Hyperlink"/>
                <w:noProof/>
              </w:rPr>
              <w:t>Health Big Data Public Hearings, December 5 and 8, 2014</w:t>
            </w:r>
            <w:r w:rsidR="003A6165">
              <w:rPr>
                <w:noProof/>
                <w:webHidden/>
              </w:rPr>
              <w:tab/>
            </w:r>
            <w:r w:rsidR="003A6165">
              <w:rPr>
                <w:noProof/>
                <w:webHidden/>
              </w:rPr>
              <w:fldChar w:fldCharType="begin"/>
            </w:r>
            <w:r w:rsidR="003A6165">
              <w:rPr>
                <w:noProof/>
                <w:webHidden/>
              </w:rPr>
              <w:instrText xml:space="preserve"> PAGEREF _Toc425145085 \h </w:instrText>
            </w:r>
            <w:r w:rsidR="003A6165">
              <w:rPr>
                <w:noProof/>
                <w:webHidden/>
              </w:rPr>
            </w:r>
            <w:r w:rsidR="003A6165">
              <w:rPr>
                <w:noProof/>
                <w:webHidden/>
              </w:rPr>
              <w:fldChar w:fldCharType="separate"/>
            </w:r>
            <w:r>
              <w:rPr>
                <w:noProof/>
                <w:webHidden/>
              </w:rPr>
              <w:t>24</w:t>
            </w:r>
            <w:r w:rsidR="003A6165">
              <w:rPr>
                <w:noProof/>
                <w:webHidden/>
              </w:rPr>
              <w:fldChar w:fldCharType="end"/>
            </w:r>
          </w:hyperlink>
        </w:p>
        <w:p w14:paraId="2787C6BF" w14:textId="77777777" w:rsidR="003A6165" w:rsidRDefault="006E7D3A">
          <w:pPr>
            <w:pStyle w:val="TOC2"/>
            <w:tabs>
              <w:tab w:val="left" w:pos="880"/>
              <w:tab w:val="right" w:leader="dot" w:pos="9350"/>
            </w:tabs>
            <w:rPr>
              <w:noProof/>
              <w:sz w:val="22"/>
              <w:szCs w:val="22"/>
            </w:rPr>
          </w:pPr>
          <w:hyperlink w:anchor="_Toc425145086" w:history="1">
            <w:r w:rsidR="003A6165" w:rsidRPr="009323D1">
              <w:rPr>
                <w:rStyle w:val="Hyperlink"/>
                <w:noProof/>
              </w:rPr>
              <w:t>8.2</w:t>
            </w:r>
            <w:r w:rsidR="003A6165">
              <w:rPr>
                <w:noProof/>
                <w:sz w:val="22"/>
                <w:szCs w:val="22"/>
              </w:rPr>
              <w:tab/>
            </w:r>
            <w:r w:rsidR="003A6165" w:rsidRPr="009323D1">
              <w:rPr>
                <w:rStyle w:val="Hyperlink"/>
                <w:noProof/>
              </w:rPr>
              <w:t>Data Security in Health Big Data Hearing, February 9, 2014</w:t>
            </w:r>
            <w:r w:rsidR="003A6165">
              <w:rPr>
                <w:noProof/>
                <w:webHidden/>
              </w:rPr>
              <w:tab/>
            </w:r>
            <w:r w:rsidR="003A6165">
              <w:rPr>
                <w:noProof/>
                <w:webHidden/>
              </w:rPr>
              <w:fldChar w:fldCharType="begin"/>
            </w:r>
            <w:r w:rsidR="003A6165">
              <w:rPr>
                <w:noProof/>
                <w:webHidden/>
              </w:rPr>
              <w:instrText xml:space="preserve"> PAGEREF _Toc425145086 \h </w:instrText>
            </w:r>
            <w:r w:rsidR="003A6165">
              <w:rPr>
                <w:noProof/>
                <w:webHidden/>
              </w:rPr>
            </w:r>
            <w:r w:rsidR="003A6165">
              <w:rPr>
                <w:noProof/>
                <w:webHidden/>
              </w:rPr>
              <w:fldChar w:fldCharType="separate"/>
            </w:r>
            <w:r>
              <w:rPr>
                <w:noProof/>
                <w:webHidden/>
              </w:rPr>
              <w:t>24</w:t>
            </w:r>
            <w:r w:rsidR="003A6165">
              <w:rPr>
                <w:noProof/>
                <w:webHidden/>
              </w:rPr>
              <w:fldChar w:fldCharType="end"/>
            </w:r>
          </w:hyperlink>
        </w:p>
        <w:p w14:paraId="1EE0589C" w14:textId="77777777" w:rsidR="003A6165" w:rsidRDefault="006E7D3A">
          <w:pPr>
            <w:pStyle w:val="TOC1"/>
            <w:tabs>
              <w:tab w:val="left" w:pos="480"/>
              <w:tab w:val="right" w:leader="dot" w:pos="9350"/>
            </w:tabs>
            <w:rPr>
              <w:noProof/>
              <w:sz w:val="22"/>
              <w:szCs w:val="22"/>
            </w:rPr>
          </w:pPr>
          <w:hyperlink w:anchor="_Toc425145087" w:history="1">
            <w:r w:rsidR="003A6165" w:rsidRPr="009323D1">
              <w:rPr>
                <w:rStyle w:val="Hyperlink"/>
                <w:noProof/>
              </w:rPr>
              <w:t>9</w:t>
            </w:r>
            <w:r w:rsidR="003A6165">
              <w:rPr>
                <w:noProof/>
                <w:sz w:val="22"/>
                <w:szCs w:val="22"/>
              </w:rPr>
              <w:tab/>
            </w:r>
            <w:r w:rsidR="003A6165" w:rsidRPr="009323D1">
              <w:rPr>
                <w:rStyle w:val="Hyperlink"/>
                <w:noProof/>
              </w:rPr>
              <w:t>Appendix B – Supporting Testimony</w:t>
            </w:r>
            <w:r w:rsidR="003A6165">
              <w:rPr>
                <w:noProof/>
                <w:webHidden/>
              </w:rPr>
              <w:tab/>
            </w:r>
            <w:r w:rsidR="003A6165">
              <w:rPr>
                <w:noProof/>
                <w:webHidden/>
              </w:rPr>
              <w:fldChar w:fldCharType="begin"/>
            </w:r>
            <w:r w:rsidR="003A6165">
              <w:rPr>
                <w:noProof/>
                <w:webHidden/>
              </w:rPr>
              <w:instrText xml:space="preserve"> PAGEREF _Toc425145087 \h </w:instrText>
            </w:r>
            <w:r w:rsidR="003A6165">
              <w:rPr>
                <w:noProof/>
                <w:webHidden/>
              </w:rPr>
            </w:r>
            <w:r w:rsidR="003A6165">
              <w:rPr>
                <w:noProof/>
                <w:webHidden/>
              </w:rPr>
              <w:fldChar w:fldCharType="separate"/>
            </w:r>
            <w:r>
              <w:rPr>
                <w:noProof/>
                <w:webHidden/>
              </w:rPr>
              <w:t>25</w:t>
            </w:r>
            <w:r w:rsidR="003A6165">
              <w:rPr>
                <w:noProof/>
                <w:webHidden/>
              </w:rPr>
              <w:fldChar w:fldCharType="end"/>
            </w:r>
          </w:hyperlink>
        </w:p>
        <w:p w14:paraId="1FB40AFD" w14:textId="77777777" w:rsidR="003A6165" w:rsidRDefault="006E7D3A">
          <w:pPr>
            <w:pStyle w:val="TOC1"/>
            <w:tabs>
              <w:tab w:val="left" w:pos="480"/>
              <w:tab w:val="right" w:leader="dot" w:pos="9350"/>
            </w:tabs>
            <w:rPr>
              <w:noProof/>
              <w:sz w:val="22"/>
              <w:szCs w:val="22"/>
            </w:rPr>
          </w:pPr>
          <w:hyperlink w:anchor="_Toc425145088" w:history="1">
            <w:r w:rsidR="003A6165" w:rsidRPr="009323D1">
              <w:rPr>
                <w:rStyle w:val="Hyperlink"/>
                <w:noProof/>
              </w:rPr>
              <w:t>10</w:t>
            </w:r>
            <w:r w:rsidR="003A6165">
              <w:rPr>
                <w:noProof/>
                <w:sz w:val="22"/>
                <w:szCs w:val="22"/>
              </w:rPr>
              <w:tab/>
            </w:r>
            <w:r w:rsidR="003A6165" w:rsidRPr="009323D1">
              <w:rPr>
                <w:rStyle w:val="Hyperlink"/>
                <w:noProof/>
              </w:rPr>
              <w:t>Appendix C – Other Big Data Related Activities</w:t>
            </w:r>
            <w:r w:rsidR="003A6165">
              <w:rPr>
                <w:noProof/>
                <w:webHidden/>
              </w:rPr>
              <w:tab/>
            </w:r>
            <w:r w:rsidR="003A6165">
              <w:rPr>
                <w:noProof/>
                <w:webHidden/>
              </w:rPr>
              <w:fldChar w:fldCharType="begin"/>
            </w:r>
            <w:r w:rsidR="003A6165">
              <w:rPr>
                <w:noProof/>
                <w:webHidden/>
              </w:rPr>
              <w:instrText xml:space="preserve"> PAGEREF _Toc425145088 \h </w:instrText>
            </w:r>
            <w:r w:rsidR="003A6165">
              <w:rPr>
                <w:noProof/>
                <w:webHidden/>
              </w:rPr>
            </w:r>
            <w:r w:rsidR="003A6165">
              <w:rPr>
                <w:noProof/>
                <w:webHidden/>
              </w:rPr>
              <w:fldChar w:fldCharType="separate"/>
            </w:r>
            <w:r>
              <w:rPr>
                <w:noProof/>
                <w:webHidden/>
              </w:rPr>
              <w:t>37</w:t>
            </w:r>
            <w:r w:rsidR="003A6165">
              <w:rPr>
                <w:noProof/>
                <w:webHidden/>
              </w:rPr>
              <w:fldChar w:fldCharType="end"/>
            </w:r>
          </w:hyperlink>
        </w:p>
        <w:p w14:paraId="5916517B" w14:textId="77777777" w:rsidR="003A6165" w:rsidRDefault="006E7D3A">
          <w:pPr>
            <w:pStyle w:val="TOC2"/>
            <w:tabs>
              <w:tab w:val="left" w:pos="1100"/>
              <w:tab w:val="right" w:leader="dot" w:pos="9350"/>
            </w:tabs>
            <w:rPr>
              <w:noProof/>
              <w:sz w:val="22"/>
              <w:szCs w:val="22"/>
            </w:rPr>
          </w:pPr>
          <w:hyperlink w:anchor="_Toc425145089" w:history="1">
            <w:r w:rsidR="003A6165" w:rsidRPr="009323D1">
              <w:rPr>
                <w:rStyle w:val="Hyperlink"/>
                <w:noProof/>
              </w:rPr>
              <w:t>10.1</w:t>
            </w:r>
            <w:r w:rsidR="003A6165">
              <w:rPr>
                <w:noProof/>
                <w:sz w:val="22"/>
                <w:szCs w:val="22"/>
              </w:rPr>
              <w:tab/>
            </w:r>
            <w:r w:rsidR="003A6165" w:rsidRPr="009323D1">
              <w:rPr>
                <w:rStyle w:val="Hyperlink"/>
                <w:noProof/>
              </w:rPr>
              <w:t>Federal Trade Commission Internet of Things Report and Big Data Workshop</w:t>
            </w:r>
            <w:r w:rsidR="003A6165">
              <w:rPr>
                <w:noProof/>
                <w:webHidden/>
              </w:rPr>
              <w:tab/>
            </w:r>
            <w:r w:rsidR="003A6165">
              <w:rPr>
                <w:noProof/>
                <w:webHidden/>
              </w:rPr>
              <w:fldChar w:fldCharType="begin"/>
            </w:r>
            <w:r w:rsidR="003A6165">
              <w:rPr>
                <w:noProof/>
                <w:webHidden/>
              </w:rPr>
              <w:instrText xml:space="preserve"> PAGEREF _Toc425145089 \h </w:instrText>
            </w:r>
            <w:r w:rsidR="003A6165">
              <w:rPr>
                <w:noProof/>
                <w:webHidden/>
              </w:rPr>
            </w:r>
            <w:r w:rsidR="003A6165">
              <w:rPr>
                <w:noProof/>
                <w:webHidden/>
              </w:rPr>
              <w:fldChar w:fldCharType="separate"/>
            </w:r>
            <w:r>
              <w:rPr>
                <w:noProof/>
                <w:webHidden/>
              </w:rPr>
              <w:t>37</w:t>
            </w:r>
            <w:r w:rsidR="003A6165">
              <w:rPr>
                <w:noProof/>
                <w:webHidden/>
              </w:rPr>
              <w:fldChar w:fldCharType="end"/>
            </w:r>
          </w:hyperlink>
        </w:p>
        <w:p w14:paraId="4840BB68" w14:textId="77777777" w:rsidR="003A6165" w:rsidRDefault="006E7D3A">
          <w:pPr>
            <w:pStyle w:val="TOC2"/>
            <w:tabs>
              <w:tab w:val="left" w:pos="1100"/>
              <w:tab w:val="right" w:leader="dot" w:pos="9350"/>
            </w:tabs>
            <w:rPr>
              <w:noProof/>
              <w:sz w:val="22"/>
              <w:szCs w:val="22"/>
            </w:rPr>
          </w:pPr>
          <w:hyperlink w:anchor="_Toc425145090" w:history="1">
            <w:r w:rsidR="003A6165" w:rsidRPr="009323D1">
              <w:rPr>
                <w:rStyle w:val="Hyperlink"/>
                <w:noProof/>
              </w:rPr>
              <w:t>10.2</w:t>
            </w:r>
            <w:r w:rsidR="003A6165">
              <w:rPr>
                <w:noProof/>
                <w:sz w:val="22"/>
                <w:szCs w:val="22"/>
              </w:rPr>
              <w:tab/>
            </w:r>
            <w:r w:rsidR="003A6165" w:rsidRPr="009323D1">
              <w:rPr>
                <w:rStyle w:val="Hyperlink"/>
                <w:noProof/>
              </w:rPr>
              <w:t>Precision Medicine Initiative</w:t>
            </w:r>
            <w:r w:rsidR="003A6165">
              <w:rPr>
                <w:noProof/>
                <w:webHidden/>
              </w:rPr>
              <w:tab/>
            </w:r>
            <w:r w:rsidR="003A6165">
              <w:rPr>
                <w:noProof/>
                <w:webHidden/>
              </w:rPr>
              <w:fldChar w:fldCharType="begin"/>
            </w:r>
            <w:r w:rsidR="003A6165">
              <w:rPr>
                <w:noProof/>
                <w:webHidden/>
              </w:rPr>
              <w:instrText xml:space="preserve"> PAGEREF _Toc425145090 \h </w:instrText>
            </w:r>
            <w:r w:rsidR="003A6165">
              <w:rPr>
                <w:noProof/>
                <w:webHidden/>
              </w:rPr>
            </w:r>
            <w:r w:rsidR="003A6165">
              <w:rPr>
                <w:noProof/>
                <w:webHidden/>
              </w:rPr>
              <w:fldChar w:fldCharType="separate"/>
            </w:r>
            <w:r>
              <w:rPr>
                <w:noProof/>
                <w:webHidden/>
              </w:rPr>
              <w:t>37</w:t>
            </w:r>
            <w:r w:rsidR="003A6165">
              <w:rPr>
                <w:noProof/>
                <w:webHidden/>
              </w:rPr>
              <w:fldChar w:fldCharType="end"/>
            </w:r>
          </w:hyperlink>
        </w:p>
        <w:p w14:paraId="76624D29" w14:textId="77777777" w:rsidR="003A6165" w:rsidRDefault="006E7D3A">
          <w:pPr>
            <w:pStyle w:val="TOC2"/>
            <w:tabs>
              <w:tab w:val="left" w:pos="1100"/>
              <w:tab w:val="right" w:leader="dot" w:pos="9350"/>
            </w:tabs>
            <w:rPr>
              <w:noProof/>
              <w:sz w:val="22"/>
              <w:szCs w:val="22"/>
            </w:rPr>
          </w:pPr>
          <w:hyperlink w:anchor="_Toc425145091" w:history="1">
            <w:r w:rsidR="003A6165" w:rsidRPr="009323D1">
              <w:rPr>
                <w:rStyle w:val="Hyperlink"/>
                <w:noProof/>
              </w:rPr>
              <w:t>10.3</w:t>
            </w:r>
            <w:r w:rsidR="003A6165">
              <w:rPr>
                <w:noProof/>
                <w:sz w:val="22"/>
                <w:szCs w:val="22"/>
              </w:rPr>
              <w:tab/>
            </w:r>
            <w:r w:rsidR="003A6165" w:rsidRPr="009323D1">
              <w:rPr>
                <w:rStyle w:val="Hyperlink"/>
                <w:noProof/>
              </w:rPr>
              <w:t>21</w:t>
            </w:r>
            <w:r w:rsidR="003A6165" w:rsidRPr="009323D1">
              <w:rPr>
                <w:rStyle w:val="Hyperlink"/>
                <w:noProof/>
                <w:vertAlign w:val="superscript"/>
              </w:rPr>
              <w:t>st</w:t>
            </w:r>
            <w:r w:rsidR="003A6165" w:rsidRPr="009323D1">
              <w:rPr>
                <w:rStyle w:val="Hyperlink"/>
                <w:noProof/>
              </w:rPr>
              <w:t xml:space="preserve"> Century Cures</w:t>
            </w:r>
            <w:r w:rsidR="003A6165">
              <w:rPr>
                <w:noProof/>
                <w:webHidden/>
              </w:rPr>
              <w:tab/>
            </w:r>
            <w:r w:rsidR="003A6165">
              <w:rPr>
                <w:noProof/>
                <w:webHidden/>
              </w:rPr>
              <w:fldChar w:fldCharType="begin"/>
            </w:r>
            <w:r w:rsidR="003A6165">
              <w:rPr>
                <w:noProof/>
                <w:webHidden/>
              </w:rPr>
              <w:instrText xml:space="preserve"> PAGEREF _Toc425145091 \h </w:instrText>
            </w:r>
            <w:r w:rsidR="003A6165">
              <w:rPr>
                <w:noProof/>
                <w:webHidden/>
              </w:rPr>
            </w:r>
            <w:r w:rsidR="003A6165">
              <w:rPr>
                <w:noProof/>
                <w:webHidden/>
              </w:rPr>
              <w:fldChar w:fldCharType="separate"/>
            </w:r>
            <w:r>
              <w:rPr>
                <w:noProof/>
                <w:webHidden/>
              </w:rPr>
              <w:t>38</w:t>
            </w:r>
            <w:r w:rsidR="003A6165">
              <w:rPr>
                <w:noProof/>
                <w:webHidden/>
              </w:rPr>
              <w:fldChar w:fldCharType="end"/>
            </w:r>
          </w:hyperlink>
        </w:p>
        <w:p w14:paraId="34370991" w14:textId="77777777" w:rsidR="003A6165" w:rsidRDefault="006E7D3A">
          <w:pPr>
            <w:pStyle w:val="TOC2"/>
            <w:tabs>
              <w:tab w:val="left" w:pos="1100"/>
              <w:tab w:val="right" w:leader="dot" w:pos="9350"/>
            </w:tabs>
            <w:rPr>
              <w:noProof/>
              <w:sz w:val="22"/>
              <w:szCs w:val="22"/>
            </w:rPr>
          </w:pPr>
          <w:hyperlink w:anchor="_Toc425145092" w:history="1">
            <w:r w:rsidR="003A6165" w:rsidRPr="009323D1">
              <w:rPr>
                <w:rStyle w:val="Hyperlink"/>
                <w:noProof/>
              </w:rPr>
              <w:t>10.4</w:t>
            </w:r>
            <w:r w:rsidR="003A6165">
              <w:rPr>
                <w:noProof/>
                <w:sz w:val="22"/>
                <w:szCs w:val="22"/>
              </w:rPr>
              <w:tab/>
            </w:r>
            <w:r w:rsidR="003A6165" w:rsidRPr="009323D1">
              <w:rPr>
                <w:rStyle w:val="Hyperlink"/>
                <w:noProof/>
              </w:rPr>
              <w:t>Federal Health IT Strategic Plan and the Shared Nationwide Interoperability Roadmap</w:t>
            </w:r>
            <w:r w:rsidR="003A6165">
              <w:rPr>
                <w:noProof/>
                <w:webHidden/>
              </w:rPr>
              <w:tab/>
            </w:r>
            <w:r w:rsidR="003A6165">
              <w:rPr>
                <w:noProof/>
                <w:webHidden/>
              </w:rPr>
              <w:fldChar w:fldCharType="begin"/>
            </w:r>
            <w:r w:rsidR="003A6165">
              <w:rPr>
                <w:noProof/>
                <w:webHidden/>
              </w:rPr>
              <w:instrText xml:space="preserve"> PAGEREF _Toc425145092 \h </w:instrText>
            </w:r>
            <w:r w:rsidR="003A6165">
              <w:rPr>
                <w:noProof/>
                <w:webHidden/>
              </w:rPr>
            </w:r>
            <w:r w:rsidR="003A6165">
              <w:rPr>
                <w:noProof/>
                <w:webHidden/>
              </w:rPr>
              <w:fldChar w:fldCharType="separate"/>
            </w:r>
            <w:r>
              <w:rPr>
                <w:noProof/>
                <w:webHidden/>
              </w:rPr>
              <w:t>38</w:t>
            </w:r>
            <w:r w:rsidR="003A6165">
              <w:rPr>
                <w:noProof/>
                <w:webHidden/>
              </w:rPr>
              <w:fldChar w:fldCharType="end"/>
            </w:r>
          </w:hyperlink>
        </w:p>
        <w:p w14:paraId="3E76DA44" w14:textId="77777777" w:rsidR="003A6165" w:rsidRDefault="006E7D3A">
          <w:pPr>
            <w:pStyle w:val="TOC2"/>
            <w:tabs>
              <w:tab w:val="left" w:pos="1100"/>
              <w:tab w:val="right" w:leader="dot" w:pos="9350"/>
            </w:tabs>
            <w:rPr>
              <w:noProof/>
              <w:sz w:val="22"/>
              <w:szCs w:val="22"/>
            </w:rPr>
          </w:pPr>
          <w:hyperlink w:anchor="_Toc425145093" w:history="1">
            <w:r w:rsidR="003A6165" w:rsidRPr="009323D1">
              <w:rPr>
                <w:rStyle w:val="Hyperlink"/>
                <w:noProof/>
              </w:rPr>
              <w:t>10.5</w:t>
            </w:r>
            <w:r w:rsidR="003A6165">
              <w:rPr>
                <w:noProof/>
                <w:sz w:val="22"/>
                <w:szCs w:val="22"/>
              </w:rPr>
              <w:tab/>
            </w:r>
            <w:r w:rsidR="003A6165" w:rsidRPr="009323D1">
              <w:rPr>
                <w:rStyle w:val="Hyperlink"/>
                <w:noProof/>
              </w:rPr>
              <w:t>Patient-Centered Outcomes Research</w:t>
            </w:r>
            <w:r w:rsidR="003A6165">
              <w:rPr>
                <w:noProof/>
                <w:webHidden/>
              </w:rPr>
              <w:tab/>
            </w:r>
            <w:r w:rsidR="003A6165">
              <w:rPr>
                <w:noProof/>
                <w:webHidden/>
              </w:rPr>
              <w:fldChar w:fldCharType="begin"/>
            </w:r>
            <w:r w:rsidR="003A6165">
              <w:rPr>
                <w:noProof/>
                <w:webHidden/>
              </w:rPr>
              <w:instrText xml:space="preserve"> PAGEREF _Toc425145093 \h </w:instrText>
            </w:r>
            <w:r w:rsidR="003A6165">
              <w:rPr>
                <w:noProof/>
                <w:webHidden/>
              </w:rPr>
            </w:r>
            <w:r w:rsidR="003A6165">
              <w:rPr>
                <w:noProof/>
                <w:webHidden/>
              </w:rPr>
              <w:fldChar w:fldCharType="separate"/>
            </w:r>
            <w:r>
              <w:rPr>
                <w:noProof/>
                <w:webHidden/>
              </w:rPr>
              <w:t>39</w:t>
            </w:r>
            <w:r w:rsidR="003A6165">
              <w:rPr>
                <w:noProof/>
                <w:webHidden/>
              </w:rPr>
              <w:fldChar w:fldCharType="end"/>
            </w:r>
          </w:hyperlink>
        </w:p>
        <w:p w14:paraId="70A02D54" w14:textId="77777777" w:rsidR="003A6165" w:rsidRDefault="006E7D3A">
          <w:pPr>
            <w:pStyle w:val="TOC2"/>
            <w:tabs>
              <w:tab w:val="left" w:pos="1100"/>
              <w:tab w:val="right" w:leader="dot" w:pos="9350"/>
            </w:tabs>
            <w:rPr>
              <w:noProof/>
              <w:sz w:val="22"/>
              <w:szCs w:val="22"/>
            </w:rPr>
          </w:pPr>
          <w:hyperlink w:anchor="_Toc425145094" w:history="1">
            <w:r w:rsidR="003A6165" w:rsidRPr="009323D1">
              <w:rPr>
                <w:rStyle w:val="Hyperlink"/>
                <w:noProof/>
              </w:rPr>
              <w:t>10.6</w:t>
            </w:r>
            <w:r w:rsidR="003A6165">
              <w:rPr>
                <w:noProof/>
                <w:sz w:val="22"/>
                <w:szCs w:val="22"/>
              </w:rPr>
              <w:tab/>
            </w:r>
            <w:r w:rsidR="003A6165" w:rsidRPr="009323D1">
              <w:rPr>
                <w:rStyle w:val="Hyperlink"/>
                <w:noProof/>
              </w:rPr>
              <w:t>Secretary’s Advisory Committee on Human Research Protections (SACHRP)</w:t>
            </w:r>
            <w:r w:rsidR="003A6165">
              <w:rPr>
                <w:noProof/>
                <w:webHidden/>
              </w:rPr>
              <w:tab/>
            </w:r>
            <w:r w:rsidR="003A6165">
              <w:rPr>
                <w:noProof/>
                <w:webHidden/>
              </w:rPr>
              <w:fldChar w:fldCharType="begin"/>
            </w:r>
            <w:r w:rsidR="003A6165">
              <w:rPr>
                <w:noProof/>
                <w:webHidden/>
              </w:rPr>
              <w:instrText xml:space="preserve"> PAGEREF _Toc425145094 \h </w:instrText>
            </w:r>
            <w:r w:rsidR="003A6165">
              <w:rPr>
                <w:noProof/>
                <w:webHidden/>
              </w:rPr>
            </w:r>
            <w:r w:rsidR="003A6165">
              <w:rPr>
                <w:noProof/>
                <w:webHidden/>
              </w:rPr>
              <w:fldChar w:fldCharType="separate"/>
            </w:r>
            <w:r>
              <w:rPr>
                <w:noProof/>
                <w:webHidden/>
              </w:rPr>
              <w:t>39</w:t>
            </w:r>
            <w:r w:rsidR="003A6165">
              <w:rPr>
                <w:noProof/>
                <w:webHidden/>
              </w:rPr>
              <w:fldChar w:fldCharType="end"/>
            </w:r>
          </w:hyperlink>
        </w:p>
        <w:p w14:paraId="5B3A2A81" w14:textId="78A60590" w:rsidR="002F4D82" w:rsidRDefault="002F4D82">
          <w:r w:rsidRPr="005F2AF0">
            <w:rPr>
              <w:rFonts w:asciiTheme="majorHAnsi" w:hAnsiTheme="majorHAnsi"/>
              <w:b/>
              <w:bCs/>
              <w:noProof/>
            </w:rPr>
            <w:fldChar w:fldCharType="end"/>
          </w:r>
        </w:p>
      </w:sdtContent>
    </w:sdt>
    <w:p w14:paraId="4F5677B3" w14:textId="77777777" w:rsidR="00090959" w:rsidRDefault="00090959">
      <w:pPr>
        <w:rPr>
          <w:rFonts w:asciiTheme="majorHAnsi" w:eastAsiaTheme="majorEastAsia" w:hAnsiTheme="majorHAnsi" w:cstheme="majorBidi"/>
          <w:b/>
          <w:bCs/>
          <w:color w:val="345A8A" w:themeColor="accent1" w:themeShade="B5"/>
          <w:sz w:val="32"/>
          <w:szCs w:val="32"/>
        </w:rPr>
      </w:pPr>
      <w:r>
        <w:br w:type="page"/>
      </w:r>
    </w:p>
    <w:p w14:paraId="6AB1CFAF" w14:textId="1A5BD065" w:rsidR="00DA65FF" w:rsidRPr="0016351D" w:rsidRDefault="00090959" w:rsidP="00CF104F">
      <w:pPr>
        <w:pStyle w:val="Heading1"/>
      </w:pPr>
      <w:bookmarkStart w:id="1" w:name="_Toc425145054"/>
      <w:r>
        <w:lastRenderedPageBreak/>
        <w:t>Introdu</w:t>
      </w:r>
      <w:r w:rsidR="00D22B4F">
        <w:t>ction</w:t>
      </w:r>
      <w:bookmarkEnd w:id="1"/>
    </w:p>
    <w:p w14:paraId="42796DFA" w14:textId="624D20A1" w:rsidR="005C1076" w:rsidRPr="0016351D" w:rsidRDefault="005C1076" w:rsidP="00F87CEB">
      <w:pPr>
        <w:rPr>
          <w:rFonts w:asciiTheme="majorHAnsi" w:hAnsiTheme="majorHAnsi"/>
        </w:rPr>
      </w:pPr>
      <w:r w:rsidRPr="0016351D">
        <w:rPr>
          <w:rFonts w:asciiTheme="majorHAnsi" w:hAnsiTheme="majorHAnsi"/>
        </w:rPr>
        <w:t xml:space="preserve">This </w:t>
      </w:r>
      <w:r w:rsidR="0046782C" w:rsidRPr="0016351D">
        <w:rPr>
          <w:rFonts w:asciiTheme="majorHAnsi" w:hAnsiTheme="majorHAnsi"/>
        </w:rPr>
        <w:t>report</w:t>
      </w:r>
      <w:r w:rsidRPr="0016351D">
        <w:rPr>
          <w:rFonts w:asciiTheme="majorHAnsi" w:hAnsiTheme="majorHAnsi"/>
        </w:rPr>
        <w:t xml:space="preserve"> addresses privacy and security concerns </w:t>
      </w:r>
      <w:r w:rsidR="004F77FB" w:rsidRPr="0016351D">
        <w:rPr>
          <w:rFonts w:asciiTheme="majorHAnsi" w:hAnsiTheme="majorHAnsi"/>
        </w:rPr>
        <w:t xml:space="preserve">as well as </w:t>
      </w:r>
      <w:r w:rsidRPr="0016351D">
        <w:rPr>
          <w:rFonts w:asciiTheme="majorHAnsi" w:hAnsiTheme="majorHAnsi"/>
        </w:rPr>
        <w:t xml:space="preserve">recommendations related to the application of big data </w:t>
      </w:r>
      <w:r w:rsidR="00873548">
        <w:rPr>
          <w:rFonts w:asciiTheme="majorHAnsi" w:hAnsiTheme="majorHAnsi"/>
        </w:rPr>
        <w:t xml:space="preserve">analytics </w:t>
      </w:r>
      <w:r w:rsidRPr="0016351D">
        <w:rPr>
          <w:rFonts w:asciiTheme="majorHAnsi" w:hAnsiTheme="majorHAnsi"/>
        </w:rPr>
        <w:t>in the healthcare space</w:t>
      </w:r>
      <w:r w:rsidR="00C332D9">
        <w:rPr>
          <w:rFonts w:asciiTheme="majorHAnsi" w:hAnsiTheme="majorHAnsi"/>
        </w:rPr>
        <w:t>.</w:t>
      </w:r>
      <w:r w:rsidR="005F2AF0">
        <w:rPr>
          <w:rFonts w:asciiTheme="majorHAnsi" w:hAnsiTheme="majorHAnsi"/>
        </w:rPr>
        <w:t xml:space="preserve">  </w:t>
      </w:r>
      <w:r w:rsidR="009D4387" w:rsidRPr="0016351D">
        <w:rPr>
          <w:rFonts w:asciiTheme="majorHAnsi" w:hAnsiTheme="majorHAnsi"/>
        </w:rPr>
        <w:t xml:space="preserve">The </w:t>
      </w:r>
      <w:r w:rsidR="00880088">
        <w:rPr>
          <w:rFonts w:asciiTheme="majorHAnsi" w:hAnsiTheme="majorHAnsi"/>
        </w:rPr>
        <w:t>Privacy and Security Workgroup</w:t>
      </w:r>
      <w:r w:rsidR="009D4387" w:rsidRPr="0016351D">
        <w:rPr>
          <w:rFonts w:asciiTheme="majorHAnsi" w:hAnsiTheme="majorHAnsi"/>
        </w:rPr>
        <w:t xml:space="preserve"> (PSWG) of the Health Information Technology Policy Committee (HITPC) is charged with </w:t>
      </w:r>
      <w:r w:rsidR="00407D73" w:rsidRPr="0016351D">
        <w:rPr>
          <w:rFonts w:asciiTheme="majorHAnsi" w:hAnsiTheme="majorHAnsi"/>
        </w:rPr>
        <w:t>investigating</w:t>
      </w:r>
      <w:r w:rsidR="009D4387" w:rsidRPr="0016351D">
        <w:rPr>
          <w:rFonts w:asciiTheme="majorHAnsi" w:hAnsiTheme="majorHAnsi"/>
        </w:rPr>
        <w:t xml:space="preserve"> and providing recommendations to the National Coordinator </w:t>
      </w:r>
      <w:r w:rsidR="00D54E45">
        <w:rPr>
          <w:rFonts w:asciiTheme="majorHAnsi" w:hAnsiTheme="majorHAnsi"/>
        </w:rPr>
        <w:t>for</w:t>
      </w:r>
      <w:r w:rsidR="009D4387" w:rsidRPr="0016351D">
        <w:rPr>
          <w:rFonts w:asciiTheme="majorHAnsi" w:hAnsiTheme="majorHAnsi"/>
        </w:rPr>
        <w:t xml:space="preserve"> </w:t>
      </w:r>
      <w:r w:rsidR="00B60DF9">
        <w:rPr>
          <w:rFonts w:asciiTheme="majorHAnsi" w:hAnsiTheme="majorHAnsi"/>
        </w:rPr>
        <w:t xml:space="preserve">Health Information Technology at </w:t>
      </w:r>
      <w:r w:rsidR="009D4387" w:rsidRPr="0016351D">
        <w:rPr>
          <w:rFonts w:asciiTheme="majorHAnsi" w:hAnsiTheme="majorHAnsi"/>
        </w:rPr>
        <w:t xml:space="preserve">the </w:t>
      </w:r>
      <w:r w:rsidR="00B60DF9">
        <w:rPr>
          <w:rFonts w:asciiTheme="majorHAnsi" w:hAnsiTheme="majorHAnsi"/>
        </w:rPr>
        <w:t>U.S</w:t>
      </w:r>
      <w:r w:rsidR="005F2AF0">
        <w:rPr>
          <w:rFonts w:asciiTheme="majorHAnsi" w:hAnsiTheme="majorHAnsi"/>
        </w:rPr>
        <w:t xml:space="preserve">.  </w:t>
      </w:r>
      <w:r w:rsidR="00407D73" w:rsidRPr="0016351D">
        <w:rPr>
          <w:rFonts w:asciiTheme="majorHAnsi" w:hAnsiTheme="majorHAnsi"/>
        </w:rPr>
        <w:t>Department of Health and Human Services (HHS) on privacy and security issues related to the electronic exchange of health information</w:t>
      </w:r>
      <w:r w:rsidR="00C332D9">
        <w:rPr>
          <w:rFonts w:asciiTheme="majorHAnsi" w:hAnsiTheme="majorHAnsi"/>
        </w:rPr>
        <w:t xml:space="preserve">.  </w:t>
      </w:r>
      <w:r w:rsidR="00407D73" w:rsidRPr="0016351D">
        <w:rPr>
          <w:rFonts w:asciiTheme="majorHAnsi" w:hAnsiTheme="majorHAnsi"/>
        </w:rPr>
        <w:t xml:space="preserve">The application of big data </w:t>
      </w:r>
      <w:r w:rsidR="00592F46" w:rsidRPr="0016351D">
        <w:rPr>
          <w:rFonts w:asciiTheme="majorHAnsi" w:hAnsiTheme="majorHAnsi"/>
        </w:rPr>
        <w:t xml:space="preserve">in healthcare </w:t>
      </w:r>
      <w:r w:rsidR="00407D73" w:rsidRPr="0016351D">
        <w:rPr>
          <w:rFonts w:asciiTheme="majorHAnsi" w:hAnsiTheme="majorHAnsi"/>
        </w:rPr>
        <w:t xml:space="preserve">impacts one of the PSWG’s core values; specifically, </w:t>
      </w:r>
      <w:proofErr w:type="gramStart"/>
      <w:r w:rsidR="00407D73" w:rsidRPr="0016351D">
        <w:rPr>
          <w:rFonts w:asciiTheme="majorHAnsi" w:hAnsiTheme="majorHAnsi"/>
        </w:rPr>
        <w:t>that patient</w:t>
      </w:r>
      <w:r w:rsidR="005D0D4B">
        <w:rPr>
          <w:rFonts w:asciiTheme="majorHAnsi" w:hAnsiTheme="majorHAnsi"/>
        </w:rPr>
        <w:t>s</w:t>
      </w:r>
      <w:proofErr w:type="gramEnd"/>
      <w:r w:rsidR="005D0D4B">
        <w:rPr>
          <w:rFonts w:asciiTheme="majorHAnsi" w:hAnsiTheme="majorHAnsi"/>
        </w:rPr>
        <w:t>’</w:t>
      </w:r>
      <w:r w:rsidR="00407D73" w:rsidRPr="0016351D">
        <w:rPr>
          <w:rFonts w:asciiTheme="majorHAnsi" w:hAnsiTheme="majorHAnsi"/>
        </w:rPr>
        <w:t xml:space="preserve"> needs and expectations</w:t>
      </w:r>
      <w:r w:rsidR="00C85F49" w:rsidRPr="0016351D">
        <w:rPr>
          <w:rFonts w:asciiTheme="majorHAnsi" w:hAnsiTheme="majorHAnsi"/>
        </w:rPr>
        <w:t xml:space="preserve"> should be considered, and </w:t>
      </w:r>
      <w:r w:rsidR="006C360E" w:rsidRPr="0016351D">
        <w:rPr>
          <w:rFonts w:asciiTheme="majorHAnsi" w:hAnsiTheme="majorHAnsi"/>
        </w:rPr>
        <w:t xml:space="preserve">that </w:t>
      </w:r>
      <w:r w:rsidR="00C85F49" w:rsidRPr="0016351D">
        <w:rPr>
          <w:rFonts w:asciiTheme="majorHAnsi" w:hAnsiTheme="majorHAnsi"/>
        </w:rPr>
        <w:t>“p</w:t>
      </w:r>
      <w:r w:rsidR="00407D73" w:rsidRPr="0016351D">
        <w:rPr>
          <w:rFonts w:asciiTheme="majorHAnsi" w:hAnsiTheme="majorHAnsi"/>
        </w:rPr>
        <w:t>atients should not be surprised about or harmed by collections, uses or disclosures of their information.”</w:t>
      </w:r>
      <w:r w:rsidR="00407D73" w:rsidRPr="0016351D">
        <w:rPr>
          <w:rStyle w:val="FootnoteReference"/>
          <w:rFonts w:asciiTheme="majorHAnsi" w:hAnsiTheme="majorHAnsi"/>
        </w:rPr>
        <w:footnoteReference w:id="2"/>
      </w:r>
    </w:p>
    <w:p w14:paraId="477CDDE5" w14:textId="77777777" w:rsidR="005C1076" w:rsidRPr="0016351D" w:rsidRDefault="005C1076" w:rsidP="00F87CEB">
      <w:pPr>
        <w:rPr>
          <w:rFonts w:asciiTheme="majorHAnsi" w:hAnsiTheme="majorHAnsi"/>
        </w:rPr>
      </w:pPr>
    </w:p>
    <w:p w14:paraId="1C597E5F" w14:textId="7C2C4152" w:rsidR="00BD7812" w:rsidRPr="0016351D" w:rsidRDefault="00F87CEB" w:rsidP="00F87CEB">
      <w:pPr>
        <w:rPr>
          <w:rFonts w:asciiTheme="majorHAnsi" w:hAnsiTheme="majorHAnsi"/>
        </w:rPr>
      </w:pPr>
      <w:r w:rsidRPr="0016351D">
        <w:rPr>
          <w:rFonts w:asciiTheme="majorHAnsi" w:hAnsiTheme="majorHAnsi"/>
        </w:rPr>
        <w:t xml:space="preserve">The </w:t>
      </w:r>
      <w:r w:rsidR="00A57D9C" w:rsidRPr="0016351D">
        <w:rPr>
          <w:rFonts w:asciiTheme="majorHAnsi" w:hAnsiTheme="majorHAnsi"/>
        </w:rPr>
        <w:t>collection</w:t>
      </w:r>
      <w:r w:rsidRPr="0016351D">
        <w:rPr>
          <w:rFonts w:asciiTheme="majorHAnsi" w:hAnsiTheme="majorHAnsi"/>
        </w:rPr>
        <w:t>, a</w:t>
      </w:r>
      <w:r w:rsidR="00A57D9C" w:rsidRPr="0016351D">
        <w:rPr>
          <w:rFonts w:asciiTheme="majorHAnsi" w:hAnsiTheme="majorHAnsi"/>
        </w:rPr>
        <w:t>nalysis</w:t>
      </w:r>
      <w:r w:rsidRPr="0016351D">
        <w:rPr>
          <w:rFonts w:asciiTheme="majorHAnsi" w:hAnsiTheme="majorHAnsi"/>
        </w:rPr>
        <w:t xml:space="preserve">, and use of large volumes of </w:t>
      </w:r>
      <w:r w:rsidR="00B60DF9">
        <w:rPr>
          <w:rFonts w:asciiTheme="majorHAnsi" w:hAnsiTheme="majorHAnsi"/>
        </w:rPr>
        <w:t xml:space="preserve">electronic </w:t>
      </w:r>
      <w:r w:rsidR="002351AF">
        <w:rPr>
          <w:rFonts w:asciiTheme="majorHAnsi" w:hAnsiTheme="majorHAnsi"/>
        </w:rPr>
        <w:t>information</w:t>
      </w:r>
      <w:r w:rsidR="002351AF" w:rsidRPr="0016351D">
        <w:rPr>
          <w:rFonts w:asciiTheme="majorHAnsi" w:hAnsiTheme="majorHAnsi"/>
        </w:rPr>
        <w:t xml:space="preserve"> </w:t>
      </w:r>
      <w:r w:rsidRPr="0016351D">
        <w:rPr>
          <w:rFonts w:asciiTheme="majorHAnsi" w:hAnsiTheme="majorHAnsi"/>
        </w:rPr>
        <w:t xml:space="preserve">will </w:t>
      </w:r>
      <w:r w:rsidR="004F77FB" w:rsidRPr="0016351D">
        <w:rPr>
          <w:rFonts w:asciiTheme="majorHAnsi" w:hAnsiTheme="majorHAnsi"/>
        </w:rPr>
        <w:t xml:space="preserve">be a </w:t>
      </w:r>
      <w:r w:rsidRPr="0016351D">
        <w:rPr>
          <w:rFonts w:asciiTheme="majorHAnsi" w:hAnsiTheme="majorHAnsi"/>
        </w:rPr>
        <w:t>drive</w:t>
      </w:r>
      <w:r w:rsidR="004F77FB" w:rsidRPr="0016351D">
        <w:rPr>
          <w:rFonts w:asciiTheme="majorHAnsi" w:hAnsiTheme="majorHAnsi"/>
        </w:rPr>
        <w:t>r in</w:t>
      </w:r>
      <w:r w:rsidRPr="0016351D">
        <w:rPr>
          <w:rFonts w:asciiTheme="majorHAnsi" w:hAnsiTheme="majorHAnsi"/>
        </w:rPr>
        <w:t xml:space="preserve"> the </w:t>
      </w:r>
      <w:r w:rsidR="00B60DF9">
        <w:rPr>
          <w:rFonts w:asciiTheme="majorHAnsi" w:hAnsiTheme="majorHAnsi"/>
        </w:rPr>
        <w:t>U.S</w:t>
      </w:r>
      <w:r w:rsidR="00C332D9">
        <w:rPr>
          <w:rFonts w:asciiTheme="majorHAnsi" w:hAnsiTheme="majorHAnsi"/>
        </w:rPr>
        <w:t xml:space="preserve">. </w:t>
      </w:r>
      <w:r w:rsidRPr="0016351D">
        <w:rPr>
          <w:rFonts w:asciiTheme="majorHAnsi" w:hAnsiTheme="majorHAnsi"/>
        </w:rPr>
        <w:t>economy for the foreseeable future</w:t>
      </w:r>
      <w:r w:rsidR="00C332D9">
        <w:rPr>
          <w:rFonts w:asciiTheme="majorHAnsi" w:hAnsiTheme="majorHAnsi"/>
        </w:rPr>
        <w:t xml:space="preserve">.  </w:t>
      </w:r>
      <w:r w:rsidR="001E6CE8" w:rsidRPr="0016351D">
        <w:rPr>
          <w:rFonts w:asciiTheme="majorHAnsi" w:hAnsiTheme="majorHAnsi"/>
        </w:rPr>
        <w:t xml:space="preserve">Through the proliferation of software applications and mobile devices, </w:t>
      </w:r>
      <w:r w:rsidR="00744304" w:rsidRPr="0016351D">
        <w:rPr>
          <w:rFonts w:asciiTheme="majorHAnsi" w:hAnsiTheme="majorHAnsi"/>
        </w:rPr>
        <w:t>the amount of</w:t>
      </w:r>
      <w:r w:rsidR="00BD7812" w:rsidRPr="0016351D">
        <w:rPr>
          <w:rFonts w:asciiTheme="majorHAnsi" w:hAnsiTheme="majorHAnsi"/>
        </w:rPr>
        <w:t xml:space="preserve"> health-related </w:t>
      </w:r>
      <w:r w:rsidR="002D2515">
        <w:rPr>
          <w:rFonts w:asciiTheme="majorHAnsi" w:hAnsiTheme="majorHAnsi"/>
        </w:rPr>
        <w:t>information</w:t>
      </w:r>
      <w:r w:rsidR="002D2515" w:rsidRPr="0016351D">
        <w:rPr>
          <w:rFonts w:asciiTheme="majorHAnsi" w:hAnsiTheme="majorHAnsi"/>
        </w:rPr>
        <w:t xml:space="preserve"> </w:t>
      </w:r>
      <w:r w:rsidR="00744304" w:rsidRPr="0016351D">
        <w:rPr>
          <w:rFonts w:asciiTheme="majorHAnsi" w:hAnsiTheme="majorHAnsi"/>
        </w:rPr>
        <w:t>is growin</w:t>
      </w:r>
      <w:r w:rsidR="00592F46" w:rsidRPr="0016351D">
        <w:rPr>
          <w:rFonts w:asciiTheme="majorHAnsi" w:hAnsiTheme="majorHAnsi"/>
        </w:rPr>
        <w:t>g exponentially</w:t>
      </w:r>
      <w:r w:rsidR="00C332D9">
        <w:rPr>
          <w:rFonts w:asciiTheme="majorHAnsi" w:hAnsiTheme="majorHAnsi"/>
        </w:rPr>
        <w:t xml:space="preserve">.  </w:t>
      </w:r>
      <w:r w:rsidR="00952B6E" w:rsidRPr="0016351D">
        <w:rPr>
          <w:rFonts w:asciiTheme="majorHAnsi" w:hAnsiTheme="majorHAnsi"/>
        </w:rPr>
        <w:t>As</w:t>
      </w:r>
      <w:r w:rsidR="00FE424D" w:rsidRPr="0016351D">
        <w:rPr>
          <w:rFonts w:asciiTheme="majorHAnsi" w:hAnsiTheme="majorHAnsi"/>
        </w:rPr>
        <w:t xml:space="preserve"> the volume, velocity, and </w:t>
      </w:r>
      <w:r w:rsidR="009B6E56" w:rsidRPr="0016351D">
        <w:rPr>
          <w:rFonts w:asciiTheme="majorHAnsi" w:hAnsiTheme="majorHAnsi"/>
        </w:rPr>
        <w:t xml:space="preserve">variety of </w:t>
      </w:r>
      <w:r w:rsidR="002D2515">
        <w:rPr>
          <w:rFonts w:asciiTheme="majorHAnsi" w:hAnsiTheme="majorHAnsi"/>
        </w:rPr>
        <w:t>information</w:t>
      </w:r>
      <w:r w:rsidR="002D2515" w:rsidRPr="0016351D">
        <w:rPr>
          <w:rFonts w:asciiTheme="majorHAnsi" w:hAnsiTheme="majorHAnsi"/>
        </w:rPr>
        <w:t xml:space="preserve"> </w:t>
      </w:r>
      <w:r w:rsidR="00952B6E" w:rsidRPr="0016351D">
        <w:rPr>
          <w:rFonts w:asciiTheme="majorHAnsi" w:hAnsiTheme="majorHAnsi"/>
        </w:rPr>
        <w:t>continue</w:t>
      </w:r>
      <w:r w:rsidR="009B6E56" w:rsidRPr="0016351D">
        <w:rPr>
          <w:rFonts w:asciiTheme="majorHAnsi" w:hAnsiTheme="majorHAnsi"/>
        </w:rPr>
        <w:t xml:space="preserve"> to grow, so do the potential risks</w:t>
      </w:r>
      <w:r w:rsidR="0016351D">
        <w:rPr>
          <w:rFonts w:asciiTheme="majorHAnsi" w:hAnsiTheme="majorHAnsi"/>
        </w:rPr>
        <w:t xml:space="preserve"> arising from</w:t>
      </w:r>
      <w:r w:rsidR="009B6E56" w:rsidRPr="0016351D">
        <w:rPr>
          <w:rFonts w:asciiTheme="majorHAnsi" w:hAnsiTheme="majorHAnsi"/>
        </w:rPr>
        <w:t xml:space="preserve"> unknown and inappropriate use</w:t>
      </w:r>
      <w:r w:rsidR="00952B6E" w:rsidRPr="0016351D">
        <w:rPr>
          <w:rFonts w:asciiTheme="majorHAnsi" w:hAnsiTheme="majorHAnsi"/>
        </w:rPr>
        <w:t>s</w:t>
      </w:r>
      <w:r w:rsidR="009B6E56" w:rsidRPr="0016351D">
        <w:rPr>
          <w:rFonts w:asciiTheme="majorHAnsi" w:hAnsiTheme="majorHAnsi"/>
        </w:rPr>
        <w:t xml:space="preserve"> of </w:t>
      </w:r>
      <w:r w:rsidR="00FE424D" w:rsidRPr="0016351D">
        <w:rPr>
          <w:rFonts w:asciiTheme="majorHAnsi" w:hAnsiTheme="majorHAnsi"/>
        </w:rPr>
        <w:t>protected health information (PHI)</w:t>
      </w:r>
      <w:r w:rsidR="00952B6E" w:rsidRPr="0016351D">
        <w:rPr>
          <w:rFonts w:asciiTheme="majorHAnsi" w:hAnsiTheme="majorHAnsi"/>
        </w:rPr>
        <w:t>.</w:t>
      </w:r>
      <w:r w:rsidR="00FE424D" w:rsidRPr="0016351D">
        <w:rPr>
          <w:rStyle w:val="FootnoteReference"/>
          <w:rFonts w:asciiTheme="majorHAnsi" w:hAnsiTheme="majorHAnsi"/>
        </w:rPr>
        <w:footnoteReference w:id="3"/>
      </w:r>
      <w:r w:rsidR="00FE424D" w:rsidRPr="0016351D">
        <w:rPr>
          <w:rFonts w:asciiTheme="majorHAnsi" w:hAnsiTheme="majorHAnsi"/>
        </w:rPr>
        <w:t xml:space="preserve"> </w:t>
      </w:r>
    </w:p>
    <w:p w14:paraId="3051D6BB" w14:textId="77777777" w:rsidR="002B409C" w:rsidRPr="0016351D" w:rsidRDefault="002B409C" w:rsidP="00F87CEB">
      <w:pPr>
        <w:rPr>
          <w:rFonts w:asciiTheme="majorHAnsi" w:hAnsiTheme="majorHAnsi"/>
        </w:rPr>
      </w:pPr>
    </w:p>
    <w:p w14:paraId="4EA7A411" w14:textId="42E2A38E" w:rsidR="00F37110" w:rsidRPr="0016351D" w:rsidRDefault="00CD744F" w:rsidP="00F87CEB">
      <w:pPr>
        <w:rPr>
          <w:rFonts w:asciiTheme="majorHAnsi" w:hAnsiTheme="majorHAnsi"/>
        </w:rPr>
      </w:pPr>
      <w:r w:rsidRPr="0016351D">
        <w:rPr>
          <w:rFonts w:asciiTheme="majorHAnsi" w:hAnsiTheme="majorHAnsi"/>
        </w:rPr>
        <w:t>In response to a charge from the White House to consider the impacts of big data analyses, t</w:t>
      </w:r>
      <w:r w:rsidR="00F3574A" w:rsidRPr="0016351D">
        <w:rPr>
          <w:rFonts w:asciiTheme="majorHAnsi" w:hAnsiTheme="majorHAnsi"/>
        </w:rPr>
        <w:t>he PSWG invited</w:t>
      </w:r>
      <w:r w:rsidR="0016351D">
        <w:rPr>
          <w:rFonts w:asciiTheme="majorHAnsi" w:hAnsiTheme="majorHAnsi"/>
        </w:rPr>
        <w:t xml:space="preserve"> relevant experts and interested stakeholders </w:t>
      </w:r>
      <w:r w:rsidR="00F3574A" w:rsidRPr="0016351D">
        <w:rPr>
          <w:rFonts w:asciiTheme="majorHAnsi" w:hAnsiTheme="majorHAnsi"/>
        </w:rPr>
        <w:t>to testify</w:t>
      </w:r>
      <w:r w:rsidR="00FA5CA9" w:rsidRPr="0016351D">
        <w:rPr>
          <w:rFonts w:asciiTheme="majorHAnsi" w:hAnsiTheme="majorHAnsi"/>
        </w:rPr>
        <w:t xml:space="preserve"> </w:t>
      </w:r>
      <w:r w:rsidR="004F77FB" w:rsidRPr="0016351D">
        <w:rPr>
          <w:rFonts w:asciiTheme="majorHAnsi" w:hAnsiTheme="majorHAnsi"/>
        </w:rPr>
        <w:t>on</w:t>
      </w:r>
      <w:r w:rsidR="0060116F" w:rsidRPr="0016351D">
        <w:rPr>
          <w:rFonts w:asciiTheme="majorHAnsi" w:hAnsiTheme="majorHAnsi"/>
        </w:rPr>
        <w:t xml:space="preserve"> the opportunities and challenges of health big data, </w:t>
      </w:r>
      <w:r w:rsidR="00A76421" w:rsidRPr="0016351D">
        <w:rPr>
          <w:rFonts w:asciiTheme="majorHAnsi" w:hAnsiTheme="majorHAnsi"/>
        </w:rPr>
        <w:t>health big data concerns</w:t>
      </w:r>
      <w:r w:rsidR="00F3574A" w:rsidRPr="0016351D">
        <w:rPr>
          <w:rFonts w:asciiTheme="majorHAnsi" w:hAnsiTheme="majorHAnsi"/>
        </w:rPr>
        <w:t xml:space="preserve"> and </w:t>
      </w:r>
      <w:r w:rsidR="00A76421" w:rsidRPr="0016351D">
        <w:rPr>
          <w:rFonts w:asciiTheme="majorHAnsi" w:hAnsiTheme="majorHAnsi"/>
        </w:rPr>
        <w:t xml:space="preserve">harms, </w:t>
      </w:r>
      <w:r w:rsidR="00173152" w:rsidRPr="0016351D">
        <w:rPr>
          <w:rFonts w:asciiTheme="majorHAnsi" w:hAnsiTheme="majorHAnsi"/>
        </w:rPr>
        <w:t xml:space="preserve">and </w:t>
      </w:r>
      <w:r w:rsidR="00A76421" w:rsidRPr="0016351D">
        <w:rPr>
          <w:rFonts w:asciiTheme="majorHAnsi" w:hAnsiTheme="majorHAnsi"/>
        </w:rPr>
        <w:t xml:space="preserve">the </w:t>
      </w:r>
      <w:r w:rsidR="0027454F" w:rsidRPr="0016351D">
        <w:rPr>
          <w:rFonts w:asciiTheme="majorHAnsi" w:hAnsiTheme="majorHAnsi"/>
        </w:rPr>
        <w:t>advantages</w:t>
      </w:r>
      <w:r w:rsidR="00FA5CA9" w:rsidRPr="0016351D">
        <w:rPr>
          <w:rFonts w:asciiTheme="majorHAnsi" w:hAnsiTheme="majorHAnsi"/>
        </w:rPr>
        <w:t xml:space="preserve"> and </w:t>
      </w:r>
      <w:r w:rsidR="0027454F" w:rsidRPr="0016351D">
        <w:rPr>
          <w:rFonts w:asciiTheme="majorHAnsi" w:hAnsiTheme="majorHAnsi"/>
        </w:rPr>
        <w:t xml:space="preserve">limits </w:t>
      </w:r>
      <w:r w:rsidR="004F77FB" w:rsidRPr="0016351D">
        <w:rPr>
          <w:rFonts w:asciiTheme="majorHAnsi" w:hAnsiTheme="majorHAnsi"/>
        </w:rPr>
        <w:t>of</w:t>
      </w:r>
      <w:r w:rsidR="0027454F" w:rsidRPr="0016351D">
        <w:rPr>
          <w:rFonts w:asciiTheme="majorHAnsi" w:hAnsiTheme="majorHAnsi"/>
        </w:rPr>
        <w:t xml:space="preserve"> </w:t>
      </w:r>
      <w:r w:rsidR="00A76421" w:rsidRPr="0016351D">
        <w:rPr>
          <w:rFonts w:asciiTheme="majorHAnsi" w:hAnsiTheme="majorHAnsi"/>
        </w:rPr>
        <w:t xml:space="preserve">current </w:t>
      </w:r>
      <w:r w:rsidR="0027454F" w:rsidRPr="0016351D">
        <w:rPr>
          <w:rFonts w:asciiTheme="majorHAnsi" w:hAnsiTheme="majorHAnsi"/>
        </w:rPr>
        <w:t>law</w:t>
      </w:r>
      <w:r w:rsidR="00173152" w:rsidRPr="0016351D">
        <w:rPr>
          <w:rFonts w:asciiTheme="majorHAnsi" w:hAnsiTheme="majorHAnsi"/>
        </w:rPr>
        <w:t>s</w:t>
      </w:r>
      <w:r w:rsidR="0027454F" w:rsidRPr="0016351D">
        <w:rPr>
          <w:rFonts w:asciiTheme="majorHAnsi" w:hAnsiTheme="majorHAnsi"/>
        </w:rPr>
        <w:t xml:space="preserve"> </w:t>
      </w:r>
      <w:r w:rsidR="00173152" w:rsidRPr="0016351D">
        <w:rPr>
          <w:rFonts w:asciiTheme="majorHAnsi" w:hAnsiTheme="majorHAnsi"/>
        </w:rPr>
        <w:t>concerning</w:t>
      </w:r>
      <w:r w:rsidR="00A76421" w:rsidRPr="0016351D">
        <w:rPr>
          <w:rFonts w:asciiTheme="majorHAnsi" w:hAnsiTheme="majorHAnsi"/>
        </w:rPr>
        <w:t xml:space="preserve"> </w:t>
      </w:r>
      <w:r w:rsidR="00B43293" w:rsidRPr="0016351D">
        <w:rPr>
          <w:rFonts w:asciiTheme="majorHAnsi" w:hAnsiTheme="majorHAnsi"/>
        </w:rPr>
        <w:t>the use of big data and emerging technologies</w:t>
      </w:r>
      <w:r w:rsidR="00C332D9">
        <w:rPr>
          <w:rFonts w:asciiTheme="majorHAnsi" w:hAnsiTheme="majorHAnsi"/>
        </w:rPr>
        <w:t xml:space="preserve">.  </w:t>
      </w:r>
      <w:r w:rsidR="00A76421" w:rsidRPr="0016351D">
        <w:rPr>
          <w:rFonts w:asciiTheme="majorHAnsi" w:hAnsiTheme="majorHAnsi"/>
        </w:rPr>
        <w:t xml:space="preserve">The PSWG held three (3) </w:t>
      </w:r>
      <w:r w:rsidR="00B60DF9">
        <w:rPr>
          <w:rFonts w:asciiTheme="majorHAnsi" w:hAnsiTheme="majorHAnsi"/>
        </w:rPr>
        <w:t xml:space="preserve">public </w:t>
      </w:r>
      <w:r w:rsidR="00B52470" w:rsidRPr="0016351D">
        <w:rPr>
          <w:rFonts w:asciiTheme="majorHAnsi" w:hAnsiTheme="majorHAnsi"/>
        </w:rPr>
        <w:t xml:space="preserve">hearings </w:t>
      </w:r>
      <w:r w:rsidR="00A76421" w:rsidRPr="0016351D">
        <w:rPr>
          <w:rFonts w:asciiTheme="majorHAnsi" w:hAnsiTheme="majorHAnsi"/>
        </w:rPr>
        <w:t>between December 2014 and February 2015</w:t>
      </w:r>
      <w:r w:rsidR="00CA28CE">
        <w:rPr>
          <w:rFonts w:asciiTheme="majorHAnsi" w:hAnsiTheme="majorHAnsi"/>
        </w:rPr>
        <w:t xml:space="preserve"> in which </w:t>
      </w:r>
      <w:r w:rsidR="00B52470" w:rsidRPr="0016351D">
        <w:rPr>
          <w:rFonts w:asciiTheme="majorHAnsi" w:hAnsiTheme="majorHAnsi"/>
        </w:rPr>
        <w:t>21</w:t>
      </w:r>
      <w:r w:rsidR="0027454F" w:rsidRPr="0016351D">
        <w:rPr>
          <w:rFonts w:asciiTheme="majorHAnsi" w:hAnsiTheme="majorHAnsi"/>
        </w:rPr>
        <w:t xml:space="preserve"> </w:t>
      </w:r>
      <w:r w:rsidR="00A76421" w:rsidRPr="0016351D">
        <w:rPr>
          <w:rFonts w:asciiTheme="majorHAnsi" w:hAnsiTheme="majorHAnsi"/>
        </w:rPr>
        <w:t xml:space="preserve">individuals </w:t>
      </w:r>
      <w:r w:rsidR="00B52470" w:rsidRPr="0016351D">
        <w:rPr>
          <w:rFonts w:asciiTheme="majorHAnsi" w:hAnsiTheme="majorHAnsi"/>
        </w:rPr>
        <w:t xml:space="preserve">from </w:t>
      </w:r>
      <w:r w:rsidR="00341395" w:rsidRPr="0016351D">
        <w:rPr>
          <w:rFonts w:asciiTheme="majorHAnsi" w:hAnsiTheme="majorHAnsi"/>
        </w:rPr>
        <w:t>across the healthcare spectrum</w:t>
      </w:r>
      <w:r w:rsidR="00B52470" w:rsidRPr="0016351D">
        <w:rPr>
          <w:rFonts w:asciiTheme="majorHAnsi" w:hAnsiTheme="majorHAnsi"/>
        </w:rPr>
        <w:t xml:space="preserve"> </w:t>
      </w:r>
      <w:r w:rsidR="00B60DF9">
        <w:rPr>
          <w:rFonts w:asciiTheme="majorHAnsi" w:hAnsiTheme="majorHAnsi"/>
        </w:rPr>
        <w:t>were invited to speak</w:t>
      </w:r>
      <w:r w:rsidR="00C332D9">
        <w:rPr>
          <w:rFonts w:asciiTheme="majorHAnsi" w:hAnsiTheme="majorHAnsi"/>
        </w:rPr>
        <w:t>.</w:t>
      </w:r>
      <w:r w:rsidR="0047246E">
        <w:rPr>
          <w:rStyle w:val="FootnoteReference"/>
          <w:rFonts w:asciiTheme="majorHAnsi" w:hAnsiTheme="majorHAnsi"/>
        </w:rPr>
        <w:footnoteReference w:id="4"/>
      </w:r>
      <w:r w:rsidR="00C332D9">
        <w:rPr>
          <w:rFonts w:asciiTheme="majorHAnsi" w:hAnsiTheme="majorHAnsi"/>
        </w:rPr>
        <w:t xml:space="preserve">  </w:t>
      </w:r>
      <w:r w:rsidR="00A76421" w:rsidRPr="0016351D">
        <w:rPr>
          <w:rFonts w:asciiTheme="majorHAnsi" w:hAnsiTheme="majorHAnsi"/>
        </w:rPr>
        <w:t xml:space="preserve">The </w:t>
      </w:r>
      <w:r w:rsidR="00B60DF9">
        <w:rPr>
          <w:rFonts w:asciiTheme="majorHAnsi" w:hAnsiTheme="majorHAnsi"/>
        </w:rPr>
        <w:t>speakers</w:t>
      </w:r>
      <w:r w:rsidR="00B52470" w:rsidRPr="0016351D">
        <w:rPr>
          <w:rFonts w:asciiTheme="majorHAnsi" w:hAnsiTheme="majorHAnsi"/>
        </w:rPr>
        <w:t xml:space="preserve"> </w:t>
      </w:r>
      <w:r w:rsidR="0027454F" w:rsidRPr="0016351D">
        <w:rPr>
          <w:rFonts w:asciiTheme="majorHAnsi" w:hAnsiTheme="majorHAnsi"/>
        </w:rPr>
        <w:t xml:space="preserve">are leading experts with </w:t>
      </w:r>
      <w:r w:rsidR="004F77FB" w:rsidRPr="0016351D">
        <w:rPr>
          <w:rFonts w:asciiTheme="majorHAnsi" w:hAnsiTheme="majorHAnsi"/>
        </w:rPr>
        <w:t xml:space="preserve">a </w:t>
      </w:r>
      <w:r w:rsidR="0027454F" w:rsidRPr="0016351D">
        <w:rPr>
          <w:rFonts w:asciiTheme="majorHAnsi" w:hAnsiTheme="majorHAnsi"/>
        </w:rPr>
        <w:t xml:space="preserve">diverse perspective on issues related to big data in healthcare, and they represent a wide </w:t>
      </w:r>
      <w:r w:rsidR="00A76421" w:rsidRPr="0016351D">
        <w:rPr>
          <w:rFonts w:asciiTheme="majorHAnsi" w:hAnsiTheme="majorHAnsi"/>
        </w:rPr>
        <w:t xml:space="preserve">range of stakeholder groups, </w:t>
      </w:r>
      <w:r w:rsidR="0027454F" w:rsidRPr="0016351D">
        <w:rPr>
          <w:rFonts w:asciiTheme="majorHAnsi" w:hAnsiTheme="majorHAnsi"/>
        </w:rPr>
        <w:t>including consumer</w:t>
      </w:r>
      <w:r w:rsidR="00341395" w:rsidRPr="0016351D">
        <w:rPr>
          <w:rFonts w:asciiTheme="majorHAnsi" w:hAnsiTheme="majorHAnsi"/>
        </w:rPr>
        <w:t xml:space="preserve"> and privacy</w:t>
      </w:r>
      <w:r w:rsidR="0027454F" w:rsidRPr="0016351D">
        <w:rPr>
          <w:rFonts w:asciiTheme="majorHAnsi" w:hAnsiTheme="majorHAnsi"/>
        </w:rPr>
        <w:t xml:space="preserve"> advocacy groups, </w:t>
      </w:r>
      <w:r w:rsidR="00341395" w:rsidRPr="0016351D">
        <w:rPr>
          <w:rFonts w:asciiTheme="majorHAnsi" w:hAnsiTheme="majorHAnsi"/>
        </w:rPr>
        <w:t xml:space="preserve">consumer-facing enterprises, </w:t>
      </w:r>
      <w:r w:rsidR="00B52470" w:rsidRPr="0016351D">
        <w:rPr>
          <w:rFonts w:asciiTheme="majorHAnsi" w:hAnsiTheme="majorHAnsi"/>
        </w:rPr>
        <w:t xml:space="preserve">academia, </w:t>
      </w:r>
      <w:r w:rsidR="0027454F" w:rsidRPr="0016351D">
        <w:rPr>
          <w:rFonts w:asciiTheme="majorHAnsi" w:hAnsiTheme="majorHAnsi"/>
        </w:rPr>
        <w:t xml:space="preserve">big data analytics companies, </w:t>
      </w:r>
      <w:r w:rsidR="00B52470" w:rsidRPr="0016351D">
        <w:rPr>
          <w:rFonts w:asciiTheme="majorHAnsi" w:hAnsiTheme="majorHAnsi"/>
        </w:rPr>
        <w:t xml:space="preserve">and </w:t>
      </w:r>
      <w:r w:rsidR="0027454F" w:rsidRPr="0016351D">
        <w:rPr>
          <w:rFonts w:asciiTheme="majorHAnsi" w:hAnsiTheme="majorHAnsi"/>
        </w:rPr>
        <w:t>healthcare delivery systems</w:t>
      </w:r>
      <w:r w:rsidR="005F2AF0">
        <w:rPr>
          <w:rFonts w:asciiTheme="majorHAnsi" w:hAnsiTheme="majorHAnsi"/>
        </w:rPr>
        <w:t xml:space="preserve">.  </w:t>
      </w:r>
    </w:p>
    <w:p w14:paraId="2C0814A6" w14:textId="36EA4CAE" w:rsidR="002F4D82" w:rsidRPr="002F4D82" w:rsidRDefault="00365A30" w:rsidP="002F4D82">
      <w:pPr>
        <w:pStyle w:val="Heading2"/>
      </w:pPr>
      <w:bookmarkStart w:id="2" w:name="_Toc425145055"/>
      <w:r w:rsidRPr="0016351D">
        <w:t>Opportunities</w:t>
      </w:r>
      <w:r w:rsidR="00E80983">
        <w:t xml:space="preserve"> and Challenges</w:t>
      </w:r>
      <w:bookmarkEnd w:id="2"/>
    </w:p>
    <w:p w14:paraId="1ABF5A27" w14:textId="48D2E56B" w:rsidR="00647C98" w:rsidRDefault="00E80983" w:rsidP="00647C98">
      <w:pPr>
        <w:rPr>
          <w:rFonts w:asciiTheme="majorHAnsi" w:hAnsiTheme="majorHAnsi"/>
        </w:rPr>
      </w:pPr>
      <w:r w:rsidRPr="0016351D">
        <w:rPr>
          <w:rFonts w:asciiTheme="majorHAnsi" w:hAnsiTheme="majorHAnsi"/>
        </w:rPr>
        <w:t>Many see the application of big data analytics in healthcare as an opportunity to improve the health of both individuals and their communities</w:t>
      </w:r>
      <w:r w:rsidR="00C332D9">
        <w:rPr>
          <w:rFonts w:asciiTheme="majorHAnsi" w:hAnsiTheme="majorHAnsi"/>
        </w:rPr>
        <w:t xml:space="preserve">.  </w:t>
      </w:r>
      <w:r w:rsidR="00661BF6">
        <w:rPr>
          <w:rFonts w:asciiTheme="majorHAnsi" w:hAnsiTheme="majorHAnsi"/>
        </w:rPr>
        <w:t>These benefits include safer</w:t>
      </w:r>
      <w:r w:rsidR="00503998" w:rsidRPr="0016351D">
        <w:rPr>
          <w:rFonts w:asciiTheme="majorHAnsi" w:hAnsiTheme="majorHAnsi"/>
        </w:rPr>
        <w:t xml:space="preserve"> </w:t>
      </w:r>
      <w:r w:rsidR="00661BF6">
        <w:rPr>
          <w:rFonts w:asciiTheme="majorHAnsi" w:hAnsiTheme="majorHAnsi"/>
        </w:rPr>
        <w:t>treatments</w:t>
      </w:r>
      <w:r w:rsidR="00AE1611">
        <w:rPr>
          <w:rFonts w:asciiTheme="majorHAnsi" w:hAnsiTheme="majorHAnsi"/>
        </w:rPr>
        <w:t>,</w:t>
      </w:r>
      <w:r w:rsidR="00735431">
        <w:rPr>
          <w:rFonts w:asciiTheme="majorHAnsi" w:hAnsiTheme="majorHAnsi"/>
        </w:rPr>
        <w:t xml:space="preserve"> </w:t>
      </w:r>
      <w:r w:rsidR="00AE1611">
        <w:rPr>
          <w:rFonts w:asciiTheme="majorHAnsi" w:hAnsiTheme="majorHAnsi"/>
        </w:rPr>
        <w:t>the ability to</w:t>
      </w:r>
      <w:r w:rsidR="00735431">
        <w:rPr>
          <w:rFonts w:asciiTheme="majorHAnsi" w:hAnsiTheme="majorHAnsi"/>
        </w:rPr>
        <w:t xml:space="preserve"> targe</w:t>
      </w:r>
      <w:r w:rsidR="00AE1611">
        <w:rPr>
          <w:rFonts w:asciiTheme="majorHAnsi" w:hAnsiTheme="majorHAnsi"/>
        </w:rPr>
        <w:t>t</w:t>
      </w:r>
      <w:r w:rsidR="00735431">
        <w:rPr>
          <w:rFonts w:asciiTheme="majorHAnsi" w:hAnsiTheme="majorHAnsi"/>
        </w:rPr>
        <w:t xml:space="preserve"> communities and individuals</w:t>
      </w:r>
      <w:r w:rsidR="00AE1611">
        <w:rPr>
          <w:rFonts w:asciiTheme="majorHAnsi" w:hAnsiTheme="majorHAnsi"/>
        </w:rPr>
        <w:t xml:space="preserve"> with tailored interventions</w:t>
      </w:r>
      <w:proofErr w:type="gramStart"/>
      <w:r w:rsidR="00735431">
        <w:rPr>
          <w:rFonts w:asciiTheme="majorHAnsi" w:hAnsiTheme="majorHAnsi"/>
        </w:rPr>
        <w:t>,</w:t>
      </w:r>
      <w:proofErr w:type="gramEnd"/>
      <w:r w:rsidR="00AE1611" w:rsidRPr="00AE1611">
        <w:rPr>
          <w:rStyle w:val="FootnoteReference"/>
          <w:rFonts w:asciiTheme="majorHAnsi" w:hAnsiTheme="majorHAnsi"/>
        </w:rPr>
        <w:t xml:space="preserve"> </w:t>
      </w:r>
      <w:r w:rsidR="00AE1611">
        <w:rPr>
          <w:rFonts w:asciiTheme="majorHAnsi" w:hAnsiTheme="majorHAnsi"/>
        </w:rPr>
        <w:t>and</w:t>
      </w:r>
      <w:r w:rsidR="00CA60CF">
        <w:rPr>
          <w:rFonts w:asciiTheme="majorHAnsi" w:hAnsiTheme="majorHAnsi"/>
        </w:rPr>
        <w:t xml:space="preserve"> the ability to respond to the spread of diseases</w:t>
      </w:r>
      <w:r w:rsidR="00CA60CF" w:rsidRPr="00CA60CF">
        <w:rPr>
          <w:rFonts w:asciiTheme="majorHAnsi" w:hAnsiTheme="majorHAnsi"/>
        </w:rPr>
        <w:t xml:space="preserve"> </w:t>
      </w:r>
      <w:r w:rsidR="00CA60CF">
        <w:rPr>
          <w:rFonts w:asciiTheme="majorHAnsi" w:hAnsiTheme="majorHAnsi"/>
        </w:rPr>
        <w:t>more rapidly.</w:t>
      </w:r>
      <w:r w:rsidR="0074414A" w:rsidRPr="0016351D">
        <w:rPr>
          <w:rStyle w:val="FootnoteReference"/>
          <w:rFonts w:asciiTheme="majorHAnsi" w:hAnsiTheme="majorHAnsi"/>
        </w:rPr>
        <w:footnoteReference w:id="5"/>
      </w:r>
      <w:r w:rsidR="00647C98">
        <w:rPr>
          <w:rFonts w:asciiTheme="majorHAnsi" w:hAnsiTheme="majorHAnsi"/>
        </w:rPr>
        <w:t xml:space="preserve"> </w:t>
      </w:r>
      <w:r w:rsidR="005F2AF0">
        <w:rPr>
          <w:rFonts w:asciiTheme="majorHAnsi" w:hAnsiTheme="majorHAnsi"/>
        </w:rPr>
        <w:t xml:space="preserve"> </w:t>
      </w:r>
      <w:r w:rsidR="00647C98" w:rsidRPr="0016351D">
        <w:rPr>
          <w:rFonts w:asciiTheme="majorHAnsi" w:hAnsiTheme="majorHAnsi"/>
        </w:rPr>
        <w:t xml:space="preserve">Big data analytics can also support </w:t>
      </w:r>
      <w:r w:rsidR="009433C9">
        <w:rPr>
          <w:rFonts w:asciiTheme="majorHAnsi" w:hAnsiTheme="majorHAnsi"/>
        </w:rPr>
        <w:t xml:space="preserve">the </w:t>
      </w:r>
      <w:r w:rsidR="00647C98" w:rsidRPr="0016351D">
        <w:rPr>
          <w:rFonts w:asciiTheme="majorHAnsi" w:hAnsiTheme="majorHAnsi"/>
        </w:rPr>
        <w:t>growth of a learning health system</w:t>
      </w:r>
      <w:r w:rsidR="000C3E79">
        <w:rPr>
          <w:rFonts w:asciiTheme="majorHAnsi" w:hAnsiTheme="majorHAnsi"/>
        </w:rPr>
        <w:t xml:space="preserve"> (LHS)</w:t>
      </w:r>
      <w:r w:rsidR="00647C98" w:rsidRPr="0016351D">
        <w:rPr>
          <w:rFonts w:asciiTheme="majorHAnsi" w:hAnsiTheme="majorHAnsi"/>
        </w:rPr>
        <w:t xml:space="preserve">, which is “an environment that links the care delivery system </w:t>
      </w:r>
      <w:r w:rsidR="00647C98" w:rsidRPr="0016351D">
        <w:rPr>
          <w:rFonts w:asciiTheme="majorHAnsi" w:hAnsiTheme="majorHAnsi"/>
        </w:rPr>
        <w:lastRenderedPageBreak/>
        <w:t>with communities and societal supports in ‘closed loops’ of electronic health information flow, at many different levels, to enable continuous learning and improved health.”</w:t>
      </w:r>
      <w:r w:rsidR="00647C98" w:rsidRPr="0016351D">
        <w:rPr>
          <w:rStyle w:val="FootnoteReference"/>
          <w:rFonts w:asciiTheme="majorHAnsi" w:hAnsiTheme="majorHAnsi"/>
        </w:rPr>
        <w:footnoteReference w:id="6"/>
      </w:r>
      <w:r w:rsidR="00647C98" w:rsidRPr="0016351D">
        <w:rPr>
          <w:rFonts w:asciiTheme="majorHAnsi" w:hAnsiTheme="majorHAnsi"/>
        </w:rPr>
        <w:t xml:space="preserve"> </w:t>
      </w:r>
      <w:r w:rsidR="00A07E2F">
        <w:rPr>
          <w:rFonts w:asciiTheme="majorHAnsi" w:hAnsiTheme="majorHAnsi"/>
        </w:rPr>
        <w:t xml:space="preserve"> </w:t>
      </w:r>
      <w:r w:rsidR="00647C98" w:rsidRPr="0016351D">
        <w:rPr>
          <w:rFonts w:asciiTheme="majorHAnsi" w:hAnsiTheme="majorHAnsi"/>
        </w:rPr>
        <w:t xml:space="preserve">ONC recently released a draft roadmap for the interoperability of clinical </w:t>
      </w:r>
      <w:r w:rsidR="002D2515">
        <w:rPr>
          <w:rFonts w:asciiTheme="majorHAnsi" w:hAnsiTheme="majorHAnsi"/>
        </w:rPr>
        <w:t>information</w:t>
      </w:r>
      <w:r w:rsidR="002D2515" w:rsidRPr="0016351D">
        <w:rPr>
          <w:rFonts w:asciiTheme="majorHAnsi" w:hAnsiTheme="majorHAnsi"/>
        </w:rPr>
        <w:t xml:space="preserve"> </w:t>
      </w:r>
      <w:r w:rsidR="00647C98" w:rsidRPr="0016351D">
        <w:rPr>
          <w:rFonts w:asciiTheme="majorHAnsi" w:hAnsiTheme="majorHAnsi"/>
        </w:rPr>
        <w:t>to support research and big data analyses on the path to achieving a nationwide learning health system.</w:t>
      </w:r>
      <w:r w:rsidR="00647C98" w:rsidRPr="0016351D">
        <w:rPr>
          <w:rStyle w:val="FootnoteReference"/>
          <w:rFonts w:asciiTheme="majorHAnsi" w:hAnsiTheme="majorHAnsi"/>
        </w:rPr>
        <w:footnoteReference w:id="7"/>
      </w:r>
    </w:p>
    <w:p w14:paraId="39F25180" w14:textId="77777777" w:rsidR="00C518E5" w:rsidRDefault="00C518E5" w:rsidP="00647C98">
      <w:pPr>
        <w:rPr>
          <w:rFonts w:asciiTheme="majorHAnsi" w:hAnsiTheme="majorHAnsi"/>
        </w:rPr>
      </w:pPr>
    </w:p>
    <w:p w14:paraId="202D7258" w14:textId="7B9F6246" w:rsidR="00F86026" w:rsidRDefault="00C518E5" w:rsidP="00B46595">
      <w:pPr>
        <w:rPr>
          <w:rFonts w:asciiTheme="majorHAnsi" w:hAnsiTheme="majorHAnsi"/>
        </w:rPr>
      </w:pPr>
      <w:r>
        <w:rPr>
          <w:rFonts w:asciiTheme="majorHAnsi" w:hAnsiTheme="majorHAnsi"/>
        </w:rPr>
        <w:t xml:space="preserve">Big data computing also </w:t>
      </w:r>
      <w:r w:rsidR="009433C9">
        <w:rPr>
          <w:rFonts w:asciiTheme="majorHAnsi" w:hAnsiTheme="majorHAnsi"/>
        </w:rPr>
        <w:t>poses</w:t>
      </w:r>
      <w:r w:rsidR="00932264">
        <w:rPr>
          <w:rFonts w:asciiTheme="majorHAnsi" w:hAnsiTheme="majorHAnsi"/>
        </w:rPr>
        <w:t xml:space="preserve"> challenges to privacy and security</w:t>
      </w:r>
      <w:r w:rsidR="00C332D9">
        <w:rPr>
          <w:rFonts w:asciiTheme="majorHAnsi" w:hAnsiTheme="majorHAnsi"/>
        </w:rPr>
        <w:t xml:space="preserve">.  </w:t>
      </w:r>
      <w:r w:rsidR="009433C9">
        <w:rPr>
          <w:rFonts w:asciiTheme="majorHAnsi" w:hAnsiTheme="majorHAnsi"/>
        </w:rPr>
        <w:t>Rapid</w:t>
      </w:r>
      <w:r w:rsidR="00B14CAC">
        <w:rPr>
          <w:rFonts w:asciiTheme="majorHAnsi" w:hAnsiTheme="majorHAnsi"/>
        </w:rPr>
        <w:t xml:space="preserve"> </w:t>
      </w:r>
      <w:r w:rsidR="009433C9">
        <w:rPr>
          <w:rFonts w:asciiTheme="majorHAnsi" w:hAnsiTheme="majorHAnsi"/>
        </w:rPr>
        <w:t>growth in the</w:t>
      </w:r>
      <w:r w:rsidR="00B14CAC">
        <w:rPr>
          <w:rFonts w:asciiTheme="majorHAnsi" w:hAnsiTheme="majorHAnsi"/>
        </w:rPr>
        <w:t xml:space="preserve"> volume of </w:t>
      </w:r>
      <w:r w:rsidR="00DE65D0">
        <w:rPr>
          <w:rFonts w:asciiTheme="majorHAnsi" w:hAnsiTheme="majorHAnsi"/>
        </w:rPr>
        <w:t xml:space="preserve">health-related </w:t>
      </w:r>
      <w:r w:rsidR="00B14CAC">
        <w:rPr>
          <w:rFonts w:asciiTheme="majorHAnsi" w:hAnsiTheme="majorHAnsi"/>
        </w:rPr>
        <w:t>information increases the risk of privacy violations,</w:t>
      </w:r>
      <w:r w:rsidR="00461B86">
        <w:rPr>
          <w:rStyle w:val="FootnoteReference"/>
          <w:rFonts w:asciiTheme="majorHAnsi" w:hAnsiTheme="majorHAnsi"/>
        </w:rPr>
        <w:footnoteReference w:id="8"/>
      </w:r>
      <w:r w:rsidR="00B14CAC">
        <w:rPr>
          <w:rFonts w:asciiTheme="majorHAnsi" w:hAnsiTheme="majorHAnsi"/>
        </w:rPr>
        <w:t xml:space="preserve"> particularly when data sets are c</w:t>
      </w:r>
      <w:r w:rsidR="009433C9">
        <w:rPr>
          <w:rFonts w:asciiTheme="majorHAnsi" w:hAnsiTheme="majorHAnsi"/>
        </w:rPr>
        <w:t>ombined</w:t>
      </w:r>
      <w:r w:rsidR="00280B02">
        <w:rPr>
          <w:rFonts w:asciiTheme="majorHAnsi" w:hAnsiTheme="majorHAnsi"/>
        </w:rPr>
        <w:t>.</w:t>
      </w:r>
      <w:r w:rsidR="008F46F6">
        <w:rPr>
          <w:rStyle w:val="FootnoteReference"/>
          <w:rFonts w:asciiTheme="majorHAnsi" w:hAnsiTheme="majorHAnsi"/>
        </w:rPr>
        <w:footnoteReference w:id="9"/>
      </w:r>
      <w:r w:rsidR="00280B02">
        <w:rPr>
          <w:rFonts w:asciiTheme="majorHAnsi" w:hAnsiTheme="majorHAnsi"/>
        </w:rPr>
        <w:t xml:space="preserve"> </w:t>
      </w:r>
      <w:r w:rsidR="005F2AF0">
        <w:rPr>
          <w:rFonts w:asciiTheme="majorHAnsi" w:hAnsiTheme="majorHAnsi"/>
        </w:rPr>
        <w:t xml:space="preserve"> </w:t>
      </w:r>
      <w:r w:rsidR="00D341F8">
        <w:rPr>
          <w:rFonts w:asciiTheme="majorHAnsi" w:hAnsiTheme="majorHAnsi"/>
        </w:rPr>
        <w:t>Data anonymization</w:t>
      </w:r>
      <w:r w:rsidR="00280B02">
        <w:rPr>
          <w:rFonts w:asciiTheme="majorHAnsi" w:hAnsiTheme="majorHAnsi"/>
        </w:rPr>
        <w:t xml:space="preserve"> tools such as de-identification are </w:t>
      </w:r>
      <w:r w:rsidR="00D341F8">
        <w:rPr>
          <w:rFonts w:asciiTheme="majorHAnsi" w:hAnsiTheme="majorHAnsi"/>
        </w:rPr>
        <w:t>useful, but cannot eliminate risks to re-</w:t>
      </w:r>
      <w:r w:rsidR="000C3E79">
        <w:rPr>
          <w:rFonts w:asciiTheme="majorHAnsi" w:hAnsiTheme="majorHAnsi"/>
        </w:rPr>
        <w:t>identification</w:t>
      </w:r>
      <w:r w:rsidR="00D341F8">
        <w:rPr>
          <w:rFonts w:asciiTheme="majorHAnsi" w:hAnsiTheme="majorHAnsi"/>
        </w:rPr>
        <w:t>.</w:t>
      </w:r>
      <w:r w:rsidR="00BE5DC3">
        <w:rPr>
          <w:rStyle w:val="FootnoteReference"/>
          <w:rFonts w:asciiTheme="majorHAnsi" w:hAnsiTheme="majorHAnsi"/>
        </w:rPr>
        <w:footnoteReference w:id="10"/>
      </w:r>
      <w:r w:rsidR="00BE5DC3">
        <w:rPr>
          <w:rFonts w:asciiTheme="majorHAnsi" w:hAnsiTheme="majorHAnsi"/>
        </w:rPr>
        <w:t xml:space="preserve"> </w:t>
      </w:r>
      <w:r w:rsidR="005F2AF0">
        <w:rPr>
          <w:rFonts w:asciiTheme="majorHAnsi" w:hAnsiTheme="majorHAnsi"/>
        </w:rPr>
        <w:t xml:space="preserve"> </w:t>
      </w:r>
      <w:r w:rsidR="00D341F8">
        <w:rPr>
          <w:rFonts w:asciiTheme="majorHAnsi" w:hAnsiTheme="majorHAnsi"/>
        </w:rPr>
        <w:t xml:space="preserve">Additionally, the complex legal landscape around health privacy </w:t>
      </w:r>
      <w:r w:rsidR="00C362FA">
        <w:rPr>
          <w:rFonts w:asciiTheme="majorHAnsi" w:hAnsiTheme="majorHAnsi"/>
        </w:rPr>
        <w:t xml:space="preserve">creates </w:t>
      </w:r>
      <w:r w:rsidR="000C3E79">
        <w:rPr>
          <w:rFonts w:asciiTheme="majorHAnsi" w:hAnsiTheme="majorHAnsi"/>
        </w:rPr>
        <w:t xml:space="preserve">obstacles </w:t>
      </w:r>
      <w:r w:rsidR="00C362FA">
        <w:rPr>
          <w:rFonts w:asciiTheme="majorHAnsi" w:hAnsiTheme="majorHAnsi"/>
        </w:rPr>
        <w:t>for</w:t>
      </w:r>
      <w:r w:rsidR="000C3E79">
        <w:rPr>
          <w:rFonts w:asciiTheme="majorHAnsi" w:hAnsiTheme="majorHAnsi"/>
        </w:rPr>
        <w:t xml:space="preserve"> </w:t>
      </w:r>
      <w:r w:rsidR="00B60DF9">
        <w:rPr>
          <w:rFonts w:asciiTheme="majorHAnsi" w:hAnsiTheme="majorHAnsi"/>
        </w:rPr>
        <w:t xml:space="preserve">individuals </w:t>
      </w:r>
      <w:r w:rsidR="00C362FA">
        <w:rPr>
          <w:rFonts w:asciiTheme="majorHAnsi" w:hAnsiTheme="majorHAnsi"/>
        </w:rPr>
        <w:t>trying to</w:t>
      </w:r>
      <w:r w:rsidR="000C3E79">
        <w:rPr>
          <w:rFonts w:asciiTheme="majorHAnsi" w:hAnsiTheme="majorHAnsi"/>
        </w:rPr>
        <w:t xml:space="preserve"> </w:t>
      </w:r>
      <w:r w:rsidR="00D341F8">
        <w:rPr>
          <w:rFonts w:asciiTheme="majorHAnsi" w:hAnsiTheme="majorHAnsi"/>
        </w:rPr>
        <w:t xml:space="preserve">access </w:t>
      </w:r>
      <w:r w:rsidR="00C362FA">
        <w:rPr>
          <w:rFonts w:asciiTheme="majorHAnsi" w:hAnsiTheme="majorHAnsi"/>
        </w:rPr>
        <w:t>their</w:t>
      </w:r>
      <w:r w:rsidR="00D341F8">
        <w:rPr>
          <w:rFonts w:asciiTheme="majorHAnsi" w:hAnsiTheme="majorHAnsi"/>
        </w:rPr>
        <w:t xml:space="preserve"> </w:t>
      </w:r>
      <w:r w:rsidR="004779F8">
        <w:rPr>
          <w:rFonts w:asciiTheme="majorHAnsi" w:hAnsiTheme="majorHAnsi"/>
        </w:rPr>
        <w:t xml:space="preserve">personal information </w:t>
      </w:r>
      <w:r w:rsidR="000C3E79">
        <w:rPr>
          <w:rFonts w:asciiTheme="majorHAnsi" w:hAnsiTheme="majorHAnsi"/>
        </w:rPr>
        <w:t>and hurdles for researchers attempting to grow the LHS</w:t>
      </w:r>
      <w:r w:rsidR="00C332D9">
        <w:rPr>
          <w:rFonts w:asciiTheme="majorHAnsi" w:hAnsiTheme="majorHAnsi"/>
        </w:rPr>
        <w:t xml:space="preserve">.  </w:t>
      </w:r>
      <w:r w:rsidR="00633FC0" w:rsidRPr="0016351D">
        <w:rPr>
          <w:rFonts w:asciiTheme="majorHAnsi" w:hAnsiTheme="majorHAnsi"/>
        </w:rPr>
        <w:t>M</w:t>
      </w:r>
      <w:r w:rsidR="0047246E">
        <w:rPr>
          <w:rFonts w:asciiTheme="majorHAnsi" w:hAnsiTheme="majorHAnsi"/>
        </w:rPr>
        <w:t>uch</w:t>
      </w:r>
      <w:r w:rsidR="00633FC0" w:rsidRPr="0016351D">
        <w:rPr>
          <w:rFonts w:asciiTheme="majorHAnsi" w:hAnsiTheme="majorHAnsi"/>
        </w:rPr>
        <w:t xml:space="preserve"> health-related </w:t>
      </w:r>
      <w:r w:rsidR="004779F8">
        <w:rPr>
          <w:rFonts w:asciiTheme="majorHAnsi" w:hAnsiTheme="majorHAnsi"/>
        </w:rPr>
        <w:t>information</w:t>
      </w:r>
      <w:r w:rsidR="004779F8" w:rsidRPr="0016351D">
        <w:rPr>
          <w:rFonts w:asciiTheme="majorHAnsi" w:hAnsiTheme="majorHAnsi"/>
        </w:rPr>
        <w:t xml:space="preserve"> </w:t>
      </w:r>
      <w:r w:rsidR="00633FC0" w:rsidRPr="0016351D">
        <w:rPr>
          <w:rFonts w:asciiTheme="majorHAnsi" w:hAnsiTheme="majorHAnsi"/>
        </w:rPr>
        <w:t>generated today is not regulated by the Health Insurance Portability and Accountability Act (HIPAA), which provides baseline privacy and security rules for covered entities (</w:t>
      </w:r>
      <w:r w:rsidR="00B60DF9">
        <w:rPr>
          <w:rFonts w:asciiTheme="majorHAnsi" w:hAnsiTheme="majorHAnsi"/>
        </w:rPr>
        <w:t xml:space="preserve">most </w:t>
      </w:r>
      <w:r w:rsidR="00633FC0" w:rsidRPr="0016351D">
        <w:rPr>
          <w:rFonts w:asciiTheme="majorHAnsi" w:hAnsiTheme="majorHAnsi"/>
        </w:rPr>
        <w:t>health care providers, payers, and health care clearinghouses) and their business associates.</w:t>
      </w:r>
      <w:r w:rsidR="00633FC0" w:rsidRPr="0016351D">
        <w:rPr>
          <w:rStyle w:val="FootnoteReference"/>
          <w:rFonts w:asciiTheme="majorHAnsi" w:hAnsiTheme="majorHAnsi"/>
        </w:rPr>
        <w:footnoteReference w:id="11"/>
      </w:r>
      <w:r w:rsidR="00633FC0" w:rsidRPr="0016351D">
        <w:rPr>
          <w:rFonts w:asciiTheme="majorHAnsi" w:hAnsiTheme="majorHAnsi"/>
        </w:rPr>
        <w:t xml:space="preserve"> </w:t>
      </w:r>
      <w:r w:rsidR="00C332D9">
        <w:rPr>
          <w:rFonts w:asciiTheme="majorHAnsi" w:hAnsiTheme="majorHAnsi"/>
        </w:rPr>
        <w:t xml:space="preserve"> </w:t>
      </w:r>
      <w:r w:rsidR="00633FC0" w:rsidRPr="0016351D">
        <w:rPr>
          <w:rFonts w:asciiTheme="majorHAnsi" w:hAnsiTheme="majorHAnsi"/>
        </w:rPr>
        <w:t xml:space="preserve">On the other hand, </w:t>
      </w:r>
      <w:r w:rsidR="00B60DF9">
        <w:rPr>
          <w:rFonts w:asciiTheme="majorHAnsi" w:hAnsiTheme="majorHAnsi"/>
        </w:rPr>
        <w:t xml:space="preserve">federal </w:t>
      </w:r>
      <w:r w:rsidR="00633FC0">
        <w:rPr>
          <w:rFonts w:asciiTheme="majorHAnsi" w:hAnsiTheme="majorHAnsi"/>
        </w:rPr>
        <w:t xml:space="preserve">regulations applicable to research, although </w:t>
      </w:r>
      <w:r w:rsidR="009538C4">
        <w:rPr>
          <w:rFonts w:asciiTheme="majorHAnsi" w:hAnsiTheme="majorHAnsi"/>
        </w:rPr>
        <w:t>well intended</w:t>
      </w:r>
      <w:r w:rsidR="00633FC0">
        <w:rPr>
          <w:rFonts w:asciiTheme="majorHAnsi" w:hAnsiTheme="majorHAnsi"/>
        </w:rPr>
        <w:t>, have pos</w:t>
      </w:r>
      <w:r w:rsidR="009538C4">
        <w:rPr>
          <w:rFonts w:asciiTheme="majorHAnsi" w:hAnsiTheme="majorHAnsi"/>
        </w:rPr>
        <w:t>ed challenges for researchers.</w:t>
      </w:r>
      <w:r w:rsidR="003344FC" w:rsidRPr="0016351D">
        <w:rPr>
          <w:rStyle w:val="FootnoteReference"/>
          <w:rFonts w:asciiTheme="majorHAnsi" w:hAnsiTheme="majorHAnsi"/>
        </w:rPr>
        <w:footnoteReference w:id="12"/>
      </w:r>
    </w:p>
    <w:p w14:paraId="558C6E86" w14:textId="206572C1" w:rsidR="002F4D82" w:rsidRDefault="002F4D82" w:rsidP="00260015">
      <w:pPr>
        <w:pStyle w:val="Heading2"/>
      </w:pPr>
      <w:bookmarkStart w:id="3" w:name="_Toc425145056"/>
      <w:r>
        <w:t>Recommendations Summary</w:t>
      </w:r>
      <w:bookmarkEnd w:id="3"/>
      <w:r>
        <w:t xml:space="preserve"> </w:t>
      </w:r>
    </w:p>
    <w:p w14:paraId="4ED4A4DE" w14:textId="39E3571A" w:rsidR="00B844DF" w:rsidRPr="00260015" w:rsidRDefault="004E2611">
      <w:pPr>
        <w:rPr>
          <w:rFonts w:asciiTheme="majorHAnsi" w:hAnsiTheme="majorHAnsi"/>
        </w:rPr>
      </w:pPr>
      <w:r>
        <w:rPr>
          <w:rFonts w:asciiTheme="majorHAnsi" w:hAnsiTheme="majorHAnsi"/>
        </w:rPr>
        <w:t>A</w:t>
      </w:r>
      <w:r w:rsidR="00F44587" w:rsidRPr="00260015">
        <w:rPr>
          <w:rFonts w:asciiTheme="majorHAnsi" w:hAnsiTheme="majorHAnsi"/>
        </w:rPr>
        <w:t xml:space="preserve"> high-level summary of the PSWG’s </w:t>
      </w:r>
      <w:r w:rsidR="003153FC">
        <w:rPr>
          <w:rFonts w:asciiTheme="majorHAnsi" w:hAnsiTheme="majorHAnsi"/>
        </w:rPr>
        <w:t xml:space="preserve">health big data </w:t>
      </w:r>
      <w:r w:rsidR="00F44587" w:rsidRPr="00260015">
        <w:rPr>
          <w:rFonts w:asciiTheme="majorHAnsi" w:hAnsiTheme="majorHAnsi"/>
        </w:rPr>
        <w:t xml:space="preserve">recommendations </w:t>
      </w:r>
      <w:r>
        <w:rPr>
          <w:rFonts w:asciiTheme="majorHAnsi" w:hAnsiTheme="majorHAnsi"/>
        </w:rPr>
        <w:t>follows:</w:t>
      </w:r>
      <w:r w:rsidR="005F2AF0">
        <w:rPr>
          <w:rFonts w:asciiTheme="majorHAnsi" w:hAnsiTheme="majorHAnsi"/>
        </w:rPr>
        <w:t xml:space="preserve">  </w:t>
      </w:r>
      <w:r w:rsidR="00F44587" w:rsidRPr="00260015">
        <w:rPr>
          <w:rFonts w:asciiTheme="majorHAnsi" w:hAnsiTheme="majorHAnsi"/>
        </w:rPr>
        <w:t xml:space="preserve"> </w:t>
      </w:r>
    </w:p>
    <w:p w14:paraId="2317F3D4" w14:textId="77777777" w:rsidR="002F4D82" w:rsidRPr="00260015" w:rsidRDefault="002F4D82" w:rsidP="002F4D82">
      <w:pPr>
        <w:rPr>
          <w:rFonts w:asciiTheme="majorHAnsi" w:hAnsiTheme="majorHAnsi"/>
        </w:rPr>
      </w:pPr>
    </w:p>
    <w:p w14:paraId="67174773" w14:textId="2B80D1AB" w:rsidR="005E257D" w:rsidRPr="00260015" w:rsidRDefault="005E257D" w:rsidP="00260015">
      <w:pPr>
        <w:rPr>
          <w:rFonts w:asciiTheme="majorHAnsi" w:hAnsiTheme="majorHAnsi"/>
          <w:b/>
        </w:rPr>
      </w:pPr>
      <w:r w:rsidRPr="00260015">
        <w:rPr>
          <w:rFonts w:asciiTheme="majorHAnsi" w:hAnsiTheme="majorHAnsi"/>
          <w:b/>
        </w:rPr>
        <w:t>6.1 Address Harm, Including Discrimination Concerns</w:t>
      </w:r>
    </w:p>
    <w:p w14:paraId="7C15D1AC" w14:textId="388CF2E1" w:rsidR="006D2ECF" w:rsidRPr="002F4D82" w:rsidRDefault="006D2ECF" w:rsidP="00B844DF">
      <w:pPr>
        <w:pStyle w:val="ListParagraph"/>
        <w:numPr>
          <w:ilvl w:val="0"/>
          <w:numId w:val="49"/>
        </w:numPr>
        <w:rPr>
          <w:rFonts w:asciiTheme="majorHAnsi" w:hAnsiTheme="majorHAnsi"/>
        </w:rPr>
      </w:pPr>
      <w:r w:rsidRPr="002F4D82">
        <w:rPr>
          <w:rFonts w:asciiTheme="majorHAnsi" w:hAnsiTheme="majorHAnsi"/>
        </w:rPr>
        <w:t>E</w:t>
      </w:r>
      <w:r w:rsidR="00F44587" w:rsidRPr="002F4D82">
        <w:rPr>
          <w:rFonts w:asciiTheme="majorHAnsi" w:hAnsiTheme="majorHAnsi"/>
        </w:rPr>
        <w:t xml:space="preserve">ncourage ONC and other federal stakeholders to promote more public inquiry to understand the </w:t>
      </w:r>
      <w:r w:rsidR="00705392">
        <w:rPr>
          <w:rFonts w:asciiTheme="majorHAnsi" w:hAnsiTheme="majorHAnsi"/>
        </w:rPr>
        <w:t>full</w:t>
      </w:r>
      <w:r w:rsidR="003153FC">
        <w:rPr>
          <w:rFonts w:asciiTheme="majorHAnsi" w:hAnsiTheme="majorHAnsi"/>
        </w:rPr>
        <w:t xml:space="preserve"> </w:t>
      </w:r>
      <w:r w:rsidR="00F44587" w:rsidRPr="002F4D82">
        <w:rPr>
          <w:rFonts w:asciiTheme="majorHAnsi" w:hAnsiTheme="majorHAnsi"/>
        </w:rPr>
        <w:t>scope of the problem – both harm to individuals and communities</w:t>
      </w:r>
      <w:r w:rsidRPr="002F4D82">
        <w:rPr>
          <w:rFonts w:asciiTheme="majorHAnsi" w:hAnsiTheme="majorHAnsi"/>
        </w:rPr>
        <w:t>.</w:t>
      </w:r>
    </w:p>
    <w:p w14:paraId="5EACE9A0" w14:textId="29B964DE" w:rsidR="00B844DF" w:rsidRPr="002F4D82" w:rsidRDefault="003153FC" w:rsidP="00B844DF">
      <w:pPr>
        <w:pStyle w:val="ListParagraph"/>
        <w:numPr>
          <w:ilvl w:val="0"/>
          <w:numId w:val="49"/>
        </w:numPr>
        <w:rPr>
          <w:rFonts w:asciiTheme="majorHAnsi" w:hAnsiTheme="majorHAnsi"/>
        </w:rPr>
      </w:pPr>
      <w:r w:rsidRPr="003153FC">
        <w:rPr>
          <w:rFonts w:asciiTheme="majorHAnsi" w:hAnsiTheme="majorHAnsi"/>
        </w:rPr>
        <w:t>P</w:t>
      </w:r>
      <w:r w:rsidR="006D2ECF" w:rsidRPr="003153FC">
        <w:rPr>
          <w:rFonts w:asciiTheme="majorHAnsi" w:hAnsiTheme="majorHAnsi"/>
        </w:rPr>
        <w:t>olicy</w:t>
      </w:r>
      <w:r w:rsidR="006D2ECF" w:rsidRPr="002F4D82">
        <w:rPr>
          <w:rFonts w:asciiTheme="majorHAnsi" w:hAnsiTheme="majorHAnsi"/>
        </w:rPr>
        <w:t xml:space="preserve">makers </w:t>
      </w:r>
      <w:r w:rsidR="004E2611" w:rsidRPr="005F2AF0">
        <w:rPr>
          <w:rFonts w:asciiTheme="majorHAnsi" w:hAnsiTheme="majorHAnsi"/>
          <w:highlight w:val="yellow"/>
        </w:rPr>
        <w:t>should</w:t>
      </w:r>
      <w:r w:rsidR="004E2611">
        <w:rPr>
          <w:rFonts w:asciiTheme="majorHAnsi" w:hAnsiTheme="majorHAnsi"/>
        </w:rPr>
        <w:t xml:space="preserve"> </w:t>
      </w:r>
      <w:r w:rsidR="00B844DF" w:rsidRPr="002F4D82">
        <w:rPr>
          <w:rFonts w:asciiTheme="majorHAnsi" w:hAnsiTheme="majorHAnsi"/>
        </w:rPr>
        <w:t>continue focus</w:t>
      </w:r>
      <w:r w:rsidR="00F666DD">
        <w:rPr>
          <w:rFonts w:asciiTheme="majorHAnsi" w:hAnsiTheme="majorHAnsi"/>
        </w:rPr>
        <w:t>ing</w:t>
      </w:r>
      <w:r w:rsidR="00B844DF" w:rsidRPr="002F4D82">
        <w:rPr>
          <w:rFonts w:asciiTheme="majorHAnsi" w:hAnsiTheme="majorHAnsi"/>
        </w:rPr>
        <w:t xml:space="preserve"> on identifying gaps in legal protections against what are likely to be an evolving set of harms from big data analytics.</w:t>
      </w:r>
    </w:p>
    <w:p w14:paraId="2A8B881A" w14:textId="2C425225" w:rsidR="00B844DF" w:rsidRPr="002F4D82" w:rsidRDefault="00F666DD" w:rsidP="00B844DF">
      <w:pPr>
        <w:pStyle w:val="ListParagraph"/>
        <w:numPr>
          <w:ilvl w:val="0"/>
          <w:numId w:val="49"/>
        </w:numPr>
        <w:rPr>
          <w:rFonts w:asciiTheme="majorHAnsi" w:hAnsiTheme="majorHAnsi"/>
        </w:rPr>
      </w:pPr>
      <w:r>
        <w:rPr>
          <w:rFonts w:asciiTheme="majorHAnsi" w:hAnsiTheme="majorHAnsi"/>
        </w:rPr>
        <w:t>Po</w:t>
      </w:r>
      <w:r w:rsidR="00B844DF" w:rsidRPr="00260015">
        <w:rPr>
          <w:rFonts w:asciiTheme="majorHAnsi" w:hAnsiTheme="majorHAnsi"/>
        </w:rPr>
        <w:t xml:space="preserve">licymakers </w:t>
      </w:r>
      <w:r w:rsidR="00B844DF" w:rsidRPr="00260015">
        <w:rPr>
          <w:rFonts w:asciiTheme="majorHAnsi" w:hAnsiTheme="majorHAnsi"/>
          <w:highlight w:val="yellow"/>
        </w:rPr>
        <w:t xml:space="preserve">should </w:t>
      </w:r>
      <w:r w:rsidR="00B844DF" w:rsidRPr="00260015">
        <w:rPr>
          <w:rFonts w:asciiTheme="majorHAnsi" w:hAnsiTheme="majorHAnsi"/>
        </w:rPr>
        <w:t>adop</w:t>
      </w:r>
      <w:r w:rsidR="00C332D9">
        <w:rPr>
          <w:rFonts w:asciiTheme="majorHAnsi" w:hAnsiTheme="majorHAnsi"/>
        </w:rPr>
        <w:t>t</w:t>
      </w:r>
      <w:r w:rsidR="00B844DF" w:rsidRPr="00260015">
        <w:rPr>
          <w:rFonts w:asciiTheme="majorHAnsi" w:hAnsiTheme="majorHAnsi"/>
        </w:rPr>
        <w:t xml:space="preserve"> measures that could increase transparency about actual health </w:t>
      </w:r>
      <w:r w:rsidR="004779F8">
        <w:rPr>
          <w:rFonts w:asciiTheme="majorHAnsi" w:hAnsiTheme="majorHAnsi"/>
        </w:rPr>
        <w:t>information</w:t>
      </w:r>
      <w:r w:rsidR="00B844DF" w:rsidRPr="00260015">
        <w:rPr>
          <w:rFonts w:asciiTheme="majorHAnsi" w:hAnsiTheme="majorHAnsi"/>
        </w:rPr>
        <w:t xml:space="preserve"> uses</w:t>
      </w:r>
      <w:r w:rsidR="005F2AF0">
        <w:rPr>
          <w:rFonts w:asciiTheme="majorHAnsi" w:hAnsiTheme="majorHAnsi"/>
        </w:rPr>
        <w:t xml:space="preserve">.  </w:t>
      </w:r>
      <w:r w:rsidR="00B844DF" w:rsidRPr="002F4D82">
        <w:rPr>
          <w:rFonts w:asciiTheme="majorHAnsi" w:hAnsiTheme="majorHAnsi"/>
        </w:rPr>
        <w:t xml:space="preserve"> </w:t>
      </w:r>
    </w:p>
    <w:p w14:paraId="1A6B44C7" w14:textId="6577F3D1" w:rsidR="006D2ECF" w:rsidRPr="005F2AF0" w:rsidRDefault="006D2ECF" w:rsidP="00B844DF">
      <w:pPr>
        <w:pStyle w:val="ListParagraph"/>
        <w:numPr>
          <w:ilvl w:val="0"/>
          <w:numId w:val="49"/>
        </w:numPr>
        <w:rPr>
          <w:rFonts w:asciiTheme="majorHAnsi" w:hAnsiTheme="majorHAnsi"/>
        </w:rPr>
      </w:pPr>
      <w:r w:rsidRPr="002F4D82">
        <w:rPr>
          <w:rFonts w:asciiTheme="majorHAnsi" w:hAnsiTheme="majorHAnsi"/>
        </w:rPr>
        <w:lastRenderedPageBreak/>
        <w:t xml:space="preserve">Leverage most recent </w:t>
      </w:r>
      <w:r w:rsidR="00217AFE">
        <w:rPr>
          <w:rFonts w:asciiTheme="majorHAnsi" w:hAnsiTheme="majorHAnsi"/>
        </w:rPr>
        <w:t xml:space="preserve">PSWG </w:t>
      </w:r>
      <w:r w:rsidRPr="002F4D82">
        <w:rPr>
          <w:rFonts w:asciiTheme="majorHAnsi" w:hAnsiTheme="majorHAnsi"/>
        </w:rPr>
        <w:t>recommendations on bette</w:t>
      </w:r>
      <w:r w:rsidR="00705392">
        <w:rPr>
          <w:rFonts w:asciiTheme="majorHAnsi" w:hAnsiTheme="majorHAnsi"/>
        </w:rPr>
        <w:t xml:space="preserve">r educating consumers about </w:t>
      </w:r>
      <w:r w:rsidRPr="002F4D82">
        <w:rPr>
          <w:rFonts w:asciiTheme="majorHAnsi" w:hAnsiTheme="majorHAnsi"/>
        </w:rPr>
        <w:t xml:space="preserve">privacy and security laws and uses of </w:t>
      </w:r>
      <w:r w:rsidR="0021497C">
        <w:rPr>
          <w:rFonts w:asciiTheme="majorHAnsi" w:hAnsiTheme="majorHAnsi"/>
        </w:rPr>
        <w:t>personal</w:t>
      </w:r>
      <w:r w:rsidR="004779F8">
        <w:rPr>
          <w:rFonts w:asciiTheme="majorHAnsi" w:hAnsiTheme="majorHAnsi"/>
        </w:rPr>
        <w:t xml:space="preserve"> information</w:t>
      </w:r>
      <w:r w:rsidRPr="002F4D82">
        <w:rPr>
          <w:rFonts w:asciiTheme="majorHAnsi" w:hAnsiTheme="majorHAnsi"/>
        </w:rPr>
        <w:t xml:space="preserve"> both within and outside of the HIPAA environment</w:t>
      </w:r>
      <w:r w:rsidR="00C824BC">
        <w:rPr>
          <w:rFonts w:asciiTheme="majorHAnsi" w:hAnsiTheme="majorHAnsi"/>
        </w:rPr>
        <w:t>.</w:t>
      </w:r>
    </w:p>
    <w:p w14:paraId="45F11347" w14:textId="687A645E" w:rsidR="00B844DF" w:rsidRPr="002F4D82" w:rsidRDefault="00217AFE" w:rsidP="00B844DF">
      <w:pPr>
        <w:pStyle w:val="ListParagraph"/>
        <w:numPr>
          <w:ilvl w:val="0"/>
          <w:numId w:val="49"/>
        </w:numPr>
        <w:rPr>
          <w:rFonts w:asciiTheme="majorHAnsi" w:hAnsiTheme="majorHAnsi"/>
          <w:u w:val="single"/>
        </w:rPr>
      </w:pPr>
      <w:r>
        <w:rPr>
          <w:rFonts w:asciiTheme="majorHAnsi" w:hAnsiTheme="majorHAnsi"/>
        </w:rPr>
        <w:t>P</w:t>
      </w:r>
      <w:r w:rsidR="00B844DF" w:rsidRPr="005F2AF0">
        <w:rPr>
          <w:rFonts w:asciiTheme="majorHAnsi" w:hAnsiTheme="majorHAnsi"/>
        </w:rPr>
        <w:t xml:space="preserve">olicymakers </w:t>
      </w:r>
      <w:r w:rsidR="00705392" w:rsidRPr="00705392">
        <w:rPr>
          <w:rFonts w:asciiTheme="majorHAnsi" w:hAnsiTheme="majorHAnsi"/>
          <w:highlight w:val="yellow"/>
        </w:rPr>
        <w:t>should</w:t>
      </w:r>
      <w:r w:rsidR="00705392">
        <w:rPr>
          <w:rFonts w:asciiTheme="majorHAnsi" w:hAnsiTheme="majorHAnsi"/>
        </w:rPr>
        <w:t xml:space="preserve"> </w:t>
      </w:r>
      <w:r w:rsidR="00B844DF" w:rsidRPr="005F2AF0">
        <w:rPr>
          <w:rFonts w:asciiTheme="majorHAnsi" w:hAnsiTheme="majorHAnsi"/>
        </w:rPr>
        <w:t>explore how to increase transparency around use of</w:t>
      </w:r>
      <w:r w:rsidR="0047246E">
        <w:rPr>
          <w:rFonts w:asciiTheme="majorHAnsi" w:hAnsiTheme="majorHAnsi"/>
        </w:rPr>
        <w:t xml:space="preserve"> the</w:t>
      </w:r>
      <w:r w:rsidR="00B844DF" w:rsidRPr="005F2AF0">
        <w:rPr>
          <w:rFonts w:asciiTheme="majorHAnsi" w:hAnsiTheme="majorHAnsi"/>
        </w:rPr>
        <w:t xml:space="preserve"> algorithms</w:t>
      </w:r>
      <w:r w:rsidR="0047246E">
        <w:rPr>
          <w:rFonts w:asciiTheme="majorHAnsi" w:hAnsiTheme="majorHAnsi"/>
        </w:rPr>
        <w:t xml:space="preserve"> used in big health analytics</w:t>
      </w:r>
      <w:r w:rsidR="00B844DF" w:rsidRPr="005F2AF0">
        <w:rPr>
          <w:rFonts w:asciiTheme="majorHAnsi" w:hAnsiTheme="majorHAnsi"/>
        </w:rPr>
        <w:t xml:space="preserve">, perhaps with an approach similar to that used in the </w:t>
      </w:r>
      <w:r w:rsidR="00D54E45">
        <w:rPr>
          <w:rFonts w:asciiTheme="majorHAnsi" w:hAnsiTheme="majorHAnsi"/>
        </w:rPr>
        <w:t xml:space="preserve">Fair Credit Reporting Act (FCRA).  </w:t>
      </w:r>
      <w:r w:rsidR="005F2AF0">
        <w:rPr>
          <w:rFonts w:asciiTheme="majorHAnsi" w:hAnsiTheme="majorHAnsi"/>
        </w:rPr>
        <w:t xml:space="preserve">  </w:t>
      </w:r>
      <w:r w:rsidR="00B844DF" w:rsidRPr="002F4D82">
        <w:rPr>
          <w:rFonts w:asciiTheme="majorHAnsi" w:hAnsiTheme="majorHAnsi"/>
          <w:u w:val="single"/>
        </w:rPr>
        <w:t xml:space="preserve"> </w:t>
      </w:r>
    </w:p>
    <w:p w14:paraId="286C52B0" w14:textId="77777777" w:rsidR="00B844DF" w:rsidRPr="005F2AF0" w:rsidRDefault="00B844DF" w:rsidP="005F2AF0">
      <w:pPr>
        <w:pStyle w:val="ListParagraph"/>
        <w:rPr>
          <w:rFonts w:asciiTheme="majorHAnsi" w:hAnsiTheme="majorHAnsi"/>
          <w:u w:val="single"/>
        </w:rPr>
      </w:pPr>
    </w:p>
    <w:p w14:paraId="134CDF4F" w14:textId="09C75233" w:rsidR="005E257D" w:rsidRPr="005F2AF0" w:rsidRDefault="005E257D" w:rsidP="005F2AF0">
      <w:pPr>
        <w:rPr>
          <w:rFonts w:asciiTheme="majorHAnsi" w:hAnsiTheme="majorHAnsi"/>
          <w:b/>
        </w:rPr>
      </w:pPr>
      <w:r w:rsidRPr="005F2AF0">
        <w:rPr>
          <w:rFonts w:asciiTheme="majorHAnsi" w:hAnsiTheme="majorHAnsi"/>
          <w:b/>
        </w:rPr>
        <w:t>6.2 Address Uneven Policy Environment</w:t>
      </w:r>
    </w:p>
    <w:p w14:paraId="5193F0F4" w14:textId="4D360130" w:rsidR="00792349" w:rsidRPr="002F4D82" w:rsidRDefault="006D2ECF" w:rsidP="005F2AF0">
      <w:pPr>
        <w:pStyle w:val="ListParagraph"/>
        <w:numPr>
          <w:ilvl w:val="0"/>
          <w:numId w:val="50"/>
        </w:numPr>
        <w:rPr>
          <w:rFonts w:asciiTheme="majorHAnsi" w:hAnsiTheme="majorHAnsi"/>
        </w:rPr>
      </w:pPr>
      <w:r w:rsidRPr="002F4D82">
        <w:rPr>
          <w:rFonts w:asciiTheme="majorHAnsi" w:hAnsiTheme="majorHAnsi"/>
        </w:rPr>
        <w:t xml:space="preserve">Promote </w:t>
      </w:r>
      <w:r w:rsidR="00E6670A">
        <w:rPr>
          <w:rFonts w:asciiTheme="majorHAnsi" w:hAnsiTheme="majorHAnsi"/>
        </w:rPr>
        <w:t>Fair Information Practice Principles (</w:t>
      </w:r>
      <w:r w:rsidR="00B844DF" w:rsidRPr="005F2AF0">
        <w:rPr>
          <w:rFonts w:asciiTheme="majorHAnsi" w:hAnsiTheme="majorHAnsi"/>
        </w:rPr>
        <w:t>FIPPs</w:t>
      </w:r>
      <w:r w:rsidR="00E6670A">
        <w:rPr>
          <w:rFonts w:asciiTheme="majorHAnsi" w:hAnsiTheme="majorHAnsi"/>
        </w:rPr>
        <w:t>)</w:t>
      </w:r>
      <w:r w:rsidR="00B844DF" w:rsidRPr="005F2AF0">
        <w:rPr>
          <w:rFonts w:asciiTheme="majorHAnsi" w:hAnsiTheme="majorHAnsi"/>
        </w:rPr>
        <w:t>-based protections for data outside of HIPAA</w:t>
      </w:r>
      <w:r w:rsidR="00792349" w:rsidRPr="002F4D82">
        <w:rPr>
          <w:rFonts w:asciiTheme="majorHAnsi" w:hAnsiTheme="majorHAnsi"/>
        </w:rPr>
        <w:t xml:space="preserve">: </w:t>
      </w:r>
    </w:p>
    <w:p w14:paraId="1D050244" w14:textId="46CDE9A3" w:rsidR="00705392" w:rsidRPr="002F4D82" w:rsidRDefault="00792349" w:rsidP="00705392">
      <w:pPr>
        <w:pStyle w:val="ListParagraph"/>
        <w:numPr>
          <w:ilvl w:val="1"/>
          <w:numId w:val="50"/>
        </w:numPr>
        <w:rPr>
          <w:rFonts w:asciiTheme="majorHAnsi" w:hAnsiTheme="majorHAnsi"/>
        </w:rPr>
      </w:pPr>
      <w:r w:rsidRPr="002F4D82">
        <w:rPr>
          <w:rFonts w:asciiTheme="majorHAnsi" w:hAnsiTheme="majorHAnsi"/>
        </w:rPr>
        <w:t>V</w:t>
      </w:r>
      <w:r w:rsidR="00E75B05" w:rsidRPr="005F2AF0">
        <w:rPr>
          <w:rFonts w:asciiTheme="majorHAnsi" w:hAnsiTheme="majorHAnsi"/>
        </w:rPr>
        <w:t xml:space="preserve">oluntarily adopted </w:t>
      </w:r>
      <w:r w:rsidRPr="002F4D82">
        <w:rPr>
          <w:rFonts w:asciiTheme="majorHAnsi" w:hAnsiTheme="majorHAnsi"/>
        </w:rPr>
        <w:t xml:space="preserve">self-governance </w:t>
      </w:r>
      <w:r w:rsidR="00E75B05" w:rsidRPr="005F2AF0">
        <w:rPr>
          <w:rFonts w:asciiTheme="majorHAnsi" w:hAnsiTheme="majorHAnsi"/>
        </w:rPr>
        <w:t>codes of conduct</w:t>
      </w:r>
      <w:r w:rsidR="00B844DF" w:rsidRPr="005F2AF0">
        <w:rPr>
          <w:rFonts w:asciiTheme="majorHAnsi" w:hAnsiTheme="majorHAnsi"/>
        </w:rPr>
        <w:t>.</w:t>
      </w:r>
      <w:r w:rsidR="00705392">
        <w:rPr>
          <w:rFonts w:asciiTheme="majorHAnsi" w:hAnsiTheme="majorHAnsi"/>
        </w:rPr>
        <w:t xml:space="preserve"> </w:t>
      </w:r>
      <w:r w:rsidR="00C01765">
        <w:rPr>
          <w:rFonts w:asciiTheme="majorHAnsi" w:hAnsiTheme="majorHAnsi"/>
        </w:rPr>
        <w:t xml:space="preserve">In order to credibly meet the requirements of both protecting sensitive personal information and enabling its appropriate use, </w:t>
      </w:r>
      <w:r w:rsidR="00705392" w:rsidRPr="002F4D82">
        <w:rPr>
          <w:rFonts w:asciiTheme="majorHAnsi" w:hAnsiTheme="majorHAnsi"/>
        </w:rPr>
        <w:t xml:space="preserve">Codes </w:t>
      </w:r>
      <w:r w:rsidR="00C01765">
        <w:rPr>
          <w:rFonts w:asciiTheme="majorHAnsi" w:hAnsiTheme="majorHAnsi"/>
        </w:rPr>
        <w:t>must include</w:t>
      </w:r>
      <w:r w:rsidR="00705392" w:rsidRPr="002F4D82">
        <w:rPr>
          <w:rFonts w:asciiTheme="majorHAnsi" w:hAnsiTheme="majorHAnsi"/>
        </w:rPr>
        <w:t xml:space="preserve"> transparency, individual access, accountability, and use limitations</w:t>
      </w:r>
      <w:r w:rsidR="00705392">
        <w:rPr>
          <w:rFonts w:asciiTheme="majorHAnsi" w:hAnsiTheme="majorHAnsi"/>
        </w:rPr>
        <w:t xml:space="preserve">.  </w:t>
      </w:r>
    </w:p>
    <w:p w14:paraId="7D42589D" w14:textId="4AFF4E98" w:rsidR="00E75B05" w:rsidRPr="002F4D82" w:rsidRDefault="00540216" w:rsidP="005F2AF0">
      <w:pPr>
        <w:pStyle w:val="ListParagraph"/>
        <w:numPr>
          <w:ilvl w:val="1"/>
          <w:numId w:val="50"/>
        </w:numPr>
        <w:rPr>
          <w:rFonts w:asciiTheme="majorHAnsi" w:hAnsiTheme="majorHAnsi"/>
        </w:rPr>
      </w:pPr>
      <w:r>
        <w:rPr>
          <w:rFonts w:asciiTheme="majorHAnsi" w:hAnsiTheme="majorHAnsi"/>
        </w:rPr>
        <w:t>U.S. Department of Health and Human Services (</w:t>
      </w:r>
      <w:r w:rsidR="00732DFB">
        <w:rPr>
          <w:rFonts w:asciiTheme="majorHAnsi" w:hAnsiTheme="majorHAnsi"/>
        </w:rPr>
        <w:t>HHS</w:t>
      </w:r>
      <w:r>
        <w:rPr>
          <w:rFonts w:asciiTheme="majorHAnsi" w:hAnsiTheme="majorHAnsi"/>
        </w:rPr>
        <w:t>)</w:t>
      </w:r>
      <w:r w:rsidR="00732DFB">
        <w:rPr>
          <w:rFonts w:asciiTheme="majorHAnsi" w:hAnsiTheme="majorHAnsi"/>
        </w:rPr>
        <w:t xml:space="preserve">, </w:t>
      </w:r>
      <w:r>
        <w:rPr>
          <w:rFonts w:asciiTheme="majorHAnsi" w:hAnsiTheme="majorHAnsi"/>
        </w:rPr>
        <w:t>Federal Trade Commission (</w:t>
      </w:r>
      <w:r w:rsidR="00E75B05" w:rsidRPr="005F2AF0">
        <w:rPr>
          <w:rFonts w:asciiTheme="majorHAnsi" w:hAnsiTheme="majorHAnsi"/>
        </w:rPr>
        <w:t>FTC</w:t>
      </w:r>
      <w:r>
        <w:rPr>
          <w:rFonts w:asciiTheme="majorHAnsi" w:hAnsiTheme="majorHAnsi"/>
        </w:rPr>
        <w:t>)</w:t>
      </w:r>
      <w:r w:rsidR="00E75B05" w:rsidRPr="005F2AF0">
        <w:rPr>
          <w:rFonts w:asciiTheme="majorHAnsi" w:hAnsiTheme="majorHAnsi"/>
        </w:rPr>
        <w:t xml:space="preserve">, and other relevant federal agencies should </w:t>
      </w:r>
      <w:r w:rsidR="00792349" w:rsidRPr="002F4D82">
        <w:rPr>
          <w:rFonts w:asciiTheme="majorHAnsi" w:hAnsiTheme="majorHAnsi"/>
        </w:rPr>
        <w:t xml:space="preserve">help guide </w:t>
      </w:r>
      <w:r w:rsidR="00E75B05" w:rsidRPr="005F2AF0">
        <w:rPr>
          <w:rFonts w:asciiTheme="majorHAnsi" w:hAnsiTheme="majorHAnsi"/>
        </w:rPr>
        <w:t xml:space="preserve">such efforts to </w:t>
      </w:r>
      <w:r w:rsidR="00792349" w:rsidRPr="002F4D82">
        <w:rPr>
          <w:rFonts w:asciiTheme="majorHAnsi" w:hAnsiTheme="majorHAnsi"/>
        </w:rPr>
        <w:t xml:space="preserve">more quickly </w:t>
      </w:r>
      <w:r w:rsidR="00E75B05" w:rsidRPr="005F2AF0">
        <w:rPr>
          <w:rFonts w:asciiTheme="majorHAnsi" w:hAnsiTheme="majorHAnsi"/>
        </w:rPr>
        <w:t>establish dependable “rules of the road”</w:t>
      </w:r>
      <w:r w:rsidR="00C01765">
        <w:rPr>
          <w:rFonts w:asciiTheme="majorHAnsi" w:hAnsiTheme="majorHAnsi"/>
        </w:rPr>
        <w:t xml:space="preserve"> and to ensure their enforceability in order</w:t>
      </w:r>
      <w:r w:rsidR="00E75B05" w:rsidRPr="005F2AF0">
        <w:rPr>
          <w:rFonts w:asciiTheme="majorHAnsi" w:hAnsiTheme="majorHAnsi"/>
        </w:rPr>
        <w:t xml:space="preserve"> </w:t>
      </w:r>
      <w:r w:rsidR="00792349" w:rsidRPr="002F4D82">
        <w:rPr>
          <w:rFonts w:asciiTheme="majorHAnsi" w:hAnsiTheme="majorHAnsi"/>
        </w:rPr>
        <w:t xml:space="preserve">to </w:t>
      </w:r>
      <w:r w:rsidR="00E75B05" w:rsidRPr="005F2AF0">
        <w:rPr>
          <w:rFonts w:asciiTheme="majorHAnsi" w:hAnsiTheme="majorHAnsi"/>
        </w:rPr>
        <w:t>build trust in the use of health big data.</w:t>
      </w:r>
    </w:p>
    <w:p w14:paraId="6ED76508" w14:textId="2E19DD6F" w:rsidR="00B844DF" w:rsidRPr="002F4D82" w:rsidRDefault="00705392" w:rsidP="00E75B05">
      <w:pPr>
        <w:pStyle w:val="ListParagraph"/>
        <w:numPr>
          <w:ilvl w:val="0"/>
          <w:numId w:val="50"/>
        </w:numPr>
        <w:rPr>
          <w:rFonts w:asciiTheme="majorHAnsi" w:hAnsiTheme="majorHAnsi"/>
        </w:rPr>
      </w:pPr>
      <w:r>
        <w:rPr>
          <w:rFonts w:asciiTheme="majorHAnsi" w:hAnsiTheme="majorHAnsi"/>
        </w:rPr>
        <w:t>P</w:t>
      </w:r>
      <w:r w:rsidR="00E75B05" w:rsidRPr="005F2AF0">
        <w:rPr>
          <w:rFonts w:asciiTheme="majorHAnsi" w:hAnsiTheme="majorHAnsi"/>
        </w:rPr>
        <w:t xml:space="preserve">olicymakers </w:t>
      </w:r>
      <w:r w:rsidR="00E75B05" w:rsidRPr="000B38F3">
        <w:rPr>
          <w:rFonts w:asciiTheme="majorHAnsi" w:hAnsiTheme="majorHAnsi"/>
          <w:highlight w:val="yellow"/>
        </w:rPr>
        <w:t>should</w:t>
      </w:r>
      <w:r w:rsidR="00E75B05" w:rsidRPr="005F2AF0">
        <w:rPr>
          <w:rFonts w:asciiTheme="majorHAnsi" w:hAnsiTheme="majorHAnsi"/>
        </w:rPr>
        <w:t xml:space="preserve"> evaluate existing laws, regulations, and policies (rules) governing uses of data that could contribute to a LHS to assure those rules promote responsible re-use of data to contribute to generalizable knowledge</w:t>
      </w:r>
      <w:r w:rsidR="005F2AF0">
        <w:rPr>
          <w:rFonts w:asciiTheme="majorHAnsi" w:hAnsiTheme="majorHAnsi"/>
        </w:rPr>
        <w:t xml:space="preserve">.  </w:t>
      </w:r>
    </w:p>
    <w:p w14:paraId="77668756" w14:textId="78DFB357" w:rsidR="00E75B05" w:rsidRPr="002F4D82" w:rsidRDefault="00E75B05" w:rsidP="00E75B05">
      <w:pPr>
        <w:pStyle w:val="ListParagraph"/>
        <w:numPr>
          <w:ilvl w:val="0"/>
          <w:numId w:val="50"/>
        </w:numPr>
        <w:rPr>
          <w:rFonts w:asciiTheme="majorHAnsi" w:hAnsiTheme="majorHAnsi"/>
        </w:rPr>
      </w:pPr>
      <w:r w:rsidRPr="005F2AF0">
        <w:rPr>
          <w:rFonts w:asciiTheme="majorHAnsi" w:hAnsiTheme="majorHAnsi"/>
        </w:rPr>
        <w:t xml:space="preserve">Policymakers </w:t>
      </w:r>
      <w:r w:rsidRPr="005F2AF0">
        <w:rPr>
          <w:rFonts w:asciiTheme="majorHAnsi" w:hAnsiTheme="majorHAnsi"/>
          <w:highlight w:val="yellow"/>
        </w:rPr>
        <w:t xml:space="preserve">should </w:t>
      </w:r>
      <w:r w:rsidRPr="005F2AF0">
        <w:rPr>
          <w:rFonts w:asciiTheme="majorHAnsi" w:hAnsiTheme="majorHAnsi"/>
        </w:rPr>
        <w:t xml:space="preserve">modify rules around research uses of data </w:t>
      </w:r>
      <w:r w:rsidR="00B844DF" w:rsidRPr="005F2AF0">
        <w:rPr>
          <w:rFonts w:asciiTheme="majorHAnsi" w:hAnsiTheme="majorHAnsi"/>
        </w:rPr>
        <w:t xml:space="preserve">to incentivize </w:t>
      </w:r>
      <w:r w:rsidRPr="005F2AF0">
        <w:rPr>
          <w:rFonts w:asciiTheme="majorHAnsi" w:hAnsiTheme="majorHAnsi"/>
        </w:rPr>
        <w:t>entities to use more p</w:t>
      </w:r>
      <w:r w:rsidR="00B844DF" w:rsidRPr="005F2AF0">
        <w:rPr>
          <w:rFonts w:asciiTheme="majorHAnsi" w:hAnsiTheme="majorHAnsi"/>
        </w:rPr>
        <w:t>rivacy protecting architectures</w:t>
      </w:r>
      <w:r w:rsidR="0047246E">
        <w:rPr>
          <w:rFonts w:asciiTheme="majorHAnsi" w:hAnsiTheme="majorHAnsi"/>
        </w:rPr>
        <w:t>, for example by providing safe harbors for certain behaviors and levels of security</w:t>
      </w:r>
      <w:r w:rsidR="005F2AF0">
        <w:rPr>
          <w:rFonts w:asciiTheme="majorHAnsi" w:hAnsiTheme="majorHAnsi"/>
        </w:rPr>
        <w:t xml:space="preserve">.  </w:t>
      </w:r>
    </w:p>
    <w:p w14:paraId="1720455B" w14:textId="75E2AF17" w:rsidR="00B844DF" w:rsidRPr="005F2AF0" w:rsidRDefault="00792349" w:rsidP="00F44587">
      <w:pPr>
        <w:pStyle w:val="ListParagraph"/>
        <w:numPr>
          <w:ilvl w:val="0"/>
          <w:numId w:val="50"/>
        </w:numPr>
        <w:rPr>
          <w:rFonts w:asciiTheme="majorHAnsi" w:hAnsiTheme="majorHAnsi"/>
        </w:rPr>
      </w:pPr>
      <w:r w:rsidRPr="005F2AF0">
        <w:rPr>
          <w:rFonts w:asciiTheme="majorHAnsi" w:hAnsiTheme="majorHAnsi"/>
        </w:rPr>
        <w:t>To support individual’s rights to access their health information, c</w:t>
      </w:r>
      <w:r w:rsidR="00B844DF" w:rsidRPr="002F4D82">
        <w:rPr>
          <w:rFonts w:asciiTheme="majorHAnsi" w:hAnsiTheme="majorHAnsi"/>
        </w:rPr>
        <w:t xml:space="preserve">reate </w:t>
      </w:r>
      <w:r w:rsidR="00B844DF" w:rsidRPr="005F2AF0">
        <w:rPr>
          <w:rFonts w:asciiTheme="majorHAnsi" w:hAnsiTheme="majorHAnsi"/>
        </w:rPr>
        <w:t xml:space="preserve">a “right of access” in entities not covered by HIPAA as part of the voluntary codes of conduct; </w:t>
      </w:r>
      <w:r w:rsidRPr="005F2AF0">
        <w:rPr>
          <w:rFonts w:asciiTheme="majorHAnsi" w:hAnsiTheme="majorHAnsi"/>
        </w:rPr>
        <w:t xml:space="preserve">also </w:t>
      </w:r>
      <w:r w:rsidR="0076553D">
        <w:rPr>
          <w:rFonts w:asciiTheme="majorHAnsi" w:hAnsiTheme="majorHAnsi"/>
        </w:rPr>
        <w:t xml:space="preserve">revise </w:t>
      </w:r>
      <w:r w:rsidR="00B844DF" w:rsidRPr="005F2AF0">
        <w:rPr>
          <w:rFonts w:asciiTheme="majorHAnsi" w:hAnsiTheme="majorHAnsi"/>
        </w:rPr>
        <w:t xml:space="preserve">HIPAA over time to </w:t>
      </w:r>
      <w:r w:rsidR="0076553D">
        <w:rPr>
          <w:rFonts w:asciiTheme="majorHAnsi" w:hAnsiTheme="majorHAnsi"/>
        </w:rPr>
        <w:t>enable it to be effective at protecting health data in</w:t>
      </w:r>
      <w:r w:rsidR="00B844DF" w:rsidRPr="005F2AF0">
        <w:rPr>
          <w:rFonts w:asciiTheme="majorHAnsi" w:hAnsiTheme="majorHAnsi"/>
        </w:rPr>
        <w:t xml:space="preserve"> the digital age.</w:t>
      </w:r>
    </w:p>
    <w:p w14:paraId="229E78C0" w14:textId="18D8F525" w:rsidR="00792349" w:rsidRPr="005F2AF0" w:rsidRDefault="006B769A" w:rsidP="006F6645">
      <w:pPr>
        <w:pStyle w:val="ListParagraph"/>
        <w:numPr>
          <w:ilvl w:val="0"/>
          <w:numId w:val="50"/>
        </w:numPr>
        <w:rPr>
          <w:rFonts w:asciiTheme="majorHAnsi" w:hAnsiTheme="majorHAnsi"/>
        </w:rPr>
      </w:pPr>
      <w:r w:rsidRPr="005F2AF0">
        <w:rPr>
          <w:rFonts w:asciiTheme="majorHAnsi" w:hAnsiTheme="majorHAnsi"/>
        </w:rPr>
        <w:t xml:space="preserve">Educate consumers, health care providers, technology vendors, and other stakeholders about the limits of </w:t>
      </w:r>
      <w:r w:rsidR="000B38F3">
        <w:rPr>
          <w:rFonts w:asciiTheme="majorHAnsi" w:hAnsiTheme="majorHAnsi"/>
        </w:rPr>
        <w:t>legal protection; reinforce p</w:t>
      </w:r>
      <w:r w:rsidRPr="005F2AF0">
        <w:rPr>
          <w:rFonts w:asciiTheme="majorHAnsi" w:hAnsiTheme="majorHAnsi"/>
        </w:rPr>
        <w:t xml:space="preserve">revious </w:t>
      </w:r>
      <w:r w:rsidR="000B38F3">
        <w:rPr>
          <w:rFonts w:asciiTheme="majorHAnsi" w:hAnsiTheme="majorHAnsi"/>
        </w:rPr>
        <w:t>PSWG recommendations.</w:t>
      </w:r>
    </w:p>
    <w:p w14:paraId="009C42DF" w14:textId="77777777" w:rsidR="002F4D82" w:rsidRPr="005F2AF0" w:rsidRDefault="002F4D82" w:rsidP="005F2AF0">
      <w:pPr>
        <w:rPr>
          <w:rFonts w:asciiTheme="majorHAnsi" w:hAnsiTheme="majorHAnsi"/>
          <w:b/>
        </w:rPr>
      </w:pPr>
    </w:p>
    <w:p w14:paraId="1E425D65" w14:textId="43DE7317" w:rsidR="005E257D" w:rsidRPr="005F2AF0" w:rsidRDefault="005E257D" w:rsidP="005F2AF0">
      <w:pPr>
        <w:rPr>
          <w:rFonts w:asciiTheme="majorHAnsi" w:hAnsiTheme="majorHAnsi"/>
          <w:b/>
        </w:rPr>
      </w:pPr>
      <w:r w:rsidRPr="005F2AF0">
        <w:rPr>
          <w:rFonts w:asciiTheme="majorHAnsi" w:hAnsiTheme="majorHAnsi"/>
          <w:b/>
        </w:rPr>
        <w:t>6.3</w:t>
      </w:r>
      <w:r w:rsidR="005A4DA5" w:rsidRPr="005F2AF0">
        <w:rPr>
          <w:rFonts w:asciiTheme="majorHAnsi" w:hAnsiTheme="majorHAnsi"/>
          <w:b/>
        </w:rPr>
        <w:t xml:space="preserve"> Protect Health Information by Improving Trust in De-Identification Methodologies and Reducing the Risk of Re-Identification</w:t>
      </w:r>
    </w:p>
    <w:p w14:paraId="26FB9EF3" w14:textId="6C376961" w:rsidR="00792349" w:rsidRPr="002F4D82" w:rsidRDefault="00E6670A" w:rsidP="005F2AF0">
      <w:pPr>
        <w:pStyle w:val="ListParagraph"/>
        <w:numPr>
          <w:ilvl w:val="0"/>
          <w:numId w:val="51"/>
        </w:numPr>
        <w:rPr>
          <w:rFonts w:asciiTheme="majorHAnsi" w:hAnsiTheme="majorHAnsi"/>
        </w:rPr>
      </w:pPr>
      <w:r>
        <w:rPr>
          <w:rFonts w:asciiTheme="majorHAnsi" w:hAnsiTheme="majorHAnsi"/>
        </w:rPr>
        <w:t xml:space="preserve">The </w:t>
      </w:r>
      <w:r w:rsidRPr="0016351D">
        <w:rPr>
          <w:rFonts w:asciiTheme="majorHAnsi" w:hAnsiTheme="majorHAnsi"/>
        </w:rPr>
        <w:t xml:space="preserve">Office </w:t>
      </w:r>
      <w:r>
        <w:rPr>
          <w:rFonts w:asciiTheme="majorHAnsi" w:hAnsiTheme="majorHAnsi"/>
        </w:rPr>
        <w:t xml:space="preserve">for </w:t>
      </w:r>
      <w:r w:rsidRPr="0016351D">
        <w:rPr>
          <w:rFonts w:asciiTheme="majorHAnsi" w:hAnsiTheme="majorHAnsi"/>
        </w:rPr>
        <w:t>Civil Ri</w:t>
      </w:r>
      <w:r>
        <w:rPr>
          <w:rFonts w:asciiTheme="majorHAnsi" w:hAnsiTheme="majorHAnsi"/>
        </w:rPr>
        <w:t>ghts (</w:t>
      </w:r>
      <w:r w:rsidR="00B844DF" w:rsidRPr="005F2AF0">
        <w:rPr>
          <w:rFonts w:asciiTheme="majorHAnsi" w:hAnsiTheme="majorHAnsi"/>
        </w:rPr>
        <w:t>OCR</w:t>
      </w:r>
      <w:r>
        <w:rPr>
          <w:rFonts w:asciiTheme="majorHAnsi" w:hAnsiTheme="majorHAnsi"/>
        </w:rPr>
        <w:t>)</w:t>
      </w:r>
      <w:r w:rsidR="00B844DF" w:rsidRPr="005F2AF0">
        <w:rPr>
          <w:rFonts w:asciiTheme="majorHAnsi" w:hAnsiTheme="majorHAnsi"/>
        </w:rPr>
        <w:t xml:space="preserve"> </w:t>
      </w:r>
      <w:r w:rsidR="00C21BE7" w:rsidRPr="000B38F3">
        <w:rPr>
          <w:rFonts w:asciiTheme="majorHAnsi" w:hAnsiTheme="majorHAnsi"/>
          <w:highlight w:val="yellow"/>
        </w:rPr>
        <w:t>should</w:t>
      </w:r>
      <w:r w:rsidR="00B844DF" w:rsidRPr="005F2AF0">
        <w:rPr>
          <w:rFonts w:asciiTheme="majorHAnsi" w:hAnsiTheme="majorHAnsi"/>
        </w:rPr>
        <w:t xml:space="preserve"> be a more active “steward” of HIPAA de-identification standards</w:t>
      </w:r>
      <w:r w:rsidR="00792349" w:rsidRPr="002F4D82">
        <w:rPr>
          <w:rFonts w:asciiTheme="majorHAnsi" w:hAnsiTheme="majorHAnsi"/>
        </w:rPr>
        <w:t>.</w:t>
      </w:r>
    </w:p>
    <w:p w14:paraId="6195801B" w14:textId="3D413FAC" w:rsidR="00536556" w:rsidRPr="002F4D82" w:rsidRDefault="00792349" w:rsidP="005F2AF0">
      <w:pPr>
        <w:pStyle w:val="ListParagraph"/>
        <w:numPr>
          <w:ilvl w:val="1"/>
          <w:numId w:val="51"/>
        </w:numPr>
        <w:rPr>
          <w:rFonts w:asciiTheme="majorHAnsi" w:hAnsiTheme="majorHAnsi"/>
        </w:rPr>
      </w:pPr>
      <w:r w:rsidRPr="002F4D82">
        <w:rPr>
          <w:rFonts w:asciiTheme="majorHAnsi" w:hAnsiTheme="majorHAnsi"/>
        </w:rPr>
        <w:t>C</w:t>
      </w:r>
      <w:r w:rsidR="00B844DF" w:rsidRPr="005F2AF0">
        <w:rPr>
          <w:rFonts w:asciiTheme="majorHAnsi" w:hAnsiTheme="majorHAnsi"/>
        </w:rPr>
        <w:t xml:space="preserve">onduct </w:t>
      </w:r>
      <w:r w:rsidR="000B38F3">
        <w:rPr>
          <w:rFonts w:asciiTheme="majorHAnsi" w:hAnsiTheme="majorHAnsi"/>
        </w:rPr>
        <w:t>ongoing review of methodologies to</w:t>
      </w:r>
      <w:r w:rsidR="00B844DF" w:rsidRPr="005F2AF0">
        <w:rPr>
          <w:rFonts w:asciiTheme="majorHAnsi" w:hAnsiTheme="majorHAnsi"/>
        </w:rPr>
        <w:t xml:space="preserve"> determine robustne</w:t>
      </w:r>
      <w:r w:rsidR="000B38F3">
        <w:rPr>
          <w:rFonts w:asciiTheme="majorHAnsi" w:hAnsiTheme="majorHAnsi"/>
        </w:rPr>
        <w:t xml:space="preserve">ss and recommend updates to </w:t>
      </w:r>
      <w:r w:rsidR="00B844DF" w:rsidRPr="005F2AF0">
        <w:rPr>
          <w:rFonts w:asciiTheme="majorHAnsi" w:hAnsiTheme="majorHAnsi"/>
        </w:rPr>
        <w:t>methodologies and policies</w:t>
      </w:r>
      <w:r w:rsidR="005F2AF0">
        <w:rPr>
          <w:rFonts w:asciiTheme="majorHAnsi" w:hAnsiTheme="majorHAnsi"/>
        </w:rPr>
        <w:t xml:space="preserve">.  </w:t>
      </w:r>
    </w:p>
    <w:p w14:paraId="6ADED599" w14:textId="6A853E9C" w:rsidR="00792349" w:rsidRPr="002F4D82" w:rsidRDefault="00792349" w:rsidP="005F2AF0">
      <w:pPr>
        <w:pStyle w:val="ListParagraph"/>
        <w:numPr>
          <w:ilvl w:val="1"/>
          <w:numId w:val="51"/>
        </w:numPr>
        <w:rPr>
          <w:rFonts w:asciiTheme="majorHAnsi" w:hAnsiTheme="majorHAnsi"/>
        </w:rPr>
      </w:pPr>
      <w:r w:rsidRPr="002F4D82">
        <w:rPr>
          <w:rFonts w:asciiTheme="majorHAnsi" w:hAnsiTheme="majorHAnsi"/>
        </w:rPr>
        <w:t xml:space="preserve">Seek assistance from third-party experts, such as </w:t>
      </w:r>
      <w:r w:rsidR="00FD6AA2">
        <w:rPr>
          <w:rFonts w:asciiTheme="majorHAnsi" w:hAnsiTheme="majorHAnsi"/>
        </w:rPr>
        <w:t>the National Institute of Standards and Technology (</w:t>
      </w:r>
      <w:r w:rsidRPr="002F4D82">
        <w:rPr>
          <w:rFonts w:asciiTheme="majorHAnsi" w:hAnsiTheme="majorHAnsi"/>
        </w:rPr>
        <w:t>NIST</w:t>
      </w:r>
      <w:r w:rsidR="00FD6AA2">
        <w:rPr>
          <w:rFonts w:asciiTheme="majorHAnsi" w:hAnsiTheme="majorHAnsi"/>
        </w:rPr>
        <w:t>)</w:t>
      </w:r>
      <w:r w:rsidR="005F2AF0">
        <w:rPr>
          <w:rFonts w:asciiTheme="majorHAnsi" w:hAnsiTheme="majorHAnsi"/>
        </w:rPr>
        <w:t xml:space="preserve">.  </w:t>
      </w:r>
    </w:p>
    <w:p w14:paraId="35819BCA" w14:textId="7E6A93F6" w:rsidR="00536556" w:rsidRPr="002F4D82" w:rsidRDefault="000B38F3" w:rsidP="005F2AF0">
      <w:pPr>
        <w:pStyle w:val="ListParagraph"/>
        <w:numPr>
          <w:ilvl w:val="0"/>
          <w:numId w:val="51"/>
        </w:numPr>
        <w:rPr>
          <w:rFonts w:asciiTheme="majorHAnsi" w:hAnsiTheme="majorHAnsi"/>
        </w:rPr>
      </w:pPr>
      <w:r>
        <w:rPr>
          <w:rFonts w:asciiTheme="majorHAnsi" w:hAnsiTheme="majorHAnsi"/>
        </w:rPr>
        <w:t xml:space="preserve">Urge </w:t>
      </w:r>
      <w:r w:rsidR="00792349" w:rsidRPr="002F4D82">
        <w:rPr>
          <w:rFonts w:asciiTheme="majorHAnsi" w:hAnsiTheme="majorHAnsi"/>
        </w:rPr>
        <w:t xml:space="preserve">development of </w:t>
      </w:r>
      <w:r w:rsidR="00B844DF" w:rsidRPr="005F2AF0">
        <w:rPr>
          <w:rFonts w:asciiTheme="majorHAnsi" w:hAnsiTheme="majorHAnsi"/>
        </w:rPr>
        <w:t xml:space="preserve">initiatives or programs to objectively evaluate statistical methodologies to vet </w:t>
      </w:r>
      <w:r>
        <w:rPr>
          <w:rFonts w:asciiTheme="majorHAnsi" w:hAnsiTheme="majorHAnsi"/>
        </w:rPr>
        <w:t xml:space="preserve">their capacity for reducing </w:t>
      </w:r>
      <w:r w:rsidR="00B844DF" w:rsidRPr="005F2AF0">
        <w:rPr>
          <w:rFonts w:asciiTheme="majorHAnsi" w:hAnsiTheme="majorHAnsi"/>
        </w:rPr>
        <w:t>risk of re-identification to “very low” in particular contexts</w:t>
      </w:r>
      <w:r w:rsidR="005F2AF0">
        <w:rPr>
          <w:rFonts w:asciiTheme="majorHAnsi" w:hAnsiTheme="majorHAnsi"/>
        </w:rPr>
        <w:t xml:space="preserve">.  </w:t>
      </w:r>
      <w:r w:rsidR="00B844DF" w:rsidRPr="005F2AF0">
        <w:rPr>
          <w:rFonts w:asciiTheme="majorHAnsi" w:hAnsiTheme="majorHAnsi"/>
        </w:rPr>
        <w:t xml:space="preserve"> </w:t>
      </w:r>
    </w:p>
    <w:p w14:paraId="08881C2B" w14:textId="019FA225" w:rsidR="00536556" w:rsidRPr="002F4D82" w:rsidRDefault="00B844DF" w:rsidP="005F2AF0">
      <w:pPr>
        <w:pStyle w:val="ListParagraph"/>
        <w:numPr>
          <w:ilvl w:val="0"/>
          <w:numId w:val="51"/>
        </w:numPr>
        <w:rPr>
          <w:rFonts w:asciiTheme="majorHAnsi" w:hAnsiTheme="majorHAnsi"/>
        </w:rPr>
      </w:pPr>
      <w:r w:rsidRPr="005F2AF0">
        <w:rPr>
          <w:rFonts w:asciiTheme="majorHAnsi" w:hAnsiTheme="majorHAnsi"/>
        </w:rPr>
        <w:lastRenderedPageBreak/>
        <w:t xml:space="preserve">OCR </w:t>
      </w:r>
      <w:r w:rsidR="00C21BE7" w:rsidRPr="000B38F3">
        <w:rPr>
          <w:rFonts w:asciiTheme="majorHAnsi" w:hAnsiTheme="majorHAnsi"/>
          <w:highlight w:val="yellow"/>
        </w:rPr>
        <w:t>should</w:t>
      </w:r>
      <w:r w:rsidRPr="005F2AF0">
        <w:rPr>
          <w:rFonts w:asciiTheme="majorHAnsi" w:hAnsiTheme="majorHAnsi"/>
        </w:rPr>
        <w:t xml:space="preserve"> grant safe harbor status to methodologies that are proven to be effective at de-identification in certain contexts</w:t>
      </w:r>
      <w:r w:rsidR="000B38F3">
        <w:rPr>
          <w:rFonts w:asciiTheme="majorHAnsi" w:hAnsiTheme="majorHAnsi"/>
        </w:rPr>
        <w:t xml:space="preserve"> to encourage </w:t>
      </w:r>
      <w:r w:rsidRPr="005F2AF0">
        <w:rPr>
          <w:rFonts w:asciiTheme="majorHAnsi" w:hAnsiTheme="majorHAnsi"/>
        </w:rPr>
        <w:t>use of proven methodologies</w:t>
      </w:r>
      <w:r w:rsidR="005F2AF0">
        <w:rPr>
          <w:rFonts w:asciiTheme="majorHAnsi" w:hAnsiTheme="majorHAnsi"/>
        </w:rPr>
        <w:t xml:space="preserve">.  </w:t>
      </w:r>
      <w:r w:rsidRPr="005F2AF0">
        <w:rPr>
          <w:rFonts w:asciiTheme="majorHAnsi" w:hAnsiTheme="majorHAnsi"/>
        </w:rPr>
        <w:t xml:space="preserve"> </w:t>
      </w:r>
    </w:p>
    <w:p w14:paraId="207E25E8" w14:textId="1A07E925" w:rsidR="00B844DF" w:rsidRPr="00260015" w:rsidRDefault="00B844DF" w:rsidP="005F2AF0">
      <w:pPr>
        <w:pStyle w:val="ListParagraph"/>
        <w:numPr>
          <w:ilvl w:val="0"/>
          <w:numId w:val="51"/>
        </w:numPr>
        <w:rPr>
          <w:rFonts w:asciiTheme="majorHAnsi" w:hAnsiTheme="majorHAnsi"/>
        </w:rPr>
      </w:pPr>
      <w:r w:rsidRPr="005F2AF0">
        <w:rPr>
          <w:rFonts w:asciiTheme="majorHAnsi" w:hAnsiTheme="majorHAnsi"/>
        </w:rPr>
        <w:t xml:space="preserve">OCR </w:t>
      </w:r>
      <w:r w:rsidR="00C21BE7" w:rsidRPr="000B38F3">
        <w:rPr>
          <w:rFonts w:asciiTheme="majorHAnsi" w:hAnsiTheme="majorHAnsi"/>
          <w:highlight w:val="yellow"/>
        </w:rPr>
        <w:t>should</w:t>
      </w:r>
      <w:r w:rsidRPr="005F2AF0">
        <w:rPr>
          <w:rFonts w:asciiTheme="majorHAnsi" w:hAnsiTheme="majorHAnsi"/>
        </w:rPr>
        <w:t xml:space="preserve"> establish risk-based de-identification requirements in circumstances where re-identification risk has been lowered</w:t>
      </w:r>
      <w:r w:rsidR="005F2AF0">
        <w:rPr>
          <w:rFonts w:asciiTheme="majorHAnsi" w:hAnsiTheme="majorHAnsi"/>
        </w:rPr>
        <w:t xml:space="preserve">.  </w:t>
      </w:r>
      <w:r w:rsidRPr="005F2AF0">
        <w:rPr>
          <w:rFonts w:asciiTheme="majorHAnsi" w:hAnsiTheme="majorHAnsi"/>
        </w:rPr>
        <w:t xml:space="preserve"> </w:t>
      </w:r>
    </w:p>
    <w:p w14:paraId="69C33384" w14:textId="77777777" w:rsidR="002F4D82" w:rsidRPr="005F2AF0" w:rsidRDefault="002F4D82" w:rsidP="005F2AF0">
      <w:pPr>
        <w:rPr>
          <w:rFonts w:asciiTheme="majorHAnsi" w:hAnsiTheme="majorHAnsi"/>
          <w:b/>
        </w:rPr>
      </w:pPr>
    </w:p>
    <w:p w14:paraId="7B059D97" w14:textId="2F66995A" w:rsidR="005E257D" w:rsidRPr="005F2AF0" w:rsidRDefault="005A4DA5" w:rsidP="005F2AF0">
      <w:pPr>
        <w:rPr>
          <w:rFonts w:asciiTheme="majorHAnsi" w:hAnsiTheme="majorHAnsi"/>
          <w:b/>
        </w:rPr>
      </w:pPr>
      <w:r w:rsidRPr="005F2AF0">
        <w:rPr>
          <w:rFonts w:asciiTheme="majorHAnsi" w:hAnsiTheme="majorHAnsi"/>
          <w:b/>
        </w:rPr>
        <w:t>6.4 Support Secure Use of Data for Learning</w:t>
      </w:r>
    </w:p>
    <w:p w14:paraId="47A8F874" w14:textId="33E7D3E0" w:rsidR="00B844DF" w:rsidRPr="005F2AF0" w:rsidRDefault="000B38F3" w:rsidP="005F2AF0">
      <w:pPr>
        <w:pStyle w:val="ListParagraph"/>
        <w:numPr>
          <w:ilvl w:val="0"/>
          <w:numId w:val="47"/>
        </w:numPr>
        <w:rPr>
          <w:rFonts w:asciiTheme="majorHAnsi" w:hAnsiTheme="majorHAnsi"/>
        </w:rPr>
      </w:pPr>
      <w:r>
        <w:rPr>
          <w:rFonts w:asciiTheme="majorHAnsi" w:hAnsiTheme="majorHAnsi"/>
        </w:rPr>
        <w:t xml:space="preserve">Urge </w:t>
      </w:r>
      <w:r w:rsidR="00BA2E1A" w:rsidRPr="002F4D82">
        <w:rPr>
          <w:rFonts w:asciiTheme="majorHAnsi" w:hAnsiTheme="majorHAnsi"/>
        </w:rPr>
        <w:t xml:space="preserve">development of </w:t>
      </w:r>
      <w:r w:rsidR="00B844DF" w:rsidRPr="005F2AF0">
        <w:rPr>
          <w:rFonts w:asciiTheme="majorHAnsi" w:hAnsiTheme="majorHAnsi"/>
        </w:rPr>
        <w:t>voluntary codes of conduct that also address robust security provisions</w:t>
      </w:r>
      <w:r w:rsidR="00BA2E1A" w:rsidRPr="002F4D82">
        <w:rPr>
          <w:rFonts w:asciiTheme="majorHAnsi" w:hAnsiTheme="majorHAnsi"/>
        </w:rPr>
        <w:t xml:space="preserve"> that </w:t>
      </w:r>
      <w:r>
        <w:rPr>
          <w:rFonts w:asciiTheme="majorHAnsi" w:hAnsiTheme="majorHAnsi"/>
        </w:rPr>
        <w:t xml:space="preserve">FTC </w:t>
      </w:r>
      <w:r w:rsidR="00BA2E1A" w:rsidRPr="002F4D82">
        <w:rPr>
          <w:rFonts w:asciiTheme="majorHAnsi" w:hAnsiTheme="majorHAnsi"/>
        </w:rPr>
        <w:t>can enforce</w:t>
      </w:r>
      <w:r w:rsidR="00B844DF" w:rsidRPr="005F2AF0">
        <w:rPr>
          <w:rFonts w:asciiTheme="majorHAnsi" w:hAnsiTheme="majorHAnsi"/>
        </w:rPr>
        <w:t>.</w:t>
      </w:r>
    </w:p>
    <w:p w14:paraId="760ADFD7" w14:textId="41E9511C" w:rsidR="00B844DF" w:rsidRPr="002F4D82" w:rsidRDefault="00C21BE7" w:rsidP="00B844DF">
      <w:pPr>
        <w:pStyle w:val="ListParagraph"/>
        <w:numPr>
          <w:ilvl w:val="0"/>
          <w:numId w:val="47"/>
        </w:numPr>
        <w:rPr>
          <w:rFonts w:asciiTheme="majorHAnsi" w:hAnsiTheme="majorHAnsi"/>
        </w:rPr>
      </w:pPr>
      <w:r>
        <w:rPr>
          <w:rFonts w:asciiTheme="majorHAnsi" w:hAnsiTheme="majorHAnsi"/>
        </w:rPr>
        <w:t>P</w:t>
      </w:r>
      <w:r w:rsidR="00B844DF" w:rsidRPr="005F2AF0">
        <w:rPr>
          <w:rFonts w:asciiTheme="majorHAnsi" w:hAnsiTheme="majorHAnsi"/>
        </w:rPr>
        <w:t>olicymaker</w:t>
      </w:r>
      <w:r w:rsidR="00CA46B7" w:rsidRPr="002F4D82">
        <w:rPr>
          <w:rFonts w:asciiTheme="majorHAnsi" w:hAnsiTheme="majorHAnsi"/>
        </w:rPr>
        <w:t xml:space="preserve">s </w:t>
      </w:r>
      <w:r>
        <w:rPr>
          <w:rFonts w:asciiTheme="majorHAnsi" w:hAnsiTheme="majorHAnsi"/>
        </w:rPr>
        <w:t>should</w:t>
      </w:r>
      <w:r w:rsidR="00CA46B7" w:rsidRPr="002F4D82">
        <w:rPr>
          <w:rFonts w:asciiTheme="majorHAnsi" w:hAnsiTheme="majorHAnsi"/>
        </w:rPr>
        <w:t xml:space="preserve"> </w:t>
      </w:r>
      <w:r w:rsidR="00B844DF" w:rsidRPr="005F2AF0">
        <w:rPr>
          <w:rFonts w:asciiTheme="majorHAnsi" w:hAnsiTheme="majorHAnsi"/>
        </w:rPr>
        <w:t>provide incentives for entities to use privacy-enhancing technologies and privacy-protecting technical architectures</w:t>
      </w:r>
      <w:r w:rsidR="005F2AF0">
        <w:rPr>
          <w:rFonts w:asciiTheme="majorHAnsi" w:hAnsiTheme="majorHAnsi"/>
        </w:rPr>
        <w:t xml:space="preserve">.  </w:t>
      </w:r>
    </w:p>
    <w:p w14:paraId="0B8C6C9F" w14:textId="636959C1" w:rsidR="006955CE" w:rsidRPr="002F4D82" w:rsidRDefault="00C21BE7" w:rsidP="00CA46B7">
      <w:pPr>
        <w:pStyle w:val="ListParagraph"/>
        <w:numPr>
          <w:ilvl w:val="0"/>
          <w:numId w:val="47"/>
        </w:numPr>
        <w:rPr>
          <w:rFonts w:asciiTheme="majorHAnsi" w:hAnsiTheme="majorHAnsi"/>
        </w:rPr>
      </w:pPr>
      <w:r>
        <w:rPr>
          <w:rFonts w:asciiTheme="majorHAnsi" w:hAnsiTheme="majorHAnsi"/>
        </w:rPr>
        <w:t>P</w:t>
      </w:r>
      <w:r w:rsidR="006B769A" w:rsidRPr="002F4D82">
        <w:rPr>
          <w:rFonts w:asciiTheme="majorHAnsi" w:hAnsiTheme="majorHAnsi"/>
        </w:rPr>
        <w:t>ublic and private sector</w:t>
      </w:r>
      <w:r w:rsidR="005C527E">
        <w:rPr>
          <w:rFonts w:asciiTheme="majorHAnsi" w:hAnsiTheme="majorHAnsi"/>
        </w:rPr>
        <w:t xml:space="preserve"> organizations </w:t>
      </w:r>
      <w:r w:rsidR="005C527E" w:rsidRPr="000B38F3">
        <w:rPr>
          <w:rFonts w:asciiTheme="majorHAnsi" w:hAnsiTheme="majorHAnsi"/>
          <w:highlight w:val="yellow"/>
        </w:rPr>
        <w:t>should</w:t>
      </w:r>
      <w:r w:rsidR="006B769A" w:rsidRPr="002F4D82">
        <w:rPr>
          <w:rFonts w:asciiTheme="majorHAnsi" w:hAnsiTheme="majorHAnsi"/>
        </w:rPr>
        <w:t xml:space="preserve"> educate stakeholders about cybersecurity risks and recommended precautions.</w:t>
      </w:r>
    </w:p>
    <w:p w14:paraId="0CE27E96" w14:textId="77777777" w:rsidR="00B82C51" w:rsidRPr="0016351D" w:rsidRDefault="006651BA" w:rsidP="00CF104F">
      <w:pPr>
        <w:pStyle w:val="Heading1"/>
      </w:pPr>
      <w:bookmarkStart w:id="4" w:name="_Toc425145057"/>
      <w:r w:rsidRPr="0016351D">
        <w:t>Background</w:t>
      </w:r>
      <w:bookmarkEnd w:id="4"/>
    </w:p>
    <w:p w14:paraId="681EFAC9" w14:textId="0867B92E" w:rsidR="00C54457" w:rsidRPr="0016351D" w:rsidRDefault="00880088" w:rsidP="00CF104F">
      <w:pPr>
        <w:pStyle w:val="Heading2"/>
      </w:pPr>
      <w:bookmarkStart w:id="5" w:name="_Toc425145058"/>
      <w:r>
        <w:t>Privacy and Security Workgroup</w:t>
      </w:r>
      <w:r w:rsidR="004F0C3C" w:rsidRPr="0016351D">
        <w:t xml:space="preserve"> </w:t>
      </w:r>
      <w:r w:rsidR="00870418" w:rsidRPr="0016351D">
        <w:t>Charge</w:t>
      </w:r>
      <w:bookmarkEnd w:id="5"/>
    </w:p>
    <w:p w14:paraId="0787D700" w14:textId="05B8DE0B" w:rsidR="00E61A4E" w:rsidRPr="0016351D" w:rsidRDefault="009077ED" w:rsidP="00B82C51">
      <w:pPr>
        <w:rPr>
          <w:rFonts w:asciiTheme="majorHAnsi" w:hAnsiTheme="majorHAnsi"/>
        </w:rPr>
      </w:pPr>
      <w:r w:rsidRPr="0016351D">
        <w:rPr>
          <w:rFonts w:asciiTheme="majorHAnsi" w:hAnsiTheme="majorHAnsi"/>
        </w:rPr>
        <w:t>In response to the White House</w:t>
      </w:r>
      <w:r w:rsidR="000040FA" w:rsidRPr="0016351D">
        <w:rPr>
          <w:rFonts w:asciiTheme="majorHAnsi" w:hAnsiTheme="majorHAnsi"/>
        </w:rPr>
        <w:t xml:space="preserve"> report on big data and other </w:t>
      </w:r>
      <w:r w:rsidR="008976A1" w:rsidRPr="0016351D">
        <w:rPr>
          <w:rFonts w:asciiTheme="majorHAnsi" w:hAnsiTheme="majorHAnsi"/>
        </w:rPr>
        <w:t>complementary</w:t>
      </w:r>
      <w:r w:rsidR="00996DEA" w:rsidRPr="0016351D">
        <w:rPr>
          <w:rFonts w:asciiTheme="majorHAnsi" w:hAnsiTheme="majorHAnsi"/>
        </w:rPr>
        <w:t xml:space="preserve"> </w:t>
      </w:r>
      <w:r w:rsidR="00EE5933" w:rsidRPr="0016351D">
        <w:rPr>
          <w:rFonts w:asciiTheme="majorHAnsi" w:hAnsiTheme="majorHAnsi"/>
        </w:rPr>
        <w:t xml:space="preserve">federal </w:t>
      </w:r>
      <w:r w:rsidR="00B533DC" w:rsidRPr="0016351D">
        <w:rPr>
          <w:rFonts w:asciiTheme="majorHAnsi" w:hAnsiTheme="majorHAnsi"/>
        </w:rPr>
        <w:t>initiatives</w:t>
      </w:r>
      <w:r w:rsidR="00996DEA" w:rsidRPr="0016351D">
        <w:rPr>
          <w:rFonts w:asciiTheme="majorHAnsi" w:hAnsiTheme="majorHAnsi"/>
        </w:rPr>
        <w:t>,</w:t>
      </w:r>
      <w:r w:rsidR="00814EEE" w:rsidRPr="0016351D">
        <w:rPr>
          <w:rStyle w:val="FootnoteReference"/>
          <w:rFonts w:asciiTheme="majorHAnsi" w:hAnsiTheme="majorHAnsi"/>
        </w:rPr>
        <w:footnoteReference w:id="13"/>
      </w:r>
      <w:r w:rsidR="00996DEA" w:rsidRPr="0016351D">
        <w:rPr>
          <w:rFonts w:asciiTheme="majorHAnsi" w:hAnsiTheme="majorHAnsi"/>
        </w:rPr>
        <w:t xml:space="preserve"> </w:t>
      </w:r>
      <w:r w:rsidR="0027122A" w:rsidRPr="0016351D">
        <w:rPr>
          <w:rFonts w:asciiTheme="majorHAnsi" w:hAnsiTheme="majorHAnsi"/>
        </w:rPr>
        <w:t xml:space="preserve">the PSWG </w:t>
      </w:r>
      <w:r w:rsidR="000040FA" w:rsidRPr="0016351D">
        <w:rPr>
          <w:rFonts w:asciiTheme="majorHAnsi" w:hAnsiTheme="majorHAnsi"/>
        </w:rPr>
        <w:t xml:space="preserve">was charged </w:t>
      </w:r>
      <w:r w:rsidR="0027122A" w:rsidRPr="0016351D">
        <w:rPr>
          <w:rFonts w:asciiTheme="majorHAnsi" w:hAnsiTheme="majorHAnsi"/>
        </w:rPr>
        <w:t xml:space="preserve">to </w:t>
      </w:r>
      <w:r w:rsidR="00E709FE" w:rsidRPr="0016351D">
        <w:rPr>
          <w:rFonts w:asciiTheme="majorHAnsi" w:hAnsiTheme="majorHAnsi"/>
        </w:rPr>
        <w:t xml:space="preserve">investigate </w:t>
      </w:r>
      <w:r w:rsidR="00996DEA" w:rsidRPr="0016351D">
        <w:rPr>
          <w:rFonts w:asciiTheme="majorHAnsi" w:hAnsiTheme="majorHAnsi"/>
        </w:rPr>
        <w:t xml:space="preserve">privacy and security issues related to </w:t>
      </w:r>
      <w:r w:rsidR="004610FA" w:rsidRPr="0016351D">
        <w:rPr>
          <w:rFonts w:asciiTheme="majorHAnsi" w:hAnsiTheme="majorHAnsi"/>
        </w:rPr>
        <w:t>big data</w:t>
      </w:r>
      <w:r w:rsidR="00996DEA" w:rsidRPr="0016351D">
        <w:rPr>
          <w:rFonts w:asciiTheme="majorHAnsi" w:hAnsiTheme="majorHAnsi"/>
        </w:rPr>
        <w:t xml:space="preserve"> </w:t>
      </w:r>
      <w:r w:rsidR="004E0580" w:rsidRPr="0016351D">
        <w:rPr>
          <w:rFonts w:asciiTheme="majorHAnsi" w:hAnsiTheme="majorHAnsi"/>
        </w:rPr>
        <w:t>in the</w:t>
      </w:r>
      <w:r w:rsidR="00996DEA" w:rsidRPr="0016351D">
        <w:rPr>
          <w:rFonts w:asciiTheme="majorHAnsi" w:hAnsiTheme="majorHAnsi"/>
        </w:rPr>
        <w:t xml:space="preserve"> healthcare </w:t>
      </w:r>
      <w:r w:rsidR="00916F28" w:rsidRPr="0016351D">
        <w:rPr>
          <w:rFonts w:asciiTheme="majorHAnsi" w:hAnsiTheme="majorHAnsi"/>
        </w:rPr>
        <w:t>space</w:t>
      </w:r>
      <w:r w:rsidR="00301C90" w:rsidRPr="0016351D">
        <w:rPr>
          <w:rFonts w:asciiTheme="majorHAnsi" w:hAnsiTheme="majorHAnsi"/>
        </w:rPr>
        <w:t xml:space="preserve"> and </w:t>
      </w:r>
      <w:r w:rsidR="002B2A3F" w:rsidRPr="0016351D">
        <w:rPr>
          <w:rFonts w:asciiTheme="majorHAnsi" w:hAnsiTheme="majorHAnsi"/>
        </w:rPr>
        <w:t xml:space="preserve">recommend actions to </w:t>
      </w:r>
      <w:r w:rsidR="00301C90" w:rsidRPr="0016351D">
        <w:rPr>
          <w:rFonts w:asciiTheme="majorHAnsi" w:hAnsiTheme="majorHAnsi"/>
        </w:rPr>
        <w:t xml:space="preserve">address critical </w:t>
      </w:r>
      <w:r w:rsidR="00487FD6" w:rsidRPr="0016351D">
        <w:rPr>
          <w:rFonts w:asciiTheme="majorHAnsi" w:hAnsiTheme="majorHAnsi"/>
        </w:rPr>
        <w:t>challenges</w:t>
      </w:r>
      <w:r w:rsidR="005F2AF0">
        <w:rPr>
          <w:rFonts w:asciiTheme="majorHAnsi" w:hAnsiTheme="majorHAnsi"/>
        </w:rPr>
        <w:t xml:space="preserve">.  </w:t>
      </w:r>
      <w:r w:rsidR="00FC15F6" w:rsidRPr="0016351D">
        <w:rPr>
          <w:rFonts w:asciiTheme="majorHAnsi" w:hAnsiTheme="majorHAnsi"/>
        </w:rPr>
        <w:t xml:space="preserve">This section briefly summarizes </w:t>
      </w:r>
      <w:r w:rsidR="00487FD6" w:rsidRPr="0016351D">
        <w:rPr>
          <w:rFonts w:asciiTheme="majorHAnsi" w:hAnsiTheme="majorHAnsi"/>
        </w:rPr>
        <w:t>the reports</w:t>
      </w:r>
      <w:r w:rsidR="00FC15F6" w:rsidRPr="0016351D">
        <w:rPr>
          <w:rFonts w:asciiTheme="majorHAnsi" w:hAnsiTheme="majorHAnsi"/>
        </w:rPr>
        <w:t xml:space="preserve"> that </w:t>
      </w:r>
      <w:r w:rsidR="00B257B7" w:rsidRPr="0016351D">
        <w:rPr>
          <w:rFonts w:asciiTheme="majorHAnsi" w:hAnsiTheme="majorHAnsi"/>
        </w:rPr>
        <w:t>shaped</w:t>
      </w:r>
      <w:r w:rsidR="00FC15F6" w:rsidRPr="0016351D">
        <w:rPr>
          <w:rFonts w:asciiTheme="majorHAnsi" w:hAnsiTheme="majorHAnsi"/>
        </w:rPr>
        <w:t xml:space="preserve"> the PSWG</w:t>
      </w:r>
      <w:r w:rsidR="00B257B7" w:rsidRPr="0016351D">
        <w:rPr>
          <w:rFonts w:asciiTheme="majorHAnsi" w:hAnsiTheme="majorHAnsi"/>
        </w:rPr>
        <w:t xml:space="preserve">’s </w:t>
      </w:r>
      <w:r w:rsidR="00FC15F6" w:rsidRPr="0016351D">
        <w:rPr>
          <w:rFonts w:asciiTheme="majorHAnsi" w:hAnsiTheme="majorHAnsi"/>
        </w:rPr>
        <w:t>charge</w:t>
      </w:r>
      <w:r w:rsidR="005F2AF0">
        <w:rPr>
          <w:rFonts w:asciiTheme="majorHAnsi" w:hAnsiTheme="majorHAnsi"/>
        </w:rPr>
        <w:t xml:space="preserve">.  </w:t>
      </w:r>
    </w:p>
    <w:p w14:paraId="014FD6A6" w14:textId="77777777" w:rsidR="00870418" w:rsidRPr="0016351D" w:rsidRDefault="00870418" w:rsidP="004F0C3C">
      <w:pPr>
        <w:pStyle w:val="Heading3"/>
      </w:pPr>
      <w:bookmarkStart w:id="6" w:name="_Toc425145059"/>
      <w:r w:rsidRPr="0016351D">
        <w:t>White House Report on Big Data and</w:t>
      </w:r>
      <w:r w:rsidR="00F37110" w:rsidRPr="0016351D">
        <w:t xml:space="preserve"> the President’s Council on Advisors for Science and Technology </w:t>
      </w:r>
      <w:r w:rsidRPr="0016351D">
        <w:t>Report</w:t>
      </w:r>
      <w:bookmarkEnd w:id="6"/>
    </w:p>
    <w:p w14:paraId="6EEA41E5" w14:textId="0A2C729E" w:rsidR="00A62FE9" w:rsidRPr="0016351D" w:rsidRDefault="00814EEE" w:rsidP="000B0989">
      <w:pPr>
        <w:keepNext/>
        <w:rPr>
          <w:rFonts w:asciiTheme="majorHAnsi" w:hAnsiTheme="majorHAnsi"/>
        </w:rPr>
      </w:pPr>
      <w:r>
        <w:rPr>
          <w:rFonts w:asciiTheme="majorHAnsi" w:hAnsiTheme="majorHAnsi"/>
        </w:rPr>
        <w:t xml:space="preserve">In May </w:t>
      </w:r>
      <w:r w:rsidR="00BC3689" w:rsidRPr="0016351D">
        <w:rPr>
          <w:rFonts w:asciiTheme="majorHAnsi" w:hAnsiTheme="majorHAnsi"/>
        </w:rPr>
        <w:t xml:space="preserve">2014, the White House released a report on big data that </w:t>
      </w:r>
      <w:r w:rsidR="00A71AD6" w:rsidRPr="0016351D">
        <w:rPr>
          <w:rFonts w:asciiTheme="majorHAnsi" w:hAnsiTheme="majorHAnsi"/>
        </w:rPr>
        <w:t>highlights</w:t>
      </w:r>
      <w:r w:rsidR="00BC3689" w:rsidRPr="0016351D">
        <w:rPr>
          <w:rFonts w:asciiTheme="majorHAnsi" w:hAnsiTheme="majorHAnsi"/>
        </w:rPr>
        <w:t xml:space="preserve"> the pressure on traditional privacy-protective measures</w:t>
      </w:r>
      <w:r w:rsidR="00373385" w:rsidRPr="0016351D">
        <w:rPr>
          <w:rFonts w:asciiTheme="majorHAnsi" w:hAnsiTheme="majorHAnsi"/>
        </w:rPr>
        <w:t xml:space="preserve"> (i.e., </w:t>
      </w:r>
      <w:r w:rsidR="0013204B">
        <w:rPr>
          <w:rFonts w:asciiTheme="majorHAnsi" w:hAnsiTheme="majorHAnsi"/>
        </w:rPr>
        <w:t>the Fair Information Practice Principles,</w:t>
      </w:r>
      <w:r w:rsidR="006D6650" w:rsidRPr="00561B66">
        <w:rPr>
          <w:rStyle w:val="FootnoteReference"/>
          <w:rFonts w:asciiTheme="majorHAnsi" w:hAnsiTheme="majorHAnsi"/>
        </w:rPr>
        <w:footnoteReference w:id="14"/>
      </w:r>
      <w:r w:rsidR="006D6650" w:rsidRPr="00561B66">
        <w:rPr>
          <w:rFonts w:asciiTheme="majorHAnsi" w:hAnsiTheme="majorHAnsi"/>
        </w:rPr>
        <w:t xml:space="preserve"> </w:t>
      </w:r>
      <w:r w:rsidR="0013204B">
        <w:rPr>
          <w:rFonts w:asciiTheme="majorHAnsi" w:hAnsiTheme="majorHAnsi"/>
        </w:rPr>
        <w:t xml:space="preserve">or </w:t>
      </w:r>
      <w:r w:rsidR="00373385" w:rsidRPr="0016351D">
        <w:rPr>
          <w:rFonts w:asciiTheme="majorHAnsi" w:hAnsiTheme="majorHAnsi"/>
        </w:rPr>
        <w:t>FIPPs)</w:t>
      </w:r>
      <w:r w:rsidR="00A71AD6" w:rsidRPr="0016351D">
        <w:rPr>
          <w:rFonts w:asciiTheme="majorHAnsi" w:hAnsiTheme="majorHAnsi"/>
        </w:rPr>
        <w:t>,</w:t>
      </w:r>
      <w:r w:rsidR="00BC3689" w:rsidRPr="0016351D">
        <w:rPr>
          <w:rFonts w:asciiTheme="majorHAnsi" w:hAnsiTheme="majorHAnsi"/>
        </w:rPr>
        <w:t xml:space="preserve"> such as de-identification</w:t>
      </w:r>
      <w:r w:rsidR="001F5D6C" w:rsidRPr="0016351D">
        <w:rPr>
          <w:rFonts w:asciiTheme="majorHAnsi" w:hAnsiTheme="majorHAnsi"/>
        </w:rPr>
        <w:t>,</w:t>
      </w:r>
      <w:r w:rsidR="00BC3689" w:rsidRPr="0016351D">
        <w:rPr>
          <w:rFonts w:asciiTheme="majorHAnsi" w:hAnsiTheme="majorHAnsi"/>
        </w:rPr>
        <w:t xml:space="preserve"> notice and consent.</w:t>
      </w:r>
      <w:r w:rsidR="00BC3689" w:rsidRPr="0016351D">
        <w:rPr>
          <w:rStyle w:val="FootnoteReference"/>
          <w:rFonts w:asciiTheme="majorHAnsi" w:hAnsiTheme="majorHAnsi"/>
        </w:rPr>
        <w:footnoteReference w:id="15"/>
      </w:r>
      <w:r w:rsidR="000B0989" w:rsidRPr="0016351D">
        <w:rPr>
          <w:rFonts w:asciiTheme="majorHAnsi" w:hAnsiTheme="majorHAnsi"/>
        </w:rPr>
        <w:t xml:space="preserve">  </w:t>
      </w:r>
      <w:r w:rsidR="001F5D6C" w:rsidRPr="0016351D">
        <w:rPr>
          <w:rFonts w:asciiTheme="majorHAnsi" w:hAnsiTheme="majorHAnsi"/>
        </w:rPr>
        <w:t>The</w:t>
      </w:r>
      <w:r w:rsidR="00023B8B" w:rsidRPr="0016351D">
        <w:rPr>
          <w:rFonts w:asciiTheme="majorHAnsi" w:hAnsiTheme="majorHAnsi"/>
        </w:rPr>
        <w:t xml:space="preserve"> report </w:t>
      </w:r>
      <w:r w:rsidR="007D04ED" w:rsidRPr="0016351D">
        <w:rPr>
          <w:rFonts w:asciiTheme="majorHAnsi" w:hAnsiTheme="majorHAnsi"/>
        </w:rPr>
        <w:t>recommends</w:t>
      </w:r>
      <w:r w:rsidR="00A62FE9" w:rsidRPr="0016351D">
        <w:rPr>
          <w:rFonts w:asciiTheme="majorHAnsi" w:hAnsiTheme="majorHAnsi"/>
        </w:rPr>
        <w:t xml:space="preserve"> that government “lead a consultative process to access how </w:t>
      </w:r>
      <w:r w:rsidR="00381387" w:rsidRPr="0016351D">
        <w:rPr>
          <w:rFonts w:asciiTheme="majorHAnsi" w:hAnsiTheme="majorHAnsi"/>
        </w:rPr>
        <w:t>HIPAA</w:t>
      </w:r>
      <w:r w:rsidR="00A62FE9" w:rsidRPr="0016351D">
        <w:rPr>
          <w:rFonts w:asciiTheme="majorHAnsi" w:hAnsiTheme="majorHAnsi"/>
        </w:rPr>
        <w:t xml:space="preserve"> and other relevant federal laws and regulations can best accommodate the advances in medical science and cost reduction in health care delivery enabled by big data.”</w:t>
      </w:r>
      <w:r w:rsidR="00A62FE9" w:rsidRPr="0016351D">
        <w:rPr>
          <w:rStyle w:val="FootnoteReference"/>
          <w:rFonts w:asciiTheme="majorHAnsi" w:hAnsiTheme="majorHAnsi"/>
        </w:rPr>
        <w:footnoteReference w:id="16"/>
      </w:r>
      <w:r w:rsidR="00A62FE9" w:rsidRPr="0016351D">
        <w:rPr>
          <w:rFonts w:asciiTheme="majorHAnsi" w:hAnsiTheme="majorHAnsi"/>
        </w:rPr>
        <w:t xml:space="preserve"> </w:t>
      </w:r>
      <w:r w:rsidR="005F2AF0">
        <w:rPr>
          <w:rFonts w:asciiTheme="majorHAnsi" w:hAnsiTheme="majorHAnsi"/>
        </w:rPr>
        <w:t xml:space="preserve"> </w:t>
      </w:r>
      <w:r w:rsidR="003D3154" w:rsidRPr="0016351D">
        <w:rPr>
          <w:rFonts w:asciiTheme="majorHAnsi" w:hAnsiTheme="majorHAnsi"/>
        </w:rPr>
        <w:t>The</w:t>
      </w:r>
      <w:r w:rsidR="007D04ED" w:rsidRPr="0016351D">
        <w:rPr>
          <w:rFonts w:asciiTheme="majorHAnsi" w:hAnsiTheme="majorHAnsi"/>
        </w:rPr>
        <w:t xml:space="preserve"> report acknowledges</w:t>
      </w:r>
      <w:r w:rsidR="00A62FE9" w:rsidRPr="0016351D">
        <w:rPr>
          <w:rFonts w:asciiTheme="majorHAnsi" w:hAnsiTheme="majorHAnsi"/>
        </w:rPr>
        <w:t xml:space="preserve"> the complexity of the current federal and </w:t>
      </w:r>
      <w:r w:rsidR="00A62FE9" w:rsidRPr="0016351D">
        <w:rPr>
          <w:rFonts w:asciiTheme="majorHAnsi" w:hAnsiTheme="majorHAnsi"/>
        </w:rPr>
        <w:lastRenderedPageBreak/>
        <w:t xml:space="preserve">state legal landscape regarding patient </w:t>
      </w:r>
      <w:r w:rsidR="00A13A3F">
        <w:rPr>
          <w:rFonts w:asciiTheme="majorHAnsi" w:hAnsiTheme="majorHAnsi"/>
        </w:rPr>
        <w:t>information</w:t>
      </w:r>
      <w:r w:rsidR="00A13A3F" w:rsidRPr="0016351D">
        <w:rPr>
          <w:rFonts w:asciiTheme="majorHAnsi" w:hAnsiTheme="majorHAnsi"/>
        </w:rPr>
        <w:t xml:space="preserve"> </w:t>
      </w:r>
      <w:r w:rsidR="00A62FE9" w:rsidRPr="0016351D">
        <w:rPr>
          <w:rFonts w:asciiTheme="majorHAnsi" w:hAnsiTheme="majorHAnsi"/>
        </w:rPr>
        <w:t>and privacy, and suggested the “need to carve out special data use authorities for the health care industry if it is to realize the potential health gains and cost reductions that could come from big data analytics.”</w:t>
      </w:r>
      <w:r w:rsidR="00A62FE9" w:rsidRPr="0016351D">
        <w:rPr>
          <w:rStyle w:val="FootnoteReference"/>
          <w:rFonts w:asciiTheme="majorHAnsi" w:hAnsiTheme="majorHAnsi"/>
        </w:rPr>
        <w:footnoteReference w:id="17"/>
      </w:r>
      <w:r w:rsidR="00A62FE9" w:rsidRPr="0016351D">
        <w:rPr>
          <w:rFonts w:asciiTheme="majorHAnsi" w:hAnsiTheme="majorHAnsi"/>
        </w:rPr>
        <w:t xml:space="preserve"> </w:t>
      </w:r>
      <w:r w:rsidR="005F2AF0">
        <w:rPr>
          <w:rFonts w:asciiTheme="majorHAnsi" w:hAnsiTheme="majorHAnsi"/>
        </w:rPr>
        <w:t xml:space="preserve"> </w:t>
      </w:r>
      <w:r w:rsidR="000B0989" w:rsidRPr="0016351D">
        <w:rPr>
          <w:rFonts w:asciiTheme="majorHAnsi" w:hAnsiTheme="majorHAnsi"/>
        </w:rPr>
        <w:t>Finally, t</w:t>
      </w:r>
      <w:r w:rsidR="00A62FE9" w:rsidRPr="0016351D">
        <w:rPr>
          <w:rFonts w:asciiTheme="majorHAnsi" w:hAnsiTheme="majorHAnsi"/>
        </w:rPr>
        <w:t>he report highlight</w:t>
      </w:r>
      <w:r w:rsidR="007D04ED" w:rsidRPr="0016351D">
        <w:rPr>
          <w:rFonts w:asciiTheme="majorHAnsi" w:hAnsiTheme="majorHAnsi"/>
        </w:rPr>
        <w:t xml:space="preserve">s </w:t>
      </w:r>
      <w:r w:rsidR="00A62FE9" w:rsidRPr="0016351D">
        <w:rPr>
          <w:rFonts w:asciiTheme="majorHAnsi" w:hAnsiTheme="majorHAnsi"/>
        </w:rPr>
        <w:t xml:space="preserve">that </w:t>
      </w:r>
      <w:r w:rsidR="00AC4801" w:rsidRPr="0016351D">
        <w:rPr>
          <w:rFonts w:asciiTheme="majorHAnsi" w:hAnsiTheme="majorHAnsi"/>
        </w:rPr>
        <w:t xml:space="preserve">neither HIPAA nor other privacy laws regulate many organizations that collect health-related </w:t>
      </w:r>
      <w:r w:rsidR="00A13A3F">
        <w:rPr>
          <w:rFonts w:asciiTheme="majorHAnsi" w:hAnsiTheme="majorHAnsi"/>
        </w:rPr>
        <w:t>information</w:t>
      </w:r>
      <w:r w:rsidR="00A62FE9" w:rsidRPr="0016351D">
        <w:rPr>
          <w:rFonts w:asciiTheme="majorHAnsi" w:hAnsiTheme="majorHAnsi"/>
        </w:rPr>
        <w:t xml:space="preserve">, and that consumer privacy </w:t>
      </w:r>
      <w:r w:rsidR="00010273" w:rsidRPr="0016351D">
        <w:rPr>
          <w:rFonts w:asciiTheme="majorHAnsi" w:hAnsiTheme="majorHAnsi"/>
        </w:rPr>
        <w:t>expectations</w:t>
      </w:r>
      <w:r w:rsidR="00A62FE9" w:rsidRPr="0016351D">
        <w:rPr>
          <w:rFonts w:asciiTheme="majorHAnsi" w:hAnsiTheme="majorHAnsi"/>
        </w:rPr>
        <w:t xml:space="preserve"> may not be met in the current ecosystem</w:t>
      </w:r>
      <w:r w:rsidR="00A71AD6" w:rsidRPr="0016351D">
        <w:rPr>
          <w:rFonts w:asciiTheme="majorHAnsi" w:hAnsiTheme="majorHAnsi"/>
        </w:rPr>
        <w:t>.</w:t>
      </w:r>
    </w:p>
    <w:p w14:paraId="2BEED2BF" w14:textId="77777777" w:rsidR="00703148" w:rsidRPr="0016351D" w:rsidRDefault="00703148" w:rsidP="00B82C51">
      <w:pPr>
        <w:rPr>
          <w:rFonts w:asciiTheme="majorHAnsi" w:hAnsiTheme="majorHAnsi"/>
        </w:rPr>
      </w:pPr>
    </w:p>
    <w:p w14:paraId="0417C5A1" w14:textId="2DC2892E" w:rsidR="005B0475" w:rsidRPr="0016351D" w:rsidRDefault="00880D4B" w:rsidP="00B82C51">
      <w:pPr>
        <w:rPr>
          <w:rFonts w:asciiTheme="majorHAnsi" w:hAnsiTheme="majorHAnsi"/>
        </w:rPr>
      </w:pPr>
      <w:r w:rsidRPr="0016351D">
        <w:rPr>
          <w:rFonts w:asciiTheme="majorHAnsi" w:hAnsiTheme="majorHAnsi"/>
        </w:rPr>
        <w:t xml:space="preserve">The White House report is complemented by </w:t>
      </w:r>
      <w:r w:rsidR="007D04ED" w:rsidRPr="0016351D">
        <w:rPr>
          <w:rFonts w:asciiTheme="majorHAnsi" w:hAnsiTheme="majorHAnsi"/>
        </w:rPr>
        <w:t>t</w:t>
      </w:r>
      <w:r w:rsidRPr="0016351D">
        <w:rPr>
          <w:rFonts w:asciiTheme="majorHAnsi" w:hAnsiTheme="majorHAnsi"/>
        </w:rPr>
        <w:t xml:space="preserve">he </w:t>
      </w:r>
      <w:r w:rsidR="00BC3689" w:rsidRPr="0016351D">
        <w:rPr>
          <w:rFonts w:asciiTheme="majorHAnsi" w:hAnsiTheme="majorHAnsi"/>
        </w:rPr>
        <w:t>President’s Council of Advisors for Science &amp; Technology (PCAST)</w:t>
      </w:r>
      <w:r w:rsidRPr="0016351D">
        <w:rPr>
          <w:rFonts w:asciiTheme="majorHAnsi" w:hAnsiTheme="majorHAnsi"/>
        </w:rPr>
        <w:t xml:space="preserve"> </w:t>
      </w:r>
      <w:r w:rsidR="00703148" w:rsidRPr="0016351D">
        <w:rPr>
          <w:rFonts w:asciiTheme="majorHAnsi" w:hAnsiTheme="majorHAnsi"/>
        </w:rPr>
        <w:t>report</w:t>
      </w:r>
      <w:r w:rsidR="006F6F85">
        <w:rPr>
          <w:rFonts w:asciiTheme="majorHAnsi" w:hAnsiTheme="majorHAnsi"/>
        </w:rPr>
        <w:t xml:space="preserve"> to the President</w:t>
      </w:r>
      <w:r w:rsidR="008A56CE" w:rsidRPr="0016351D">
        <w:rPr>
          <w:rFonts w:asciiTheme="majorHAnsi" w:hAnsiTheme="majorHAnsi"/>
        </w:rPr>
        <w:t>,</w:t>
      </w:r>
      <w:r w:rsidR="00814EEE">
        <w:rPr>
          <w:rStyle w:val="FootnoteReference"/>
          <w:rFonts w:asciiTheme="majorHAnsi" w:hAnsiTheme="majorHAnsi"/>
        </w:rPr>
        <w:footnoteReference w:id="18"/>
      </w:r>
      <w:r w:rsidR="006F6F85">
        <w:rPr>
          <w:rFonts w:asciiTheme="majorHAnsi" w:hAnsiTheme="majorHAnsi"/>
        </w:rPr>
        <w:t xml:space="preserve"> released on the same day,</w:t>
      </w:r>
      <w:r w:rsidR="00703148" w:rsidRPr="0016351D">
        <w:rPr>
          <w:rFonts w:asciiTheme="majorHAnsi" w:hAnsiTheme="majorHAnsi"/>
        </w:rPr>
        <w:t xml:space="preserve"> </w:t>
      </w:r>
      <w:r w:rsidR="00984A93" w:rsidRPr="0016351D">
        <w:rPr>
          <w:rFonts w:asciiTheme="majorHAnsi" w:hAnsiTheme="majorHAnsi"/>
        </w:rPr>
        <w:t xml:space="preserve">which </w:t>
      </w:r>
      <w:r w:rsidR="006F6F85">
        <w:rPr>
          <w:rFonts w:asciiTheme="majorHAnsi" w:hAnsiTheme="majorHAnsi"/>
        </w:rPr>
        <w:t>reinforces</w:t>
      </w:r>
      <w:r w:rsidR="00703148" w:rsidRPr="0016351D">
        <w:rPr>
          <w:rFonts w:asciiTheme="majorHAnsi" w:hAnsiTheme="majorHAnsi"/>
        </w:rPr>
        <w:t xml:space="preserve"> the pressure big data places on </w:t>
      </w:r>
      <w:r w:rsidR="00402E3E" w:rsidRPr="0016351D">
        <w:rPr>
          <w:rFonts w:asciiTheme="majorHAnsi" w:hAnsiTheme="majorHAnsi"/>
        </w:rPr>
        <w:t xml:space="preserve">the </w:t>
      </w:r>
      <w:r w:rsidR="00703148" w:rsidRPr="0016351D">
        <w:rPr>
          <w:rFonts w:asciiTheme="majorHAnsi" w:hAnsiTheme="majorHAnsi"/>
        </w:rPr>
        <w:t>F</w:t>
      </w:r>
      <w:r w:rsidR="00402E3E" w:rsidRPr="0016351D">
        <w:rPr>
          <w:rFonts w:asciiTheme="majorHAnsi" w:hAnsiTheme="majorHAnsi"/>
        </w:rPr>
        <w:t>IPPs</w:t>
      </w:r>
      <w:r w:rsidR="005F2AF0">
        <w:rPr>
          <w:rFonts w:asciiTheme="majorHAnsi" w:hAnsiTheme="majorHAnsi"/>
        </w:rPr>
        <w:t xml:space="preserve">.  </w:t>
      </w:r>
    </w:p>
    <w:p w14:paraId="1F05559B" w14:textId="77777777" w:rsidR="00751E92" w:rsidRPr="0016351D" w:rsidRDefault="00751E92" w:rsidP="004F0C3C">
      <w:pPr>
        <w:pStyle w:val="Heading3"/>
      </w:pPr>
      <w:bookmarkStart w:id="7" w:name="_Toc425145060"/>
      <w:r w:rsidRPr="0016351D">
        <w:t>White House Open Government Partnership</w:t>
      </w:r>
      <w:bookmarkEnd w:id="7"/>
    </w:p>
    <w:p w14:paraId="2AB1E3EA" w14:textId="299A9C0F" w:rsidR="004D4786" w:rsidRDefault="00E40E60" w:rsidP="00B82C51">
      <w:pPr>
        <w:rPr>
          <w:rStyle w:val="CommentReference"/>
          <w:rFonts w:asciiTheme="majorHAnsi" w:hAnsiTheme="majorHAnsi"/>
        </w:rPr>
      </w:pPr>
      <w:proofErr w:type="gramStart"/>
      <w:r>
        <w:rPr>
          <w:rFonts w:asciiTheme="majorHAnsi" w:hAnsiTheme="majorHAnsi"/>
        </w:rPr>
        <w:t>In September 2014, as part of the U.S</w:t>
      </w:r>
      <w:r w:rsidR="005F2AF0">
        <w:rPr>
          <w:rFonts w:asciiTheme="majorHAnsi" w:hAnsiTheme="majorHAnsi"/>
        </w:rPr>
        <w:t>.</w:t>
      </w:r>
      <w:proofErr w:type="gramEnd"/>
      <w:r w:rsidR="005F2AF0">
        <w:rPr>
          <w:rFonts w:asciiTheme="majorHAnsi" w:hAnsiTheme="majorHAnsi"/>
        </w:rPr>
        <w:t xml:space="preserve">  </w:t>
      </w:r>
      <w:r>
        <w:rPr>
          <w:rFonts w:asciiTheme="majorHAnsi" w:hAnsiTheme="majorHAnsi"/>
        </w:rPr>
        <w:t>Open Government Commitments</w:t>
      </w:r>
      <w:r w:rsidR="00540216">
        <w:rPr>
          <w:rFonts w:asciiTheme="majorHAnsi" w:hAnsiTheme="majorHAnsi"/>
        </w:rPr>
        <w:t xml:space="preserve"> </w:t>
      </w:r>
      <w:r w:rsidR="00420493">
        <w:rPr>
          <w:rFonts w:asciiTheme="majorHAnsi" w:hAnsiTheme="majorHAnsi"/>
        </w:rPr>
        <w:t xml:space="preserve">through the </w:t>
      </w:r>
      <w:r w:rsidR="00420493" w:rsidRPr="0016351D">
        <w:rPr>
          <w:rFonts w:asciiTheme="majorHAnsi" w:hAnsiTheme="majorHAnsi"/>
        </w:rPr>
        <w:t>Open Government Partnership</w:t>
      </w:r>
      <w:r w:rsidR="00C017F9">
        <w:rPr>
          <w:rFonts w:asciiTheme="majorHAnsi" w:hAnsiTheme="majorHAnsi"/>
        </w:rPr>
        <w:t xml:space="preserve"> (OGP)</w:t>
      </w:r>
      <w:r w:rsidR="00420493">
        <w:rPr>
          <w:rFonts w:asciiTheme="majorHAnsi" w:hAnsiTheme="majorHAnsi"/>
        </w:rPr>
        <w:t>,</w:t>
      </w:r>
      <w:r w:rsidR="00420493">
        <w:rPr>
          <w:rStyle w:val="FootnoteReference"/>
          <w:rFonts w:asciiTheme="majorHAnsi" w:hAnsiTheme="majorHAnsi"/>
        </w:rPr>
        <w:footnoteReference w:id="19"/>
      </w:r>
      <w:r w:rsidR="00420493">
        <w:rPr>
          <w:rFonts w:asciiTheme="majorHAnsi" w:hAnsiTheme="majorHAnsi"/>
        </w:rPr>
        <w:t xml:space="preserve"> </w:t>
      </w:r>
      <w:r>
        <w:rPr>
          <w:rFonts w:asciiTheme="majorHAnsi" w:hAnsiTheme="majorHAnsi"/>
        </w:rPr>
        <w:t>the White House encourag</w:t>
      </w:r>
      <w:r w:rsidR="00C017F9">
        <w:rPr>
          <w:rFonts w:asciiTheme="majorHAnsi" w:hAnsiTheme="majorHAnsi"/>
        </w:rPr>
        <w:t>es</w:t>
      </w:r>
      <w:r>
        <w:rPr>
          <w:rFonts w:asciiTheme="majorHAnsi" w:hAnsiTheme="majorHAnsi"/>
        </w:rPr>
        <w:t xml:space="preserve"> </w:t>
      </w:r>
      <w:r w:rsidRPr="0016351D">
        <w:rPr>
          <w:rFonts w:asciiTheme="majorHAnsi" w:hAnsiTheme="majorHAnsi"/>
        </w:rPr>
        <w:t>the use of big data to support greater openness and</w:t>
      </w:r>
      <w:r>
        <w:rPr>
          <w:rFonts w:asciiTheme="majorHAnsi" w:hAnsiTheme="majorHAnsi"/>
        </w:rPr>
        <w:t xml:space="preserve"> accountability, and highlight</w:t>
      </w:r>
      <w:r w:rsidR="00C017F9">
        <w:rPr>
          <w:rFonts w:asciiTheme="majorHAnsi" w:hAnsiTheme="majorHAnsi"/>
        </w:rPr>
        <w:t>s</w:t>
      </w:r>
      <w:r>
        <w:rPr>
          <w:rFonts w:asciiTheme="majorHAnsi" w:hAnsiTheme="majorHAnsi"/>
        </w:rPr>
        <w:t xml:space="preserve"> </w:t>
      </w:r>
      <w:r w:rsidRPr="0016351D">
        <w:rPr>
          <w:rFonts w:asciiTheme="majorHAnsi" w:hAnsiTheme="majorHAnsi"/>
        </w:rPr>
        <w:t>the need to “ensure privacy protection fo</w:t>
      </w:r>
      <w:r>
        <w:rPr>
          <w:rFonts w:asciiTheme="majorHAnsi" w:hAnsiTheme="majorHAnsi"/>
        </w:rPr>
        <w:t>r big data analysis in health</w:t>
      </w:r>
      <w:r w:rsidR="00420493">
        <w:rPr>
          <w:rFonts w:asciiTheme="majorHAnsi" w:hAnsiTheme="majorHAnsi"/>
        </w:rPr>
        <w:t>.</w:t>
      </w:r>
      <w:r w:rsidRPr="0016351D">
        <w:rPr>
          <w:rFonts w:asciiTheme="majorHAnsi" w:hAnsiTheme="majorHAnsi"/>
        </w:rPr>
        <w:t>”</w:t>
      </w:r>
      <w:r w:rsidRPr="0016351D">
        <w:rPr>
          <w:rStyle w:val="FootnoteReference"/>
          <w:rFonts w:asciiTheme="majorHAnsi" w:hAnsiTheme="majorHAnsi"/>
        </w:rPr>
        <w:footnoteReference w:id="20"/>
      </w:r>
      <w:r w:rsidR="005F2AF0">
        <w:rPr>
          <w:rFonts w:asciiTheme="majorHAnsi" w:hAnsiTheme="majorHAnsi"/>
        </w:rPr>
        <w:t xml:space="preserve"> </w:t>
      </w:r>
      <w:r w:rsidR="00420493">
        <w:rPr>
          <w:rFonts w:asciiTheme="majorHAnsi" w:hAnsiTheme="majorHAnsi"/>
        </w:rPr>
        <w:t xml:space="preserve"> </w:t>
      </w:r>
      <w:r w:rsidR="00593B31" w:rsidRPr="0016351D">
        <w:rPr>
          <w:rFonts w:asciiTheme="majorHAnsi" w:hAnsiTheme="majorHAnsi"/>
        </w:rPr>
        <w:t xml:space="preserve">Specifically, </w:t>
      </w:r>
      <w:r w:rsidR="00C017F9">
        <w:rPr>
          <w:rFonts w:asciiTheme="majorHAnsi" w:hAnsiTheme="majorHAnsi"/>
        </w:rPr>
        <w:t>the White House</w:t>
      </w:r>
      <w:r w:rsidR="00690DBC" w:rsidRPr="0016351D">
        <w:rPr>
          <w:rFonts w:asciiTheme="majorHAnsi" w:hAnsiTheme="majorHAnsi"/>
        </w:rPr>
        <w:t xml:space="preserve"> recommends that </w:t>
      </w:r>
      <w:r w:rsidR="00485838" w:rsidRPr="0016351D">
        <w:rPr>
          <w:rFonts w:asciiTheme="majorHAnsi" w:hAnsiTheme="majorHAnsi"/>
        </w:rPr>
        <w:t>t</w:t>
      </w:r>
      <w:r w:rsidR="00F05018" w:rsidRPr="0016351D">
        <w:rPr>
          <w:rFonts w:asciiTheme="majorHAnsi" w:hAnsiTheme="majorHAnsi"/>
        </w:rPr>
        <w:t xml:space="preserve">o </w:t>
      </w:r>
      <w:r w:rsidR="00690DBC" w:rsidRPr="0016351D">
        <w:rPr>
          <w:rFonts w:asciiTheme="majorHAnsi" w:hAnsiTheme="majorHAnsi"/>
        </w:rPr>
        <w:t>“</w:t>
      </w:r>
      <w:r w:rsidR="00F05018" w:rsidRPr="0016351D">
        <w:rPr>
          <w:rFonts w:asciiTheme="majorHAnsi" w:hAnsiTheme="majorHAnsi"/>
        </w:rPr>
        <w:t>ensure that privacy is protected while capitalizing on new technologies and data, the A</w:t>
      </w:r>
      <w:r w:rsidR="00593B31" w:rsidRPr="0016351D">
        <w:rPr>
          <w:rFonts w:asciiTheme="majorHAnsi" w:hAnsiTheme="majorHAnsi"/>
        </w:rPr>
        <w:t xml:space="preserve">dministration, led by </w:t>
      </w:r>
      <w:r w:rsidR="00FA7DB3">
        <w:rPr>
          <w:rFonts w:asciiTheme="majorHAnsi" w:hAnsiTheme="majorHAnsi"/>
        </w:rPr>
        <w:t>HHS</w:t>
      </w:r>
      <w:r w:rsidR="00593B31" w:rsidRPr="0016351D">
        <w:rPr>
          <w:rFonts w:asciiTheme="majorHAnsi" w:hAnsiTheme="majorHAnsi"/>
        </w:rPr>
        <w:t xml:space="preserve">, will: </w:t>
      </w:r>
      <w:r w:rsidR="003A1E80" w:rsidRPr="0016351D">
        <w:rPr>
          <w:rFonts w:asciiTheme="majorHAnsi" w:hAnsiTheme="majorHAnsi"/>
        </w:rPr>
        <w:t xml:space="preserve">(1) </w:t>
      </w:r>
      <w:r w:rsidR="009E3EE3" w:rsidRPr="0016351D">
        <w:rPr>
          <w:rFonts w:asciiTheme="majorHAnsi" w:hAnsiTheme="majorHAnsi"/>
        </w:rPr>
        <w:t xml:space="preserve">consult with stakeholders to assess how Federal laws and regulations can best accommodate big data analyses that promise to advance medical science and reduce health care costs; and (2) develop </w:t>
      </w:r>
      <w:r w:rsidR="003A1E80" w:rsidRPr="0016351D">
        <w:rPr>
          <w:rFonts w:asciiTheme="majorHAnsi" w:hAnsiTheme="majorHAnsi"/>
        </w:rPr>
        <w:t>recommendations</w:t>
      </w:r>
      <w:r w:rsidR="009E3EE3" w:rsidRPr="0016351D">
        <w:rPr>
          <w:rFonts w:asciiTheme="majorHAnsi" w:hAnsiTheme="majorHAnsi"/>
        </w:rPr>
        <w:t xml:space="preserve"> for ways to promote and facilitate research through access to data while safeguarding patient privacy and autonomy.”</w:t>
      </w:r>
      <w:r w:rsidR="009E3EE3" w:rsidRPr="0016351D">
        <w:rPr>
          <w:rStyle w:val="FootnoteReference"/>
          <w:rFonts w:asciiTheme="majorHAnsi" w:hAnsiTheme="majorHAnsi"/>
        </w:rPr>
        <w:footnoteReference w:id="21"/>
      </w:r>
      <w:r w:rsidR="00120FB3" w:rsidRPr="0016351D">
        <w:rPr>
          <w:rStyle w:val="CommentReference"/>
          <w:rFonts w:asciiTheme="majorHAnsi" w:hAnsiTheme="majorHAnsi"/>
        </w:rPr>
        <w:t xml:space="preserve"> </w:t>
      </w:r>
      <w:r w:rsidR="00232CB8">
        <w:rPr>
          <w:rFonts w:asciiTheme="majorHAnsi" w:hAnsiTheme="majorHAnsi"/>
        </w:rPr>
        <w:t>As a result, O</w:t>
      </w:r>
      <w:r w:rsidR="00C017F9">
        <w:rPr>
          <w:rFonts w:asciiTheme="majorHAnsi" w:hAnsiTheme="majorHAnsi"/>
        </w:rPr>
        <w:t>NC charged the PSWG to operationalize this commitment</w:t>
      </w:r>
      <w:r w:rsidR="005F2AF0">
        <w:rPr>
          <w:rFonts w:asciiTheme="majorHAnsi" w:hAnsiTheme="majorHAnsi"/>
        </w:rPr>
        <w:t xml:space="preserve">.  </w:t>
      </w:r>
      <w:r w:rsidR="00C017F9">
        <w:rPr>
          <w:rFonts w:asciiTheme="majorHAnsi" w:hAnsiTheme="majorHAnsi"/>
        </w:rPr>
        <w:t xml:space="preserve"> </w:t>
      </w:r>
    </w:p>
    <w:p w14:paraId="0581623A" w14:textId="77777777" w:rsidR="00C54457" w:rsidRPr="0016351D" w:rsidRDefault="00EC53C7" w:rsidP="00CF104F">
      <w:pPr>
        <w:pStyle w:val="Heading2"/>
      </w:pPr>
      <w:bookmarkStart w:id="8" w:name="_Toc425145061"/>
      <w:r w:rsidRPr="0016351D">
        <w:t>PSWG Plan of Action</w:t>
      </w:r>
      <w:bookmarkEnd w:id="8"/>
    </w:p>
    <w:p w14:paraId="687E3DDA" w14:textId="6C2ECD9E" w:rsidR="00F05C41" w:rsidRPr="0016351D" w:rsidRDefault="00EE7FD8" w:rsidP="00232CB8">
      <w:pPr>
        <w:rPr>
          <w:rFonts w:asciiTheme="majorHAnsi" w:hAnsiTheme="majorHAnsi"/>
        </w:rPr>
      </w:pPr>
      <w:r w:rsidRPr="0016351D">
        <w:rPr>
          <w:rFonts w:asciiTheme="majorHAnsi" w:hAnsiTheme="majorHAnsi"/>
        </w:rPr>
        <w:t>Beginning in</w:t>
      </w:r>
      <w:r w:rsidR="00EC53C7" w:rsidRPr="0016351D">
        <w:rPr>
          <w:rFonts w:asciiTheme="majorHAnsi" w:hAnsiTheme="majorHAnsi"/>
        </w:rPr>
        <w:t xml:space="preserve"> October 2014, the PSWG held </w:t>
      </w:r>
      <w:r w:rsidR="002F6D3B" w:rsidRPr="0016351D">
        <w:rPr>
          <w:rFonts w:asciiTheme="majorHAnsi" w:hAnsiTheme="majorHAnsi"/>
        </w:rPr>
        <w:t>several</w:t>
      </w:r>
      <w:r w:rsidR="00EC53C7" w:rsidRPr="0016351D">
        <w:rPr>
          <w:rFonts w:asciiTheme="majorHAnsi" w:hAnsiTheme="majorHAnsi"/>
        </w:rPr>
        <w:t xml:space="preserve"> public meetings and hearings</w:t>
      </w:r>
      <w:r w:rsidRPr="0016351D">
        <w:rPr>
          <w:rFonts w:asciiTheme="majorHAnsi" w:hAnsiTheme="majorHAnsi"/>
        </w:rPr>
        <w:t xml:space="preserve"> in which experts </w:t>
      </w:r>
      <w:r w:rsidR="003C08B2" w:rsidRPr="0016351D">
        <w:rPr>
          <w:rFonts w:asciiTheme="majorHAnsi" w:hAnsiTheme="majorHAnsi"/>
        </w:rPr>
        <w:t xml:space="preserve">presented and discussed </w:t>
      </w:r>
      <w:r w:rsidR="006C78E9" w:rsidRPr="0016351D">
        <w:rPr>
          <w:rFonts w:asciiTheme="majorHAnsi" w:hAnsiTheme="majorHAnsi"/>
        </w:rPr>
        <w:t>key issues</w:t>
      </w:r>
      <w:r w:rsidR="005F2AF0">
        <w:rPr>
          <w:rFonts w:asciiTheme="majorHAnsi" w:hAnsiTheme="majorHAnsi"/>
        </w:rPr>
        <w:t xml:space="preserve">.  </w:t>
      </w:r>
      <w:r w:rsidR="0050311C" w:rsidRPr="0016351D">
        <w:rPr>
          <w:rFonts w:asciiTheme="majorHAnsi" w:hAnsiTheme="majorHAnsi"/>
        </w:rPr>
        <w:t xml:space="preserve">PSWG held </w:t>
      </w:r>
      <w:r w:rsidR="00037EBA" w:rsidRPr="0016351D">
        <w:rPr>
          <w:rFonts w:asciiTheme="majorHAnsi" w:hAnsiTheme="majorHAnsi"/>
        </w:rPr>
        <w:t>two</w:t>
      </w:r>
      <w:r w:rsidR="00515177" w:rsidRPr="0016351D">
        <w:rPr>
          <w:rFonts w:asciiTheme="majorHAnsi" w:hAnsiTheme="majorHAnsi"/>
        </w:rPr>
        <w:t xml:space="preserve"> days of </w:t>
      </w:r>
      <w:r w:rsidR="0050311C" w:rsidRPr="0016351D">
        <w:rPr>
          <w:rFonts w:asciiTheme="majorHAnsi" w:hAnsiTheme="majorHAnsi"/>
        </w:rPr>
        <w:t>public hearings on December 5 and December 8, 201</w:t>
      </w:r>
      <w:r w:rsidR="001646B0" w:rsidRPr="0016351D">
        <w:rPr>
          <w:rFonts w:asciiTheme="majorHAnsi" w:hAnsiTheme="majorHAnsi"/>
        </w:rPr>
        <w:t>4</w:t>
      </w:r>
      <w:r w:rsidR="0050311C" w:rsidRPr="0016351D">
        <w:rPr>
          <w:rFonts w:asciiTheme="majorHAnsi" w:hAnsiTheme="majorHAnsi"/>
        </w:rPr>
        <w:t>.</w:t>
      </w:r>
      <w:r w:rsidR="00CC0EB1">
        <w:rPr>
          <w:rStyle w:val="FootnoteReference"/>
          <w:rFonts w:asciiTheme="majorHAnsi" w:hAnsiTheme="majorHAnsi"/>
        </w:rPr>
        <w:footnoteReference w:id="22"/>
      </w:r>
      <w:r w:rsidR="0050311C" w:rsidRPr="0016351D">
        <w:rPr>
          <w:rFonts w:asciiTheme="majorHAnsi" w:hAnsiTheme="majorHAnsi"/>
        </w:rPr>
        <w:t xml:space="preserve"> </w:t>
      </w:r>
      <w:r w:rsidR="005F2AF0">
        <w:rPr>
          <w:rFonts w:asciiTheme="majorHAnsi" w:hAnsiTheme="majorHAnsi"/>
        </w:rPr>
        <w:t xml:space="preserve"> </w:t>
      </w:r>
      <w:r w:rsidR="00F05C41" w:rsidRPr="0016351D">
        <w:rPr>
          <w:rFonts w:asciiTheme="majorHAnsi" w:hAnsiTheme="majorHAnsi"/>
        </w:rPr>
        <w:t xml:space="preserve">The Workgroup invited panelists from industry, </w:t>
      </w:r>
      <w:r w:rsidR="00CD6AA5" w:rsidRPr="0016351D">
        <w:rPr>
          <w:rFonts w:asciiTheme="majorHAnsi" w:hAnsiTheme="majorHAnsi"/>
        </w:rPr>
        <w:t>non-profit</w:t>
      </w:r>
      <w:r w:rsidR="001646B0" w:rsidRPr="0016351D">
        <w:rPr>
          <w:rFonts w:asciiTheme="majorHAnsi" w:hAnsiTheme="majorHAnsi"/>
        </w:rPr>
        <w:t xml:space="preserve"> organizations</w:t>
      </w:r>
      <w:r w:rsidR="00CD6AA5" w:rsidRPr="0016351D">
        <w:rPr>
          <w:rFonts w:asciiTheme="majorHAnsi" w:hAnsiTheme="majorHAnsi"/>
        </w:rPr>
        <w:t xml:space="preserve">, </w:t>
      </w:r>
      <w:r w:rsidR="00F05C41" w:rsidRPr="0016351D">
        <w:rPr>
          <w:rFonts w:asciiTheme="majorHAnsi" w:hAnsiTheme="majorHAnsi"/>
        </w:rPr>
        <w:t>a</w:t>
      </w:r>
      <w:r w:rsidR="00CD6AA5" w:rsidRPr="0016351D">
        <w:rPr>
          <w:rFonts w:asciiTheme="majorHAnsi" w:hAnsiTheme="majorHAnsi"/>
        </w:rPr>
        <w:t>cademia, and law to address the following issues</w:t>
      </w:r>
      <w:r w:rsidR="00111064" w:rsidRPr="0016351D">
        <w:rPr>
          <w:rFonts w:asciiTheme="majorHAnsi" w:hAnsiTheme="majorHAnsi"/>
        </w:rPr>
        <w:t xml:space="preserve"> as they relate to big data</w:t>
      </w:r>
      <w:r w:rsidR="00CD6AA5" w:rsidRPr="0016351D">
        <w:rPr>
          <w:rFonts w:asciiTheme="majorHAnsi" w:hAnsiTheme="majorHAnsi"/>
        </w:rPr>
        <w:t>: (1) health big data opportunities</w:t>
      </w:r>
      <w:r w:rsidR="00111064" w:rsidRPr="0016351D">
        <w:rPr>
          <w:rFonts w:asciiTheme="majorHAnsi" w:hAnsiTheme="majorHAnsi"/>
        </w:rPr>
        <w:t xml:space="preserve">, (2) health big data concerns, </w:t>
      </w:r>
      <w:r w:rsidR="0006215C" w:rsidRPr="0016351D">
        <w:rPr>
          <w:rFonts w:asciiTheme="majorHAnsi" w:hAnsiTheme="majorHAnsi"/>
        </w:rPr>
        <w:t xml:space="preserve">(3) the learning health </w:t>
      </w:r>
      <w:r w:rsidR="0006215C" w:rsidRPr="0016351D">
        <w:rPr>
          <w:rFonts w:asciiTheme="majorHAnsi" w:hAnsiTheme="majorHAnsi"/>
        </w:rPr>
        <w:lastRenderedPageBreak/>
        <w:t>system</w:t>
      </w:r>
      <w:r w:rsidR="00111064" w:rsidRPr="0016351D">
        <w:rPr>
          <w:rFonts w:asciiTheme="majorHAnsi" w:hAnsiTheme="majorHAnsi"/>
        </w:rPr>
        <w:t>, (4) protections for consumers, and (5) current laws</w:t>
      </w:r>
      <w:r w:rsidR="005F2AF0">
        <w:rPr>
          <w:rFonts w:asciiTheme="majorHAnsi" w:hAnsiTheme="majorHAnsi"/>
        </w:rPr>
        <w:t xml:space="preserve">.  </w:t>
      </w:r>
      <w:r w:rsidR="00321CEC" w:rsidRPr="0016351D">
        <w:rPr>
          <w:rFonts w:asciiTheme="majorHAnsi" w:hAnsiTheme="majorHAnsi"/>
        </w:rPr>
        <w:t>Please see Appendix A for a list of public hearing topics and speakers.</w:t>
      </w:r>
      <w:r w:rsidR="00321CEC" w:rsidRPr="0016351D">
        <w:rPr>
          <w:rStyle w:val="FootnoteReference"/>
          <w:rFonts w:asciiTheme="majorHAnsi" w:hAnsiTheme="majorHAnsi"/>
        </w:rPr>
        <w:footnoteReference w:id="23"/>
      </w:r>
    </w:p>
    <w:p w14:paraId="4E17B4B4" w14:textId="77777777" w:rsidR="00111064" w:rsidRPr="0016351D" w:rsidRDefault="00111064" w:rsidP="0050311C">
      <w:pPr>
        <w:tabs>
          <w:tab w:val="left" w:pos="2013"/>
        </w:tabs>
        <w:rPr>
          <w:rFonts w:asciiTheme="majorHAnsi" w:hAnsiTheme="majorHAnsi"/>
        </w:rPr>
      </w:pPr>
    </w:p>
    <w:p w14:paraId="7E7C356E" w14:textId="28D1E338" w:rsidR="00DA65FF" w:rsidRDefault="00515177" w:rsidP="00674FC9">
      <w:pPr>
        <w:tabs>
          <w:tab w:val="left" w:pos="2013"/>
        </w:tabs>
        <w:rPr>
          <w:rFonts w:asciiTheme="majorHAnsi" w:hAnsiTheme="majorHAnsi"/>
        </w:rPr>
      </w:pPr>
      <w:r w:rsidRPr="0016351D">
        <w:rPr>
          <w:rFonts w:asciiTheme="majorHAnsi" w:hAnsiTheme="majorHAnsi"/>
        </w:rPr>
        <w:t xml:space="preserve">Following these hearings, </w:t>
      </w:r>
      <w:r w:rsidR="00232CB8">
        <w:rPr>
          <w:rFonts w:asciiTheme="majorHAnsi" w:hAnsiTheme="majorHAnsi"/>
        </w:rPr>
        <w:t>t</w:t>
      </w:r>
      <w:r w:rsidR="00232CB8" w:rsidRPr="0016351D">
        <w:rPr>
          <w:rFonts w:asciiTheme="majorHAnsi" w:hAnsiTheme="majorHAnsi"/>
        </w:rPr>
        <w:t>he Workgroup analyzed the testimony and began drafting and refining its recommendations</w:t>
      </w:r>
      <w:r w:rsidR="005F2AF0">
        <w:rPr>
          <w:rFonts w:asciiTheme="majorHAnsi" w:hAnsiTheme="majorHAnsi"/>
        </w:rPr>
        <w:t xml:space="preserve">.  </w:t>
      </w:r>
      <w:r w:rsidR="00125CAD" w:rsidRPr="0016351D">
        <w:rPr>
          <w:rFonts w:asciiTheme="majorHAnsi" w:hAnsiTheme="majorHAnsi"/>
        </w:rPr>
        <w:t>In</w:t>
      </w:r>
      <w:r w:rsidRPr="0016351D">
        <w:rPr>
          <w:rFonts w:asciiTheme="majorHAnsi" w:hAnsiTheme="majorHAnsi"/>
        </w:rPr>
        <w:t xml:space="preserve"> February </w:t>
      </w:r>
      <w:r w:rsidR="00125CAD" w:rsidRPr="0016351D">
        <w:rPr>
          <w:rFonts w:asciiTheme="majorHAnsi" w:hAnsiTheme="majorHAnsi"/>
        </w:rPr>
        <w:t>2015,</w:t>
      </w:r>
      <w:r w:rsidRPr="0016351D">
        <w:rPr>
          <w:rFonts w:asciiTheme="majorHAnsi" w:hAnsiTheme="majorHAnsi"/>
        </w:rPr>
        <w:t xml:space="preserve"> the PSWG </w:t>
      </w:r>
      <w:r w:rsidR="00125CAD" w:rsidRPr="0016351D">
        <w:rPr>
          <w:rFonts w:asciiTheme="majorHAnsi" w:hAnsiTheme="majorHAnsi"/>
        </w:rPr>
        <w:t>heard additional</w:t>
      </w:r>
      <w:r w:rsidRPr="0016351D">
        <w:rPr>
          <w:rFonts w:asciiTheme="majorHAnsi" w:hAnsiTheme="majorHAnsi"/>
        </w:rPr>
        <w:t xml:space="preserve"> testimony on </w:t>
      </w:r>
      <w:r w:rsidR="0034798E" w:rsidRPr="0016351D">
        <w:rPr>
          <w:rFonts w:asciiTheme="majorHAnsi" w:hAnsiTheme="majorHAnsi"/>
        </w:rPr>
        <w:t xml:space="preserve">health big </w:t>
      </w:r>
      <w:r w:rsidRPr="0016351D">
        <w:rPr>
          <w:rFonts w:asciiTheme="majorHAnsi" w:hAnsiTheme="majorHAnsi"/>
        </w:rPr>
        <w:t xml:space="preserve">data security </w:t>
      </w:r>
      <w:r w:rsidR="00EA6471" w:rsidRPr="0016351D">
        <w:rPr>
          <w:rFonts w:asciiTheme="majorHAnsi" w:hAnsiTheme="majorHAnsi"/>
        </w:rPr>
        <w:t>is</w:t>
      </w:r>
      <w:r w:rsidR="00125CAD" w:rsidRPr="0016351D">
        <w:rPr>
          <w:rFonts w:asciiTheme="majorHAnsi" w:hAnsiTheme="majorHAnsi"/>
        </w:rPr>
        <w:t>sues</w:t>
      </w:r>
      <w:r w:rsidR="00743467" w:rsidRPr="0016351D">
        <w:rPr>
          <w:rFonts w:asciiTheme="majorHAnsi" w:hAnsiTheme="majorHAnsi"/>
        </w:rPr>
        <w:t>,</w:t>
      </w:r>
      <w:r w:rsidR="00CC0EB1">
        <w:rPr>
          <w:rStyle w:val="FootnoteReference"/>
          <w:rFonts w:asciiTheme="majorHAnsi" w:hAnsiTheme="majorHAnsi"/>
        </w:rPr>
        <w:footnoteReference w:id="24"/>
      </w:r>
      <w:r w:rsidR="00743467" w:rsidRPr="0016351D">
        <w:rPr>
          <w:rFonts w:asciiTheme="majorHAnsi" w:hAnsiTheme="majorHAnsi"/>
        </w:rPr>
        <w:t xml:space="preserve"> and in March</w:t>
      </w:r>
      <w:r w:rsidR="003D124F">
        <w:rPr>
          <w:rFonts w:asciiTheme="majorHAnsi" w:hAnsiTheme="majorHAnsi"/>
        </w:rPr>
        <w:t xml:space="preserve"> and June 2015</w:t>
      </w:r>
      <w:r w:rsidR="00743467" w:rsidRPr="0016351D">
        <w:rPr>
          <w:rFonts w:asciiTheme="majorHAnsi" w:hAnsiTheme="majorHAnsi"/>
        </w:rPr>
        <w:t>,</w:t>
      </w:r>
      <w:r w:rsidR="003D124F">
        <w:rPr>
          <w:rStyle w:val="FootnoteReference"/>
          <w:rFonts w:asciiTheme="majorHAnsi" w:hAnsiTheme="majorHAnsi"/>
        </w:rPr>
        <w:footnoteReference w:id="25"/>
      </w:r>
      <w:r w:rsidR="00743467" w:rsidRPr="0016351D">
        <w:rPr>
          <w:rFonts w:asciiTheme="majorHAnsi" w:hAnsiTheme="majorHAnsi"/>
        </w:rPr>
        <w:t xml:space="preserve"> the </w:t>
      </w:r>
      <w:r w:rsidR="00880088">
        <w:rPr>
          <w:rFonts w:asciiTheme="majorHAnsi" w:hAnsiTheme="majorHAnsi"/>
        </w:rPr>
        <w:t>PSWG updated the HITPC on the W</w:t>
      </w:r>
      <w:r w:rsidR="00AB207D" w:rsidRPr="0016351D">
        <w:rPr>
          <w:rFonts w:asciiTheme="majorHAnsi" w:hAnsiTheme="majorHAnsi"/>
        </w:rPr>
        <w:t>orkgroup’s progress</w:t>
      </w:r>
      <w:r w:rsidR="005F2AF0">
        <w:rPr>
          <w:rFonts w:asciiTheme="majorHAnsi" w:hAnsiTheme="majorHAnsi"/>
        </w:rPr>
        <w:t xml:space="preserve">.  </w:t>
      </w:r>
      <w:r w:rsidR="00E8604E">
        <w:rPr>
          <w:rFonts w:asciiTheme="majorHAnsi" w:hAnsiTheme="majorHAnsi"/>
        </w:rPr>
        <w:t xml:space="preserve">The PSWG’s public </w:t>
      </w:r>
      <w:r w:rsidR="00AB207D" w:rsidRPr="0016351D">
        <w:rPr>
          <w:rFonts w:asciiTheme="majorHAnsi" w:hAnsiTheme="majorHAnsi"/>
        </w:rPr>
        <w:t>deli</w:t>
      </w:r>
      <w:r w:rsidR="003D124F">
        <w:rPr>
          <w:rFonts w:asciiTheme="majorHAnsi" w:hAnsiTheme="majorHAnsi"/>
        </w:rPr>
        <w:t>berations continued through July</w:t>
      </w:r>
      <w:r w:rsidR="00AB207D" w:rsidRPr="0016351D">
        <w:rPr>
          <w:rFonts w:asciiTheme="majorHAnsi" w:hAnsiTheme="majorHAnsi"/>
        </w:rPr>
        <w:t xml:space="preserve"> 2015.</w:t>
      </w:r>
    </w:p>
    <w:p w14:paraId="7E1AA735" w14:textId="77777777" w:rsidR="00DA65FF" w:rsidRPr="0016351D" w:rsidRDefault="006651BA" w:rsidP="00CF104F">
      <w:pPr>
        <w:pStyle w:val="Heading1"/>
      </w:pPr>
      <w:bookmarkStart w:id="9" w:name="_Toc425145062"/>
      <w:r w:rsidRPr="0016351D">
        <w:t>Scope</w:t>
      </w:r>
      <w:bookmarkEnd w:id="9"/>
    </w:p>
    <w:p w14:paraId="5F8D8BF8" w14:textId="2B61BDA6" w:rsidR="00A47357" w:rsidRPr="0016351D" w:rsidRDefault="00CA006A" w:rsidP="00DA65FF">
      <w:pPr>
        <w:rPr>
          <w:rFonts w:asciiTheme="majorHAnsi" w:hAnsiTheme="majorHAnsi"/>
        </w:rPr>
      </w:pPr>
      <w:r w:rsidRPr="0016351D">
        <w:rPr>
          <w:rFonts w:asciiTheme="majorHAnsi" w:hAnsiTheme="majorHAnsi"/>
        </w:rPr>
        <w:t xml:space="preserve">In identifying specific </w:t>
      </w:r>
      <w:r w:rsidR="002B7049" w:rsidRPr="0016351D">
        <w:rPr>
          <w:rFonts w:asciiTheme="majorHAnsi" w:hAnsiTheme="majorHAnsi"/>
        </w:rPr>
        <w:t xml:space="preserve">issues </w:t>
      </w:r>
      <w:r w:rsidR="004822A0" w:rsidRPr="0016351D">
        <w:rPr>
          <w:rFonts w:asciiTheme="majorHAnsi" w:hAnsiTheme="majorHAnsi"/>
        </w:rPr>
        <w:t>to address</w:t>
      </w:r>
      <w:r w:rsidR="002B7049" w:rsidRPr="0016351D">
        <w:rPr>
          <w:rFonts w:asciiTheme="majorHAnsi" w:hAnsiTheme="majorHAnsi"/>
        </w:rPr>
        <w:t xml:space="preserve"> within its charge</w:t>
      </w:r>
      <w:r w:rsidRPr="0016351D">
        <w:rPr>
          <w:rFonts w:asciiTheme="majorHAnsi" w:hAnsiTheme="majorHAnsi"/>
        </w:rPr>
        <w:t>, t</w:t>
      </w:r>
      <w:r w:rsidR="004361F5" w:rsidRPr="0016351D">
        <w:rPr>
          <w:rFonts w:asciiTheme="majorHAnsi" w:hAnsiTheme="majorHAnsi"/>
        </w:rPr>
        <w:t xml:space="preserve">he </w:t>
      </w:r>
      <w:r w:rsidR="007618C4" w:rsidRPr="0016351D">
        <w:rPr>
          <w:rFonts w:asciiTheme="majorHAnsi" w:hAnsiTheme="majorHAnsi"/>
        </w:rPr>
        <w:t xml:space="preserve">PSWG </w:t>
      </w:r>
      <w:r w:rsidR="00700F83">
        <w:rPr>
          <w:rFonts w:asciiTheme="majorHAnsi" w:hAnsiTheme="majorHAnsi"/>
        </w:rPr>
        <w:t>remained mindful of the</w:t>
      </w:r>
      <w:r w:rsidR="00FB2E54" w:rsidRPr="0016351D">
        <w:rPr>
          <w:rFonts w:asciiTheme="majorHAnsi" w:hAnsiTheme="majorHAnsi"/>
        </w:rPr>
        <w:t xml:space="preserve"> lessons and recommendations of </w:t>
      </w:r>
      <w:r w:rsidR="000D2E50" w:rsidRPr="0016351D">
        <w:rPr>
          <w:rFonts w:asciiTheme="majorHAnsi" w:hAnsiTheme="majorHAnsi"/>
        </w:rPr>
        <w:t>other initiatives</w:t>
      </w:r>
      <w:r w:rsidR="005B7233" w:rsidRPr="0016351D">
        <w:rPr>
          <w:rFonts w:asciiTheme="majorHAnsi" w:hAnsiTheme="majorHAnsi"/>
        </w:rPr>
        <w:t xml:space="preserve"> and activities</w:t>
      </w:r>
      <w:r w:rsidR="00B257B7" w:rsidRPr="0016351D">
        <w:rPr>
          <w:rFonts w:asciiTheme="majorHAnsi" w:hAnsiTheme="majorHAnsi"/>
        </w:rPr>
        <w:t>.</w:t>
      </w:r>
      <w:r w:rsidR="002A1A33">
        <w:rPr>
          <w:rStyle w:val="FootnoteReference"/>
          <w:rFonts w:asciiTheme="majorHAnsi" w:hAnsiTheme="majorHAnsi"/>
        </w:rPr>
        <w:footnoteReference w:id="26"/>
      </w:r>
      <w:r w:rsidR="00233D4D">
        <w:rPr>
          <w:rFonts w:asciiTheme="majorHAnsi" w:hAnsiTheme="majorHAnsi"/>
        </w:rPr>
        <w:t xml:space="preserve"> </w:t>
      </w:r>
      <w:r w:rsidR="00996DD1">
        <w:rPr>
          <w:rFonts w:asciiTheme="majorHAnsi" w:hAnsiTheme="majorHAnsi"/>
        </w:rPr>
        <w:t xml:space="preserve"> </w:t>
      </w:r>
      <w:r w:rsidR="0062206F" w:rsidRPr="0016351D">
        <w:rPr>
          <w:rFonts w:asciiTheme="majorHAnsi" w:hAnsiTheme="majorHAnsi"/>
        </w:rPr>
        <w:t>Given the breadth of big data as a topic, t</w:t>
      </w:r>
      <w:r w:rsidR="00E5420E" w:rsidRPr="0016351D">
        <w:rPr>
          <w:rFonts w:asciiTheme="majorHAnsi" w:hAnsiTheme="majorHAnsi"/>
        </w:rPr>
        <w:t>he</w:t>
      </w:r>
      <w:r w:rsidR="00316FA0" w:rsidRPr="0016351D">
        <w:rPr>
          <w:rFonts w:asciiTheme="majorHAnsi" w:hAnsiTheme="majorHAnsi"/>
        </w:rPr>
        <w:t xml:space="preserve"> PSWG </w:t>
      </w:r>
      <w:r w:rsidR="00810B29" w:rsidRPr="0016351D">
        <w:rPr>
          <w:rFonts w:asciiTheme="majorHAnsi" w:hAnsiTheme="majorHAnsi"/>
        </w:rPr>
        <w:t>narrowed</w:t>
      </w:r>
      <w:r w:rsidR="00316FA0" w:rsidRPr="0016351D">
        <w:rPr>
          <w:rFonts w:asciiTheme="majorHAnsi" w:hAnsiTheme="majorHAnsi"/>
        </w:rPr>
        <w:t xml:space="preserve"> the scope of its discussions and recomm</w:t>
      </w:r>
      <w:r w:rsidR="00CD263D" w:rsidRPr="0016351D">
        <w:rPr>
          <w:rFonts w:asciiTheme="majorHAnsi" w:hAnsiTheme="majorHAnsi"/>
        </w:rPr>
        <w:t xml:space="preserve">endations </w:t>
      </w:r>
      <w:r w:rsidR="00812FF5" w:rsidRPr="0016351D">
        <w:rPr>
          <w:rFonts w:asciiTheme="majorHAnsi" w:hAnsiTheme="majorHAnsi"/>
        </w:rPr>
        <w:t>to</w:t>
      </w:r>
      <w:r w:rsidR="00370517" w:rsidRPr="0016351D">
        <w:rPr>
          <w:rFonts w:asciiTheme="majorHAnsi" w:hAnsiTheme="majorHAnsi"/>
        </w:rPr>
        <w:t xml:space="preserve"> privacy and security </w:t>
      </w:r>
      <w:r w:rsidR="00B40DB1" w:rsidRPr="0016351D">
        <w:rPr>
          <w:rFonts w:asciiTheme="majorHAnsi" w:hAnsiTheme="majorHAnsi"/>
        </w:rPr>
        <w:t>concerns and potential</w:t>
      </w:r>
      <w:r w:rsidR="003131A5" w:rsidRPr="0016351D">
        <w:rPr>
          <w:rFonts w:asciiTheme="majorHAnsi" w:hAnsiTheme="majorHAnsi"/>
        </w:rPr>
        <w:t xml:space="preserve">ly harmful uses of big data </w:t>
      </w:r>
      <w:r w:rsidR="00F37110" w:rsidRPr="0016351D">
        <w:rPr>
          <w:rFonts w:asciiTheme="majorHAnsi" w:hAnsiTheme="majorHAnsi"/>
        </w:rPr>
        <w:t>in</w:t>
      </w:r>
      <w:r w:rsidR="001A6CC7" w:rsidRPr="0016351D">
        <w:rPr>
          <w:rFonts w:asciiTheme="majorHAnsi" w:hAnsiTheme="majorHAnsi"/>
        </w:rPr>
        <w:t xml:space="preserve"> </w:t>
      </w:r>
      <w:r w:rsidR="00BA73AE" w:rsidRPr="0016351D">
        <w:rPr>
          <w:rFonts w:asciiTheme="majorHAnsi" w:hAnsiTheme="majorHAnsi"/>
        </w:rPr>
        <w:t>healthcare</w:t>
      </w:r>
      <w:r w:rsidR="005F2AF0">
        <w:rPr>
          <w:rFonts w:asciiTheme="majorHAnsi" w:hAnsiTheme="majorHAnsi"/>
        </w:rPr>
        <w:t xml:space="preserve">.  </w:t>
      </w:r>
      <w:r w:rsidR="003015DF" w:rsidRPr="0016351D">
        <w:rPr>
          <w:rFonts w:asciiTheme="majorHAnsi" w:hAnsiTheme="majorHAnsi"/>
        </w:rPr>
        <w:t>Th</w:t>
      </w:r>
      <w:r w:rsidR="00C178E1">
        <w:rPr>
          <w:rFonts w:asciiTheme="majorHAnsi" w:hAnsiTheme="majorHAnsi"/>
        </w:rPr>
        <w:t xml:space="preserve">e PSWG also focused on prevailing legal frameworks and potential gaps in privacy and security protections, as well as </w:t>
      </w:r>
      <w:r w:rsidR="00D7200F">
        <w:rPr>
          <w:rFonts w:asciiTheme="majorHAnsi" w:hAnsiTheme="majorHAnsi"/>
        </w:rPr>
        <w:t xml:space="preserve">the degree to which existing laws facilitate an environment that enables </w:t>
      </w:r>
      <w:r w:rsidR="00A13A3F">
        <w:rPr>
          <w:rFonts w:asciiTheme="majorHAnsi" w:hAnsiTheme="majorHAnsi"/>
        </w:rPr>
        <w:t xml:space="preserve">information </w:t>
      </w:r>
      <w:r w:rsidR="00D7200F">
        <w:rPr>
          <w:rFonts w:asciiTheme="majorHAnsi" w:hAnsiTheme="majorHAnsi"/>
        </w:rPr>
        <w:t>to be “leveraged for good” while still protecting individual’s privacy interests</w:t>
      </w:r>
      <w:r w:rsidR="005F2AF0">
        <w:rPr>
          <w:rFonts w:asciiTheme="majorHAnsi" w:hAnsiTheme="majorHAnsi"/>
        </w:rPr>
        <w:t xml:space="preserve">.  </w:t>
      </w:r>
      <w:r w:rsidR="00D7200F">
        <w:rPr>
          <w:rFonts w:asciiTheme="majorHAnsi" w:hAnsiTheme="majorHAnsi"/>
        </w:rPr>
        <w:t xml:space="preserve"> </w:t>
      </w:r>
    </w:p>
    <w:p w14:paraId="543FA2B4" w14:textId="77777777" w:rsidR="00233D4D" w:rsidRDefault="00233D4D" w:rsidP="00DA65FF">
      <w:pPr>
        <w:rPr>
          <w:rFonts w:asciiTheme="majorHAnsi" w:hAnsiTheme="majorHAnsi"/>
        </w:rPr>
      </w:pPr>
    </w:p>
    <w:p w14:paraId="2851A5AA" w14:textId="62778C2F" w:rsidR="003A536E" w:rsidRPr="0016351D" w:rsidRDefault="00B22919" w:rsidP="00DA65FF">
      <w:pPr>
        <w:rPr>
          <w:rFonts w:asciiTheme="majorHAnsi" w:hAnsiTheme="majorHAnsi"/>
        </w:rPr>
      </w:pPr>
      <w:r w:rsidRPr="0016351D">
        <w:rPr>
          <w:rFonts w:asciiTheme="majorHAnsi" w:hAnsiTheme="majorHAnsi"/>
        </w:rPr>
        <w:t>The PSWG identified several issues that were out of scope</w:t>
      </w:r>
      <w:r w:rsidR="005F2AF0">
        <w:rPr>
          <w:rFonts w:asciiTheme="majorHAnsi" w:hAnsiTheme="majorHAnsi"/>
        </w:rPr>
        <w:t xml:space="preserve">.  </w:t>
      </w:r>
      <w:r w:rsidRPr="0016351D">
        <w:rPr>
          <w:rFonts w:asciiTheme="majorHAnsi" w:hAnsiTheme="majorHAnsi"/>
        </w:rPr>
        <w:t>These i</w:t>
      </w:r>
      <w:r w:rsidR="00A47357" w:rsidRPr="0016351D">
        <w:rPr>
          <w:rFonts w:asciiTheme="majorHAnsi" w:hAnsiTheme="majorHAnsi"/>
        </w:rPr>
        <w:t xml:space="preserve">ncluded </w:t>
      </w:r>
      <w:r w:rsidR="00A05F76" w:rsidRPr="0016351D">
        <w:rPr>
          <w:rFonts w:asciiTheme="majorHAnsi" w:hAnsiTheme="majorHAnsi"/>
        </w:rPr>
        <w:t xml:space="preserve">matters </w:t>
      </w:r>
      <w:r w:rsidR="00A47357" w:rsidRPr="0016351D">
        <w:rPr>
          <w:rFonts w:asciiTheme="majorHAnsi" w:hAnsiTheme="majorHAnsi"/>
        </w:rPr>
        <w:t>related to data quality</w:t>
      </w:r>
      <w:r w:rsidR="00F24CEF" w:rsidRPr="0016351D">
        <w:rPr>
          <w:rFonts w:asciiTheme="majorHAnsi" w:hAnsiTheme="majorHAnsi"/>
        </w:rPr>
        <w:t xml:space="preserve">, </w:t>
      </w:r>
      <w:r w:rsidR="00B779CF" w:rsidRPr="0016351D">
        <w:rPr>
          <w:rFonts w:asciiTheme="majorHAnsi" w:hAnsiTheme="majorHAnsi"/>
        </w:rPr>
        <w:t>data standards</w:t>
      </w:r>
      <w:r w:rsidR="00F24CEF" w:rsidRPr="0016351D">
        <w:rPr>
          <w:rFonts w:asciiTheme="majorHAnsi" w:hAnsiTheme="majorHAnsi"/>
        </w:rPr>
        <w:t>, and the non-representativeness of data (e.g., data that does not accurately reflect the composition of the population</w:t>
      </w:r>
      <w:r w:rsidR="00827FE0" w:rsidRPr="0016351D">
        <w:rPr>
          <w:rFonts w:asciiTheme="majorHAnsi" w:hAnsiTheme="majorHAnsi"/>
        </w:rPr>
        <w:t xml:space="preserve">, </w:t>
      </w:r>
      <w:r w:rsidR="00AD71AC" w:rsidRPr="0016351D">
        <w:rPr>
          <w:rFonts w:asciiTheme="majorHAnsi" w:hAnsiTheme="majorHAnsi"/>
        </w:rPr>
        <w:t xml:space="preserve">which has </w:t>
      </w:r>
      <w:r w:rsidR="006F7EAA" w:rsidRPr="0016351D">
        <w:rPr>
          <w:rFonts w:asciiTheme="majorHAnsi" w:hAnsiTheme="majorHAnsi"/>
        </w:rPr>
        <w:t xml:space="preserve">the </w:t>
      </w:r>
      <w:r w:rsidR="00AD71AC" w:rsidRPr="0016351D">
        <w:rPr>
          <w:rFonts w:asciiTheme="majorHAnsi" w:hAnsiTheme="majorHAnsi"/>
        </w:rPr>
        <w:t xml:space="preserve">potential to </w:t>
      </w:r>
      <w:r w:rsidR="006F7EAA" w:rsidRPr="0016351D">
        <w:rPr>
          <w:rFonts w:asciiTheme="majorHAnsi" w:hAnsiTheme="majorHAnsi"/>
        </w:rPr>
        <w:t>ignore</w:t>
      </w:r>
      <w:r w:rsidR="00827FE0" w:rsidRPr="0016351D">
        <w:rPr>
          <w:rFonts w:asciiTheme="majorHAnsi" w:hAnsiTheme="majorHAnsi"/>
        </w:rPr>
        <w:t xml:space="preserve"> under-served </w:t>
      </w:r>
      <w:r w:rsidR="00AD71AC" w:rsidRPr="0016351D">
        <w:rPr>
          <w:rFonts w:asciiTheme="majorHAnsi" w:hAnsiTheme="majorHAnsi"/>
        </w:rPr>
        <w:t>communities</w:t>
      </w:r>
      <w:r w:rsidR="00F24CEF" w:rsidRPr="0016351D">
        <w:rPr>
          <w:rFonts w:asciiTheme="majorHAnsi" w:hAnsiTheme="majorHAnsi"/>
        </w:rPr>
        <w:t>)</w:t>
      </w:r>
      <w:r w:rsidR="005F2AF0">
        <w:rPr>
          <w:rFonts w:asciiTheme="majorHAnsi" w:hAnsiTheme="majorHAnsi"/>
        </w:rPr>
        <w:t xml:space="preserve">.  </w:t>
      </w:r>
      <w:r w:rsidR="000F184F" w:rsidRPr="0016351D">
        <w:rPr>
          <w:rFonts w:asciiTheme="majorHAnsi" w:hAnsiTheme="majorHAnsi"/>
        </w:rPr>
        <w:t xml:space="preserve">Where possible, </w:t>
      </w:r>
      <w:r w:rsidR="006F7EAA" w:rsidRPr="0016351D">
        <w:rPr>
          <w:rFonts w:asciiTheme="majorHAnsi" w:hAnsiTheme="majorHAnsi"/>
        </w:rPr>
        <w:t xml:space="preserve">the PSWG sought to avoid </w:t>
      </w:r>
      <w:r w:rsidR="000F184F" w:rsidRPr="0016351D">
        <w:rPr>
          <w:rFonts w:asciiTheme="majorHAnsi" w:hAnsiTheme="majorHAnsi"/>
        </w:rPr>
        <w:t xml:space="preserve">discussing issues </w:t>
      </w:r>
      <w:r w:rsidR="006F7EAA" w:rsidRPr="0016351D">
        <w:rPr>
          <w:rFonts w:asciiTheme="majorHAnsi" w:hAnsiTheme="majorHAnsi"/>
        </w:rPr>
        <w:t>that ha</w:t>
      </w:r>
      <w:r w:rsidR="000F184F" w:rsidRPr="0016351D">
        <w:rPr>
          <w:rFonts w:asciiTheme="majorHAnsi" w:hAnsiTheme="majorHAnsi"/>
        </w:rPr>
        <w:t>ve</w:t>
      </w:r>
      <w:r w:rsidR="006F7EAA" w:rsidRPr="0016351D">
        <w:rPr>
          <w:rFonts w:asciiTheme="majorHAnsi" w:hAnsiTheme="majorHAnsi"/>
        </w:rPr>
        <w:t xml:space="preserve"> been </w:t>
      </w:r>
      <w:r w:rsidR="00241516" w:rsidRPr="0016351D">
        <w:rPr>
          <w:rFonts w:asciiTheme="majorHAnsi" w:hAnsiTheme="majorHAnsi"/>
        </w:rPr>
        <w:t>addressed</w:t>
      </w:r>
      <w:r w:rsidR="006F7EAA" w:rsidRPr="0016351D">
        <w:rPr>
          <w:rFonts w:asciiTheme="majorHAnsi" w:hAnsiTheme="majorHAnsi"/>
        </w:rPr>
        <w:t xml:space="preserve"> by other projects and initiatives, as summarized above</w:t>
      </w:r>
      <w:r w:rsidR="00D3426D" w:rsidRPr="0016351D">
        <w:rPr>
          <w:rFonts w:asciiTheme="majorHAnsi" w:hAnsiTheme="majorHAnsi"/>
        </w:rPr>
        <w:t xml:space="preserve">, </w:t>
      </w:r>
      <w:r w:rsidR="00241516" w:rsidRPr="0016351D">
        <w:rPr>
          <w:rFonts w:asciiTheme="majorHAnsi" w:hAnsiTheme="majorHAnsi"/>
        </w:rPr>
        <w:t xml:space="preserve">though some </w:t>
      </w:r>
      <w:r w:rsidR="006A4A47" w:rsidRPr="0016351D">
        <w:rPr>
          <w:rFonts w:asciiTheme="majorHAnsi" w:hAnsiTheme="majorHAnsi"/>
        </w:rPr>
        <w:t xml:space="preserve">topics and themes </w:t>
      </w:r>
      <w:r w:rsidR="00424A69" w:rsidRPr="0016351D">
        <w:rPr>
          <w:rFonts w:asciiTheme="majorHAnsi" w:hAnsiTheme="majorHAnsi"/>
        </w:rPr>
        <w:t>were complementary</w:t>
      </w:r>
      <w:r w:rsidR="00241516" w:rsidRPr="0016351D">
        <w:rPr>
          <w:rFonts w:asciiTheme="majorHAnsi" w:hAnsiTheme="majorHAnsi"/>
        </w:rPr>
        <w:t>.</w:t>
      </w:r>
    </w:p>
    <w:p w14:paraId="5F4D2F2A" w14:textId="77777777" w:rsidR="006651BA" w:rsidRPr="0016351D" w:rsidRDefault="00E15710" w:rsidP="008813AD">
      <w:pPr>
        <w:pStyle w:val="Heading1"/>
      </w:pPr>
      <w:bookmarkStart w:id="10" w:name="_Toc425145063"/>
      <w:r w:rsidRPr="0016351D">
        <w:t>Public</w:t>
      </w:r>
      <w:r w:rsidR="006651BA" w:rsidRPr="0016351D">
        <w:t xml:space="preserve"> Testimony</w:t>
      </w:r>
      <w:bookmarkEnd w:id="10"/>
    </w:p>
    <w:p w14:paraId="2F17583E" w14:textId="0295961F" w:rsidR="00CF2E42" w:rsidRPr="0016351D" w:rsidRDefault="0020638C" w:rsidP="00DA65FF">
      <w:pPr>
        <w:rPr>
          <w:rFonts w:asciiTheme="majorHAnsi" w:hAnsiTheme="majorHAnsi"/>
        </w:rPr>
      </w:pPr>
      <w:r w:rsidRPr="0016351D">
        <w:rPr>
          <w:rFonts w:asciiTheme="majorHAnsi" w:hAnsiTheme="majorHAnsi"/>
        </w:rPr>
        <w:t xml:space="preserve">This section provides a </w:t>
      </w:r>
      <w:r w:rsidR="00075AAF">
        <w:rPr>
          <w:rFonts w:asciiTheme="majorHAnsi" w:hAnsiTheme="majorHAnsi"/>
        </w:rPr>
        <w:t xml:space="preserve">high-level </w:t>
      </w:r>
      <w:r w:rsidRPr="0016351D">
        <w:rPr>
          <w:rFonts w:asciiTheme="majorHAnsi" w:hAnsiTheme="majorHAnsi"/>
        </w:rPr>
        <w:t xml:space="preserve">summary of testimony </w:t>
      </w:r>
      <w:r w:rsidR="00DD7F89" w:rsidRPr="0016351D">
        <w:rPr>
          <w:rFonts w:asciiTheme="majorHAnsi" w:hAnsiTheme="majorHAnsi"/>
        </w:rPr>
        <w:t xml:space="preserve">from the Workgroup’s </w:t>
      </w:r>
      <w:r w:rsidR="00BD4800" w:rsidRPr="0016351D">
        <w:rPr>
          <w:rFonts w:asciiTheme="majorHAnsi" w:hAnsiTheme="majorHAnsi"/>
        </w:rPr>
        <w:t>public hearings</w:t>
      </w:r>
      <w:r w:rsidR="000C39EB" w:rsidRPr="0016351D">
        <w:rPr>
          <w:rFonts w:asciiTheme="majorHAnsi" w:hAnsiTheme="majorHAnsi"/>
        </w:rPr>
        <w:t xml:space="preserve"> and </w:t>
      </w:r>
      <w:r w:rsidR="00DD7F89" w:rsidRPr="0016351D">
        <w:rPr>
          <w:rFonts w:asciiTheme="majorHAnsi" w:hAnsiTheme="majorHAnsi"/>
        </w:rPr>
        <w:t>deliberations</w:t>
      </w:r>
      <w:r w:rsidR="00EE1D0C" w:rsidRPr="0016351D">
        <w:rPr>
          <w:rFonts w:asciiTheme="majorHAnsi" w:hAnsiTheme="majorHAnsi"/>
        </w:rPr>
        <w:t>.</w:t>
      </w:r>
      <w:r w:rsidR="00660F8B" w:rsidRPr="0016351D">
        <w:rPr>
          <w:rStyle w:val="FootnoteReference"/>
          <w:rFonts w:asciiTheme="majorHAnsi" w:hAnsiTheme="majorHAnsi"/>
        </w:rPr>
        <w:footnoteReference w:id="27"/>
      </w:r>
      <w:r w:rsidR="00EE1D0C" w:rsidRPr="0016351D">
        <w:rPr>
          <w:rFonts w:asciiTheme="majorHAnsi" w:hAnsiTheme="majorHAnsi"/>
        </w:rPr>
        <w:t xml:space="preserve"> </w:t>
      </w:r>
      <w:r w:rsidR="005F2AF0">
        <w:rPr>
          <w:rFonts w:asciiTheme="majorHAnsi" w:hAnsiTheme="majorHAnsi"/>
        </w:rPr>
        <w:t xml:space="preserve"> </w:t>
      </w:r>
      <w:r w:rsidR="00EE1D0C" w:rsidRPr="0016351D">
        <w:rPr>
          <w:rFonts w:asciiTheme="majorHAnsi" w:hAnsiTheme="majorHAnsi"/>
        </w:rPr>
        <w:t>The</w:t>
      </w:r>
      <w:r w:rsidR="008E53E7">
        <w:rPr>
          <w:rFonts w:asciiTheme="majorHAnsi" w:hAnsiTheme="majorHAnsi"/>
        </w:rPr>
        <w:t>se</w:t>
      </w:r>
      <w:r w:rsidR="00EE1D0C" w:rsidRPr="0016351D">
        <w:rPr>
          <w:rFonts w:asciiTheme="majorHAnsi" w:hAnsiTheme="majorHAnsi"/>
        </w:rPr>
        <w:t xml:space="preserve"> hearings </w:t>
      </w:r>
      <w:r w:rsidR="00B44873" w:rsidRPr="0016351D">
        <w:rPr>
          <w:rFonts w:asciiTheme="majorHAnsi" w:hAnsiTheme="majorHAnsi"/>
        </w:rPr>
        <w:t xml:space="preserve">and meetings </w:t>
      </w:r>
      <w:r w:rsidR="00EE1D0C" w:rsidRPr="0016351D">
        <w:rPr>
          <w:rFonts w:asciiTheme="majorHAnsi" w:hAnsiTheme="majorHAnsi"/>
        </w:rPr>
        <w:t>surfaced</w:t>
      </w:r>
      <w:r w:rsidR="00660F8B" w:rsidRPr="0016351D">
        <w:rPr>
          <w:rFonts w:asciiTheme="majorHAnsi" w:hAnsiTheme="majorHAnsi"/>
        </w:rPr>
        <w:t xml:space="preserve"> </w:t>
      </w:r>
      <w:r w:rsidR="00641D17" w:rsidRPr="0016351D">
        <w:rPr>
          <w:rFonts w:asciiTheme="majorHAnsi" w:hAnsiTheme="majorHAnsi"/>
        </w:rPr>
        <w:t>several</w:t>
      </w:r>
      <w:r w:rsidR="00660F8B" w:rsidRPr="0016351D">
        <w:rPr>
          <w:rFonts w:asciiTheme="majorHAnsi" w:hAnsiTheme="majorHAnsi"/>
        </w:rPr>
        <w:t xml:space="preserve"> key themes</w:t>
      </w:r>
      <w:r w:rsidR="00641D17" w:rsidRPr="0016351D">
        <w:rPr>
          <w:rFonts w:asciiTheme="majorHAnsi" w:hAnsiTheme="majorHAnsi"/>
        </w:rPr>
        <w:t>, which provide</w:t>
      </w:r>
      <w:r w:rsidR="00495467" w:rsidRPr="0016351D">
        <w:rPr>
          <w:rFonts w:asciiTheme="majorHAnsi" w:hAnsiTheme="majorHAnsi"/>
        </w:rPr>
        <w:t xml:space="preserve"> the </w:t>
      </w:r>
      <w:r w:rsidR="004C3F89" w:rsidRPr="0016351D">
        <w:rPr>
          <w:rFonts w:asciiTheme="majorHAnsi" w:hAnsiTheme="majorHAnsi"/>
        </w:rPr>
        <w:t xml:space="preserve">following </w:t>
      </w:r>
      <w:r w:rsidR="00B6405D" w:rsidRPr="0016351D">
        <w:rPr>
          <w:rFonts w:asciiTheme="majorHAnsi" w:hAnsiTheme="majorHAnsi"/>
        </w:rPr>
        <w:t>structure for this section</w:t>
      </w:r>
      <w:r w:rsidR="00495467" w:rsidRPr="0016351D">
        <w:rPr>
          <w:rFonts w:asciiTheme="majorHAnsi" w:hAnsiTheme="majorHAnsi"/>
        </w:rPr>
        <w:t xml:space="preserve">: </w:t>
      </w:r>
      <w:r w:rsidR="005C19DF" w:rsidRPr="0016351D">
        <w:rPr>
          <w:rFonts w:asciiTheme="majorHAnsi" w:hAnsiTheme="majorHAnsi"/>
        </w:rPr>
        <w:t xml:space="preserve">(1) concerns about tools commonly used to protect privacy; (2) preventing, limiting, and redressing privacy harms; and (3) the </w:t>
      </w:r>
      <w:r w:rsidR="00F92F11" w:rsidRPr="0016351D">
        <w:rPr>
          <w:rFonts w:asciiTheme="majorHAnsi" w:hAnsiTheme="majorHAnsi"/>
        </w:rPr>
        <w:t xml:space="preserve">complex </w:t>
      </w:r>
      <w:r w:rsidR="005C19DF" w:rsidRPr="0016351D">
        <w:rPr>
          <w:rFonts w:asciiTheme="majorHAnsi" w:hAnsiTheme="majorHAnsi"/>
        </w:rPr>
        <w:t xml:space="preserve">legal landscape, including </w:t>
      </w:r>
      <w:r w:rsidR="00CF2E42" w:rsidRPr="0016351D">
        <w:rPr>
          <w:rFonts w:asciiTheme="majorHAnsi" w:hAnsiTheme="majorHAnsi"/>
        </w:rPr>
        <w:t>issues of under- and over-regulation</w:t>
      </w:r>
      <w:r w:rsidR="005F2AF0">
        <w:rPr>
          <w:rFonts w:asciiTheme="majorHAnsi" w:hAnsiTheme="majorHAnsi"/>
        </w:rPr>
        <w:t xml:space="preserve">.  </w:t>
      </w:r>
      <w:r w:rsidR="00543BC5">
        <w:rPr>
          <w:rFonts w:asciiTheme="majorHAnsi" w:hAnsiTheme="majorHAnsi"/>
        </w:rPr>
        <w:t>A more detailed account</w:t>
      </w:r>
      <w:r w:rsidR="003F3508">
        <w:rPr>
          <w:rFonts w:asciiTheme="majorHAnsi" w:hAnsiTheme="majorHAnsi"/>
        </w:rPr>
        <w:t xml:space="preserve"> of the </w:t>
      </w:r>
      <w:r w:rsidR="00543BC5">
        <w:rPr>
          <w:rFonts w:asciiTheme="majorHAnsi" w:hAnsiTheme="majorHAnsi"/>
        </w:rPr>
        <w:t xml:space="preserve">supporting </w:t>
      </w:r>
      <w:r w:rsidR="003F3508">
        <w:rPr>
          <w:rFonts w:asciiTheme="majorHAnsi" w:hAnsiTheme="majorHAnsi"/>
        </w:rPr>
        <w:t>testimony</w:t>
      </w:r>
      <w:r w:rsidR="00543BC5">
        <w:rPr>
          <w:rFonts w:asciiTheme="majorHAnsi" w:hAnsiTheme="majorHAnsi"/>
        </w:rPr>
        <w:t xml:space="preserve"> is</w:t>
      </w:r>
      <w:r w:rsidR="003F3508">
        <w:rPr>
          <w:rFonts w:asciiTheme="majorHAnsi" w:hAnsiTheme="majorHAnsi"/>
        </w:rPr>
        <w:t xml:space="preserve"> provided in Appendix </w:t>
      </w:r>
      <w:r w:rsidR="00543BC5">
        <w:rPr>
          <w:rFonts w:asciiTheme="majorHAnsi" w:hAnsiTheme="majorHAnsi"/>
        </w:rPr>
        <w:t>B.</w:t>
      </w:r>
    </w:p>
    <w:p w14:paraId="2DA11146" w14:textId="76B30262" w:rsidR="00DC30DD" w:rsidRPr="0016351D" w:rsidRDefault="00495467" w:rsidP="008813AD">
      <w:pPr>
        <w:pStyle w:val="Heading2"/>
      </w:pPr>
      <w:bookmarkStart w:id="11" w:name="_Toc425145064"/>
      <w:r w:rsidRPr="0016351D">
        <w:lastRenderedPageBreak/>
        <w:t xml:space="preserve">Concerns </w:t>
      </w:r>
      <w:r w:rsidR="00A130AE">
        <w:t>a</w:t>
      </w:r>
      <w:r w:rsidR="008C5565" w:rsidRPr="0016351D">
        <w:t>bout Tools C</w:t>
      </w:r>
      <w:r w:rsidRPr="0016351D">
        <w:t>o</w:t>
      </w:r>
      <w:r w:rsidR="008C5565" w:rsidRPr="0016351D">
        <w:t>mmonly Used to Protect P</w:t>
      </w:r>
      <w:r w:rsidR="00545F58" w:rsidRPr="0016351D">
        <w:t>rivacy</w:t>
      </w:r>
      <w:bookmarkEnd w:id="11"/>
      <w:r w:rsidR="00297B2C" w:rsidRPr="0016351D">
        <w:t xml:space="preserve"> </w:t>
      </w:r>
    </w:p>
    <w:p w14:paraId="1720809A" w14:textId="697D0893" w:rsidR="00F35B6C" w:rsidRPr="0016351D" w:rsidRDefault="00565467" w:rsidP="00FB0CD5">
      <w:pPr>
        <w:rPr>
          <w:rFonts w:asciiTheme="majorHAnsi" w:hAnsiTheme="majorHAnsi"/>
        </w:rPr>
      </w:pPr>
      <w:r w:rsidRPr="0016351D">
        <w:rPr>
          <w:rFonts w:asciiTheme="majorHAnsi" w:hAnsiTheme="majorHAnsi"/>
        </w:rPr>
        <w:t xml:space="preserve">Big data is blurring the lines </w:t>
      </w:r>
      <w:r w:rsidR="00510A0A" w:rsidRPr="0016351D">
        <w:rPr>
          <w:rFonts w:asciiTheme="majorHAnsi" w:hAnsiTheme="majorHAnsi"/>
        </w:rPr>
        <w:t xml:space="preserve">between </w:t>
      </w:r>
      <w:r w:rsidR="00BB73DC" w:rsidRPr="0016351D">
        <w:rPr>
          <w:rFonts w:asciiTheme="majorHAnsi" w:hAnsiTheme="majorHAnsi"/>
        </w:rPr>
        <w:t>traditional</w:t>
      </w:r>
      <w:r w:rsidR="007F2E6A" w:rsidRPr="0016351D">
        <w:rPr>
          <w:rFonts w:asciiTheme="majorHAnsi" w:hAnsiTheme="majorHAnsi"/>
        </w:rPr>
        <w:t xml:space="preserve"> </w:t>
      </w:r>
      <w:r w:rsidR="005128A2" w:rsidRPr="0016351D">
        <w:rPr>
          <w:rFonts w:asciiTheme="majorHAnsi" w:hAnsiTheme="majorHAnsi"/>
        </w:rPr>
        <w:t xml:space="preserve">health </w:t>
      </w:r>
      <w:r w:rsidR="00385460">
        <w:rPr>
          <w:rFonts w:asciiTheme="majorHAnsi" w:hAnsiTheme="majorHAnsi"/>
        </w:rPr>
        <w:t>information</w:t>
      </w:r>
      <w:r w:rsidR="00385460" w:rsidRPr="0016351D">
        <w:rPr>
          <w:rFonts w:asciiTheme="majorHAnsi" w:hAnsiTheme="majorHAnsi"/>
        </w:rPr>
        <w:t xml:space="preserve"> </w:t>
      </w:r>
      <w:r w:rsidR="008A467B" w:rsidRPr="0016351D">
        <w:rPr>
          <w:rFonts w:asciiTheme="majorHAnsi" w:hAnsiTheme="majorHAnsi"/>
        </w:rPr>
        <w:t xml:space="preserve">(e.g., clinical or billing </w:t>
      </w:r>
      <w:r w:rsidR="00385460">
        <w:rPr>
          <w:rFonts w:asciiTheme="majorHAnsi" w:hAnsiTheme="majorHAnsi"/>
        </w:rPr>
        <w:t>information</w:t>
      </w:r>
      <w:r w:rsidR="008A467B" w:rsidRPr="0016351D">
        <w:rPr>
          <w:rFonts w:asciiTheme="majorHAnsi" w:hAnsiTheme="majorHAnsi"/>
        </w:rPr>
        <w:t>)</w:t>
      </w:r>
      <w:r w:rsidR="007F2E6A" w:rsidRPr="0016351D">
        <w:rPr>
          <w:rFonts w:asciiTheme="majorHAnsi" w:hAnsiTheme="majorHAnsi"/>
        </w:rPr>
        <w:t xml:space="preserve"> </w:t>
      </w:r>
      <w:r w:rsidRPr="0016351D">
        <w:rPr>
          <w:rFonts w:asciiTheme="majorHAnsi" w:hAnsiTheme="majorHAnsi"/>
        </w:rPr>
        <w:t>and</w:t>
      </w:r>
      <w:r w:rsidR="005128A2" w:rsidRPr="0016351D">
        <w:rPr>
          <w:rFonts w:asciiTheme="majorHAnsi" w:hAnsiTheme="majorHAnsi"/>
        </w:rPr>
        <w:t xml:space="preserve"> other </w:t>
      </w:r>
      <w:r w:rsidR="008A467B" w:rsidRPr="0016351D">
        <w:rPr>
          <w:rFonts w:asciiTheme="majorHAnsi" w:hAnsiTheme="majorHAnsi"/>
        </w:rPr>
        <w:t xml:space="preserve">information (e.g., </w:t>
      </w:r>
      <w:r w:rsidR="000D65D0" w:rsidRPr="0016351D">
        <w:rPr>
          <w:rFonts w:asciiTheme="majorHAnsi" w:hAnsiTheme="majorHAnsi"/>
        </w:rPr>
        <w:t xml:space="preserve">user-generated </w:t>
      </w:r>
      <w:r w:rsidR="00385460">
        <w:rPr>
          <w:rFonts w:asciiTheme="majorHAnsi" w:hAnsiTheme="majorHAnsi"/>
        </w:rPr>
        <w:t>information</w:t>
      </w:r>
      <w:r w:rsidR="00385460" w:rsidRPr="0016351D">
        <w:rPr>
          <w:rFonts w:asciiTheme="majorHAnsi" w:hAnsiTheme="majorHAnsi"/>
        </w:rPr>
        <w:t xml:space="preserve"> </w:t>
      </w:r>
      <w:r w:rsidR="008A467B" w:rsidRPr="0016351D">
        <w:rPr>
          <w:rFonts w:asciiTheme="majorHAnsi" w:hAnsiTheme="majorHAnsi"/>
        </w:rPr>
        <w:t>about</w:t>
      </w:r>
      <w:r w:rsidR="00BA2E0E" w:rsidRPr="0016351D">
        <w:rPr>
          <w:rFonts w:asciiTheme="majorHAnsi" w:hAnsiTheme="majorHAnsi"/>
        </w:rPr>
        <w:t xml:space="preserve"> diet, steps, workouts, sleep, and mood</w:t>
      </w:r>
      <w:r w:rsidR="008A467B" w:rsidRPr="0016351D">
        <w:rPr>
          <w:rFonts w:asciiTheme="majorHAnsi" w:hAnsiTheme="majorHAnsi"/>
        </w:rPr>
        <w:t>)</w:t>
      </w:r>
      <w:r w:rsidR="007F2E6A" w:rsidRPr="0016351D">
        <w:rPr>
          <w:rFonts w:asciiTheme="majorHAnsi" w:hAnsiTheme="majorHAnsi"/>
        </w:rPr>
        <w:t>.</w:t>
      </w:r>
      <w:r w:rsidR="000D65D0" w:rsidRPr="0016351D">
        <w:rPr>
          <w:rStyle w:val="FootnoteReference"/>
          <w:rFonts w:asciiTheme="majorHAnsi" w:hAnsiTheme="majorHAnsi"/>
        </w:rPr>
        <w:footnoteReference w:id="28"/>
      </w:r>
      <w:r w:rsidR="000D65D0" w:rsidRPr="0016351D">
        <w:rPr>
          <w:rFonts w:asciiTheme="majorHAnsi" w:hAnsiTheme="majorHAnsi"/>
        </w:rPr>
        <w:t xml:space="preserve"> </w:t>
      </w:r>
      <w:r w:rsidR="007F2E6A" w:rsidRPr="0016351D">
        <w:rPr>
          <w:rFonts w:asciiTheme="majorHAnsi" w:hAnsiTheme="majorHAnsi"/>
        </w:rPr>
        <w:t xml:space="preserve"> </w:t>
      </w:r>
      <w:r w:rsidR="005A60F1" w:rsidRPr="0016351D">
        <w:rPr>
          <w:rFonts w:asciiTheme="majorHAnsi" w:hAnsiTheme="majorHAnsi"/>
        </w:rPr>
        <w:t xml:space="preserve">Consequently, </w:t>
      </w:r>
      <w:r w:rsidR="0010792E" w:rsidRPr="0016351D">
        <w:rPr>
          <w:rFonts w:asciiTheme="majorHAnsi" w:hAnsiTheme="majorHAnsi"/>
        </w:rPr>
        <w:t xml:space="preserve">defining </w:t>
      </w:r>
      <w:r w:rsidR="005A60F1" w:rsidRPr="0016351D">
        <w:rPr>
          <w:rFonts w:asciiTheme="majorHAnsi" w:hAnsiTheme="majorHAnsi"/>
        </w:rPr>
        <w:t xml:space="preserve">health </w:t>
      </w:r>
      <w:r w:rsidR="003D615A">
        <w:rPr>
          <w:rFonts w:asciiTheme="majorHAnsi" w:hAnsiTheme="majorHAnsi"/>
        </w:rPr>
        <w:t>information</w:t>
      </w:r>
      <w:r w:rsidR="003D615A" w:rsidRPr="0016351D">
        <w:rPr>
          <w:rFonts w:asciiTheme="majorHAnsi" w:hAnsiTheme="majorHAnsi"/>
        </w:rPr>
        <w:t xml:space="preserve"> </w:t>
      </w:r>
      <w:r w:rsidR="005A60F1" w:rsidRPr="0016351D">
        <w:rPr>
          <w:rFonts w:asciiTheme="majorHAnsi" w:hAnsiTheme="majorHAnsi"/>
        </w:rPr>
        <w:t xml:space="preserve">is </w:t>
      </w:r>
      <w:r w:rsidR="0010792E" w:rsidRPr="0016351D">
        <w:rPr>
          <w:rFonts w:asciiTheme="majorHAnsi" w:hAnsiTheme="majorHAnsi"/>
        </w:rPr>
        <w:t xml:space="preserve">becoming more </w:t>
      </w:r>
      <w:r w:rsidR="005A60F1" w:rsidRPr="0016351D">
        <w:rPr>
          <w:rFonts w:asciiTheme="majorHAnsi" w:hAnsiTheme="majorHAnsi"/>
        </w:rPr>
        <w:t xml:space="preserve">difficult because </w:t>
      </w:r>
      <w:r w:rsidR="00EB32EE" w:rsidRPr="0016351D">
        <w:rPr>
          <w:rFonts w:asciiTheme="majorHAnsi" w:hAnsiTheme="majorHAnsi"/>
        </w:rPr>
        <w:t xml:space="preserve">almost </w:t>
      </w:r>
      <w:r w:rsidR="00367652" w:rsidRPr="0016351D">
        <w:rPr>
          <w:rFonts w:asciiTheme="majorHAnsi" w:hAnsiTheme="majorHAnsi"/>
        </w:rPr>
        <w:t xml:space="preserve">all </w:t>
      </w:r>
      <w:r w:rsidR="003D615A">
        <w:rPr>
          <w:rFonts w:asciiTheme="majorHAnsi" w:hAnsiTheme="majorHAnsi"/>
        </w:rPr>
        <w:t>information</w:t>
      </w:r>
      <w:r w:rsidR="003D615A" w:rsidRPr="0016351D">
        <w:rPr>
          <w:rFonts w:asciiTheme="majorHAnsi" w:hAnsiTheme="majorHAnsi"/>
        </w:rPr>
        <w:t xml:space="preserve"> </w:t>
      </w:r>
      <w:r w:rsidR="00367652" w:rsidRPr="0016351D">
        <w:rPr>
          <w:rFonts w:asciiTheme="majorHAnsi" w:hAnsiTheme="majorHAnsi"/>
        </w:rPr>
        <w:t>has potential to, in some way,</w:t>
      </w:r>
      <w:r w:rsidR="0091683F" w:rsidRPr="0016351D">
        <w:rPr>
          <w:rFonts w:asciiTheme="majorHAnsi" w:hAnsiTheme="majorHAnsi"/>
        </w:rPr>
        <w:t xml:space="preserve"> be</w:t>
      </w:r>
      <w:r w:rsidR="00BB73DC" w:rsidRPr="0016351D">
        <w:rPr>
          <w:rFonts w:asciiTheme="majorHAnsi" w:hAnsiTheme="majorHAnsi"/>
        </w:rPr>
        <w:t>come</w:t>
      </w:r>
      <w:r w:rsidR="0091683F" w:rsidRPr="0016351D">
        <w:rPr>
          <w:rFonts w:asciiTheme="majorHAnsi" w:hAnsiTheme="majorHAnsi"/>
        </w:rPr>
        <w:t xml:space="preserve"> health</w:t>
      </w:r>
      <w:r w:rsidR="005128A2" w:rsidRPr="0016351D">
        <w:rPr>
          <w:rFonts w:asciiTheme="majorHAnsi" w:hAnsiTheme="majorHAnsi"/>
        </w:rPr>
        <w:t>-related</w:t>
      </w:r>
      <w:r w:rsidR="00046201" w:rsidRPr="0016351D">
        <w:rPr>
          <w:rFonts w:asciiTheme="majorHAnsi" w:hAnsiTheme="majorHAnsi"/>
        </w:rPr>
        <w:t xml:space="preserve"> </w:t>
      </w:r>
      <w:r w:rsidR="003D615A">
        <w:rPr>
          <w:rFonts w:asciiTheme="majorHAnsi" w:hAnsiTheme="majorHAnsi"/>
        </w:rPr>
        <w:t>information</w:t>
      </w:r>
      <w:r w:rsidR="00D7200F">
        <w:rPr>
          <w:rFonts w:asciiTheme="majorHAnsi" w:hAnsiTheme="majorHAnsi"/>
        </w:rPr>
        <w:t>, depending on how it is used</w:t>
      </w:r>
      <w:r w:rsidR="000D65D0" w:rsidRPr="0016351D">
        <w:rPr>
          <w:rFonts w:asciiTheme="majorHAnsi" w:hAnsiTheme="majorHAnsi"/>
        </w:rPr>
        <w:t>.</w:t>
      </w:r>
      <w:r w:rsidR="0091683F" w:rsidRPr="0016351D">
        <w:rPr>
          <w:rStyle w:val="FootnoteReference"/>
          <w:rFonts w:asciiTheme="majorHAnsi" w:hAnsiTheme="majorHAnsi"/>
        </w:rPr>
        <w:footnoteReference w:id="29"/>
      </w:r>
      <w:r w:rsidR="00214627" w:rsidRPr="0016351D">
        <w:rPr>
          <w:rFonts w:asciiTheme="majorHAnsi" w:hAnsiTheme="majorHAnsi"/>
        </w:rPr>
        <w:t xml:space="preserve"> </w:t>
      </w:r>
      <w:r w:rsidR="005F2AF0">
        <w:rPr>
          <w:rFonts w:asciiTheme="majorHAnsi" w:hAnsiTheme="majorHAnsi"/>
        </w:rPr>
        <w:t xml:space="preserve"> </w:t>
      </w:r>
      <w:r w:rsidR="00C271D7">
        <w:rPr>
          <w:rFonts w:asciiTheme="majorHAnsi" w:hAnsiTheme="majorHAnsi"/>
        </w:rPr>
        <w:t xml:space="preserve">Growth in the amount and availability of such </w:t>
      </w:r>
      <w:r w:rsidR="003D615A">
        <w:rPr>
          <w:rFonts w:asciiTheme="majorHAnsi" w:hAnsiTheme="majorHAnsi"/>
        </w:rPr>
        <w:t xml:space="preserve">information </w:t>
      </w:r>
      <w:r w:rsidR="00DC3504">
        <w:rPr>
          <w:rFonts w:asciiTheme="majorHAnsi" w:hAnsiTheme="majorHAnsi"/>
        </w:rPr>
        <w:t>places additional pressure on core FIPPs.</w:t>
      </w:r>
    </w:p>
    <w:p w14:paraId="54F24313" w14:textId="77777777" w:rsidR="008B3DAC" w:rsidRPr="0016351D" w:rsidRDefault="00495467" w:rsidP="008813AD">
      <w:pPr>
        <w:pStyle w:val="Heading3"/>
      </w:pPr>
      <w:bookmarkStart w:id="12" w:name="_Toc425145065"/>
      <w:r w:rsidRPr="0016351D">
        <w:t>De-identification</w:t>
      </w:r>
      <w:bookmarkEnd w:id="12"/>
    </w:p>
    <w:p w14:paraId="6D041368" w14:textId="0A15C068" w:rsidR="00B27223" w:rsidRPr="0016351D" w:rsidRDefault="00AE5630" w:rsidP="00B81D49">
      <w:pPr>
        <w:rPr>
          <w:rFonts w:asciiTheme="majorHAnsi" w:hAnsiTheme="majorHAnsi"/>
        </w:rPr>
      </w:pPr>
      <w:r w:rsidRPr="0016351D">
        <w:rPr>
          <w:rFonts w:asciiTheme="majorHAnsi" w:hAnsiTheme="majorHAnsi"/>
        </w:rPr>
        <w:t xml:space="preserve">De-identification </w:t>
      </w:r>
      <w:r w:rsidR="00026758" w:rsidRPr="0016351D">
        <w:rPr>
          <w:rFonts w:asciiTheme="majorHAnsi" w:hAnsiTheme="majorHAnsi"/>
        </w:rPr>
        <w:t>refers to</w:t>
      </w:r>
      <w:r w:rsidR="00280451" w:rsidRPr="0016351D">
        <w:rPr>
          <w:rFonts w:asciiTheme="majorHAnsi" w:hAnsiTheme="majorHAnsi"/>
        </w:rPr>
        <w:t xml:space="preserve"> </w:t>
      </w:r>
      <w:r w:rsidR="00D21536" w:rsidRPr="0016351D">
        <w:rPr>
          <w:rFonts w:asciiTheme="majorHAnsi" w:hAnsiTheme="majorHAnsi"/>
        </w:rPr>
        <w:t xml:space="preserve">the </w:t>
      </w:r>
      <w:r w:rsidR="008F1A1D" w:rsidRPr="0016351D">
        <w:rPr>
          <w:rFonts w:asciiTheme="majorHAnsi" w:hAnsiTheme="majorHAnsi"/>
        </w:rPr>
        <w:t xml:space="preserve">data anonymization </w:t>
      </w:r>
      <w:r w:rsidR="00026758" w:rsidRPr="0016351D">
        <w:rPr>
          <w:rFonts w:asciiTheme="majorHAnsi" w:hAnsiTheme="majorHAnsi"/>
        </w:rPr>
        <w:t xml:space="preserve">methods that </w:t>
      </w:r>
      <w:r w:rsidR="00631E81" w:rsidRPr="0016351D">
        <w:rPr>
          <w:rFonts w:asciiTheme="majorHAnsi" w:hAnsiTheme="majorHAnsi"/>
        </w:rPr>
        <w:t>obfuscate</w:t>
      </w:r>
      <w:r w:rsidR="00280451" w:rsidRPr="0016351D">
        <w:rPr>
          <w:rFonts w:asciiTheme="majorHAnsi" w:hAnsiTheme="majorHAnsi"/>
        </w:rPr>
        <w:t xml:space="preserve"> health information </w:t>
      </w:r>
      <w:r w:rsidR="00631E81" w:rsidRPr="0016351D">
        <w:rPr>
          <w:rFonts w:asciiTheme="majorHAnsi" w:hAnsiTheme="majorHAnsi"/>
        </w:rPr>
        <w:t xml:space="preserve">to keep it </w:t>
      </w:r>
      <w:r w:rsidR="00026758" w:rsidRPr="0016351D">
        <w:rPr>
          <w:rFonts w:asciiTheme="majorHAnsi" w:hAnsiTheme="majorHAnsi"/>
        </w:rPr>
        <w:t>confidential</w:t>
      </w:r>
      <w:r w:rsidR="005F2AF0">
        <w:rPr>
          <w:rFonts w:asciiTheme="majorHAnsi" w:hAnsiTheme="majorHAnsi"/>
        </w:rPr>
        <w:t xml:space="preserve">.  </w:t>
      </w:r>
      <w:r w:rsidR="00026758" w:rsidRPr="0016351D">
        <w:rPr>
          <w:rFonts w:asciiTheme="majorHAnsi" w:hAnsiTheme="majorHAnsi"/>
        </w:rPr>
        <w:t xml:space="preserve">HIPAA provides two methods of de-identification – safe harbor and expert determination – </w:t>
      </w:r>
      <w:r w:rsidR="00D45AD0" w:rsidRPr="0016351D">
        <w:rPr>
          <w:rFonts w:asciiTheme="majorHAnsi" w:hAnsiTheme="majorHAnsi"/>
        </w:rPr>
        <w:t>that</w:t>
      </w:r>
      <w:r w:rsidR="00026758" w:rsidRPr="0016351D">
        <w:rPr>
          <w:rFonts w:asciiTheme="majorHAnsi" w:hAnsiTheme="majorHAnsi"/>
        </w:rPr>
        <w:t xml:space="preserve"> are </w:t>
      </w:r>
      <w:r w:rsidR="00280451" w:rsidRPr="0016351D">
        <w:rPr>
          <w:rFonts w:asciiTheme="majorHAnsi" w:hAnsiTheme="majorHAnsi"/>
        </w:rPr>
        <w:t xml:space="preserve">widely </w:t>
      </w:r>
      <w:r w:rsidR="00026758" w:rsidRPr="0016351D">
        <w:rPr>
          <w:rFonts w:asciiTheme="majorHAnsi" w:hAnsiTheme="majorHAnsi"/>
        </w:rPr>
        <w:t xml:space="preserve">used </w:t>
      </w:r>
      <w:r w:rsidR="00276493" w:rsidRPr="0016351D">
        <w:rPr>
          <w:rFonts w:asciiTheme="majorHAnsi" w:hAnsiTheme="majorHAnsi"/>
        </w:rPr>
        <w:t>to facilitate</w:t>
      </w:r>
      <w:r w:rsidR="00D45AD0" w:rsidRPr="0016351D">
        <w:rPr>
          <w:rFonts w:asciiTheme="majorHAnsi" w:hAnsiTheme="majorHAnsi"/>
        </w:rPr>
        <w:t xml:space="preserve"> health research</w:t>
      </w:r>
      <w:r w:rsidR="00276493" w:rsidRPr="0016351D">
        <w:rPr>
          <w:rFonts w:asciiTheme="majorHAnsi" w:hAnsiTheme="majorHAnsi"/>
        </w:rPr>
        <w:t xml:space="preserve"> and are considered </w:t>
      </w:r>
      <w:r w:rsidR="008B77DE" w:rsidRPr="0016351D">
        <w:rPr>
          <w:rFonts w:asciiTheme="majorHAnsi" w:hAnsiTheme="majorHAnsi"/>
        </w:rPr>
        <w:t xml:space="preserve">a </w:t>
      </w:r>
      <w:r w:rsidR="00276493" w:rsidRPr="0016351D">
        <w:rPr>
          <w:rFonts w:asciiTheme="majorHAnsi" w:hAnsiTheme="majorHAnsi"/>
        </w:rPr>
        <w:t>power</w:t>
      </w:r>
      <w:r w:rsidR="00410580" w:rsidRPr="0016351D">
        <w:rPr>
          <w:rFonts w:asciiTheme="majorHAnsi" w:hAnsiTheme="majorHAnsi"/>
        </w:rPr>
        <w:t>ful</w:t>
      </w:r>
      <w:r w:rsidR="00276493" w:rsidRPr="0016351D">
        <w:rPr>
          <w:rFonts w:asciiTheme="majorHAnsi" w:hAnsiTheme="majorHAnsi"/>
        </w:rPr>
        <w:t xml:space="preserve"> privacy protective tool</w:t>
      </w:r>
      <w:r w:rsidRPr="0016351D">
        <w:rPr>
          <w:rFonts w:asciiTheme="majorHAnsi" w:hAnsiTheme="majorHAnsi"/>
        </w:rPr>
        <w:t>.</w:t>
      </w:r>
      <w:r w:rsidR="00CE5C95">
        <w:rPr>
          <w:rStyle w:val="FootnoteReference"/>
          <w:rFonts w:asciiTheme="majorHAnsi" w:hAnsiTheme="majorHAnsi"/>
        </w:rPr>
        <w:footnoteReference w:id="30"/>
      </w:r>
      <w:r w:rsidR="005F2AF0">
        <w:rPr>
          <w:rFonts w:asciiTheme="majorHAnsi" w:hAnsiTheme="majorHAnsi"/>
        </w:rPr>
        <w:t xml:space="preserve"> </w:t>
      </w:r>
      <w:r w:rsidR="00E51762" w:rsidRPr="0016351D">
        <w:rPr>
          <w:rFonts w:asciiTheme="majorHAnsi" w:hAnsiTheme="majorHAnsi"/>
        </w:rPr>
        <w:t xml:space="preserve"> </w:t>
      </w:r>
      <w:r w:rsidR="00224CB4" w:rsidRPr="0016351D">
        <w:rPr>
          <w:rFonts w:asciiTheme="majorHAnsi" w:hAnsiTheme="majorHAnsi"/>
        </w:rPr>
        <w:t xml:space="preserve">Nevertheless, several presenters noted important weaknesses in the current HIPAA de-identification </w:t>
      </w:r>
      <w:r w:rsidR="003B49EF" w:rsidRPr="0016351D">
        <w:rPr>
          <w:rFonts w:asciiTheme="majorHAnsi" w:hAnsiTheme="majorHAnsi"/>
        </w:rPr>
        <w:t>practices</w:t>
      </w:r>
      <w:r w:rsidR="00224CB4" w:rsidRPr="0016351D">
        <w:rPr>
          <w:rFonts w:asciiTheme="majorHAnsi" w:hAnsiTheme="majorHAnsi"/>
        </w:rPr>
        <w:t xml:space="preserve"> and offered </w:t>
      </w:r>
      <w:r w:rsidR="005D376C" w:rsidRPr="0016351D">
        <w:rPr>
          <w:rFonts w:asciiTheme="majorHAnsi" w:hAnsiTheme="majorHAnsi"/>
        </w:rPr>
        <w:t>specific solutions</w:t>
      </w:r>
      <w:r w:rsidR="005F2AF0">
        <w:rPr>
          <w:rFonts w:asciiTheme="majorHAnsi" w:hAnsiTheme="majorHAnsi"/>
        </w:rPr>
        <w:t xml:space="preserve">.  </w:t>
      </w:r>
      <w:r w:rsidR="00B6458C">
        <w:rPr>
          <w:rFonts w:asciiTheme="majorHAnsi" w:hAnsiTheme="majorHAnsi"/>
        </w:rPr>
        <w:t>Specifically,</w:t>
      </w:r>
      <w:r w:rsidR="00D00D21">
        <w:rPr>
          <w:rFonts w:asciiTheme="majorHAnsi" w:hAnsiTheme="majorHAnsi"/>
        </w:rPr>
        <w:t xml:space="preserve"> </w:t>
      </w:r>
      <w:r w:rsidR="009E0DB7">
        <w:rPr>
          <w:rFonts w:asciiTheme="majorHAnsi" w:hAnsiTheme="majorHAnsi"/>
        </w:rPr>
        <w:t>s</w:t>
      </w:r>
      <w:r w:rsidR="00D00D21">
        <w:rPr>
          <w:rFonts w:asciiTheme="majorHAnsi" w:hAnsiTheme="majorHAnsi"/>
        </w:rPr>
        <w:t xml:space="preserve">afe </w:t>
      </w:r>
      <w:r w:rsidR="009E0DB7">
        <w:rPr>
          <w:rFonts w:asciiTheme="majorHAnsi" w:hAnsiTheme="majorHAnsi"/>
        </w:rPr>
        <w:t>h</w:t>
      </w:r>
      <w:r w:rsidR="00D00D21">
        <w:rPr>
          <w:rFonts w:asciiTheme="majorHAnsi" w:hAnsiTheme="majorHAnsi"/>
        </w:rPr>
        <w:t>arbor</w:t>
      </w:r>
      <w:r w:rsidR="00B6458C">
        <w:rPr>
          <w:rFonts w:asciiTheme="majorHAnsi" w:hAnsiTheme="majorHAnsi"/>
        </w:rPr>
        <w:t xml:space="preserve"> poses</w:t>
      </w:r>
      <w:r w:rsidR="00CC0E55">
        <w:rPr>
          <w:rFonts w:asciiTheme="majorHAnsi" w:hAnsiTheme="majorHAnsi"/>
        </w:rPr>
        <w:t xml:space="preserve"> a higher risk of re-identification</w:t>
      </w:r>
      <w:r w:rsidR="00B6458C">
        <w:rPr>
          <w:rFonts w:asciiTheme="majorHAnsi" w:hAnsiTheme="majorHAnsi"/>
        </w:rPr>
        <w:t xml:space="preserve"> and its use should be re-evaluated</w:t>
      </w:r>
      <w:r w:rsidR="005F2AF0">
        <w:rPr>
          <w:rFonts w:asciiTheme="majorHAnsi" w:hAnsiTheme="majorHAnsi"/>
        </w:rPr>
        <w:t xml:space="preserve">.  </w:t>
      </w:r>
      <w:r w:rsidR="00CC0E55">
        <w:rPr>
          <w:rFonts w:asciiTheme="majorHAnsi" w:hAnsiTheme="majorHAnsi"/>
        </w:rPr>
        <w:t>With regard to expert determination</w:t>
      </w:r>
      <w:r w:rsidR="00D15AEC">
        <w:rPr>
          <w:rFonts w:asciiTheme="majorHAnsi" w:hAnsiTheme="majorHAnsi"/>
        </w:rPr>
        <w:t xml:space="preserve">, presenters cited the need </w:t>
      </w:r>
      <w:r w:rsidR="00D027AB">
        <w:rPr>
          <w:rFonts w:asciiTheme="majorHAnsi" w:hAnsiTheme="majorHAnsi"/>
        </w:rPr>
        <w:t>to establish common, publicly scrutinized standards</w:t>
      </w:r>
      <w:r w:rsidR="00D15AEC">
        <w:rPr>
          <w:rFonts w:asciiTheme="majorHAnsi" w:hAnsiTheme="majorHAnsi"/>
        </w:rPr>
        <w:t>.</w:t>
      </w:r>
      <w:r w:rsidR="00D15AEC" w:rsidRPr="0016351D">
        <w:rPr>
          <w:rStyle w:val="FootnoteReference"/>
          <w:rFonts w:asciiTheme="majorHAnsi" w:hAnsiTheme="majorHAnsi"/>
        </w:rPr>
        <w:footnoteReference w:id="31"/>
      </w:r>
      <w:r w:rsidR="005F2AF0">
        <w:rPr>
          <w:rFonts w:asciiTheme="majorHAnsi" w:hAnsiTheme="majorHAnsi"/>
        </w:rPr>
        <w:t xml:space="preserve"> </w:t>
      </w:r>
      <w:r w:rsidR="00D15AEC" w:rsidRPr="0016351D">
        <w:rPr>
          <w:rFonts w:asciiTheme="majorHAnsi" w:hAnsiTheme="majorHAnsi"/>
        </w:rPr>
        <w:t xml:space="preserve"> </w:t>
      </w:r>
      <w:r w:rsidR="00FD765A">
        <w:rPr>
          <w:rFonts w:asciiTheme="majorHAnsi" w:hAnsiTheme="majorHAnsi"/>
        </w:rPr>
        <w:t>Several panelists urged that progress be made to prohibit re-identification.</w:t>
      </w:r>
      <w:r w:rsidR="00FD765A" w:rsidRPr="0016351D">
        <w:rPr>
          <w:rStyle w:val="FootnoteReference"/>
          <w:rFonts w:asciiTheme="majorHAnsi" w:hAnsiTheme="majorHAnsi"/>
        </w:rPr>
        <w:footnoteReference w:id="32"/>
      </w:r>
    </w:p>
    <w:p w14:paraId="50695F03" w14:textId="77777777" w:rsidR="008B3DAC" w:rsidRPr="0016351D" w:rsidRDefault="00495467" w:rsidP="008813AD">
      <w:pPr>
        <w:pStyle w:val="Heading3"/>
      </w:pPr>
      <w:bookmarkStart w:id="13" w:name="_Toc425145066"/>
      <w:r w:rsidRPr="0016351D">
        <w:t>Patient consent</w:t>
      </w:r>
      <w:bookmarkEnd w:id="13"/>
    </w:p>
    <w:p w14:paraId="756ED505" w14:textId="35E74C75" w:rsidR="009C22CB" w:rsidRDefault="00AF3BD2" w:rsidP="00713A8C">
      <w:pPr>
        <w:rPr>
          <w:rFonts w:asciiTheme="majorHAnsi" w:hAnsiTheme="majorHAnsi"/>
        </w:rPr>
      </w:pPr>
      <w:r w:rsidRPr="0016351D">
        <w:rPr>
          <w:rFonts w:asciiTheme="majorHAnsi" w:hAnsiTheme="majorHAnsi"/>
        </w:rPr>
        <w:t>A patient’</w:t>
      </w:r>
      <w:r w:rsidR="00A75E8F" w:rsidRPr="0016351D">
        <w:rPr>
          <w:rFonts w:asciiTheme="majorHAnsi" w:hAnsiTheme="majorHAnsi"/>
        </w:rPr>
        <w:t xml:space="preserve">s </w:t>
      </w:r>
      <w:r w:rsidR="002A4051" w:rsidRPr="0016351D">
        <w:rPr>
          <w:rFonts w:asciiTheme="majorHAnsi" w:hAnsiTheme="majorHAnsi"/>
        </w:rPr>
        <w:t>meaningful</w:t>
      </w:r>
      <w:r w:rsidR="00C11B21" w:rsidRPr="0016351D">
        <w:rPr>
          <w:rFonts w:asciiTheme="majorHAnsi" w:hAnsiTheme="majorHAnsi"/>
        </w:rPr>
        <w:t xml:space="preserve"> consent to authorize the </w:t>
      </w:r>
      <w:r w:rsidR="002A4051" w:rsidRPr="0016351D">
        <w:rPr>
          <w:rFonts w:asciiTheme="majorHAnsi" w:hAnsiTheme="majorHAnsi"/>
        </w:rPr>
        <w:t xml:space="preserve">use and </w:t>
      </w:r>
      <w:r w:rsidR="00C11B21" w:rsidRPr="0016351D">
        <w:rPr>
          <w:rFonts w:asciiTheme="majorHAnsi" w:hAnsiTheme="majorHAnsi"/>
        </w:rPr>
        <w:t xml:space="preserve">sharing of </w:t>
      </w:r>
      <w:r w:rsidR="002A4051" w:rsidRPr="0016351D">
        <w:rPr>
          <w:rFonts w:asciiTheme="majorHAnsi" w:hAnsiTheme="majorHAnsi"/>
        </w:rPr>
        <w:t>personal health information</w:t>
      </w:r>
      <w:r w:rsidRPr="0016351D">
        <w:rPr>
          <w:rFonts w:asciiTheme="majorHAnsi" w:hAnsiTheme="majorHAnsi"/>
        </w:rPr>
        <w:t xml:space="preserve"> </w:t>
      </w:r>
      <w:r w:rsidR="002A4051" w:rsidRPr="0016351D">
        <w:rPr>
          <w:rFonts w:asciiTheme="majorHAnsi" w:hAnsiTheme="majorHAnsi"/>
        </w:rPr>
        <w:t>is a valu</w:t>
      </w:r>
      <w:r w:rsidR="00A87499" w:rsidRPr="0016351D">
        <w:rPr>
          <w:rFonts w:asciiTheme="majorHAnsi" w:hAnsiTheme="majorHAnsi"/>
        </w:rPr>
        <w:t>able</w:t>
      </w:r>
      <w:r w:rsidR="002A4051" w:rsidRPr="0016351D">
        <w:rPr>
          <w:rFonts w:asciiTheme="majorHAnsi" w:hAnsiTheme="majorHAnsi"/>
        </w:rPr>
        <w:t xml:space="preserve"> tool for protecting privacy and individual autonomy.</w:t>
      </w:r>
      <w:r w:rsidR="002A4051" w:rsidRPr="0016351D">
        <w:rPr>
          <w:rStyle w:val="FootnoteReference"/>
          <w:rFonts w:asciiTheme="majorHAnsi" w:hAnsiTheme="majorHAnsi"/>
        </w:rPr>
        <w:footnoteReference w:id="33"/>
      </w:r>
      <w:r w:rsidR="005F2AF0">
        <w:rPr>
          <w:rFonts w:asciiTheme="majorHAnsi" w:hAnsiTheme="majorHAnsi"/>
        </w:rPr>
        <w:t xml:space="preserve"> </w:t>
      </w:r>
      <w:r w:rsidR="002020BC" w:rsidRPr="0016351D">
        <w:rPr>
          <w:rFonts w:asciiTheme="majorHAnsi" w:hAnsiTheme="majorHAnsi"/>
        </w:rPr>
        <w:t xml:space="preserve"> </w:t>
      </w:r>
      <w:r w:rsidR="001C3FDC" w:rsidRPr="0016351D">
        <w:rPr>
          <w:rFonts w:asciiTheme="majorHAnsi" w:hAnsiTheme="majorHAnsi"/>
        </w:rPr>
        <w:t>The Workgroup approached the consent issue by assessing how it works both within the HIPAA environment and outside the HIPAA environment, with a particula</w:t>
      </w:r>
      <w:r w:rsidR="007C458A">
        <w:rPr>
          <w:rFonts w:asciiTheme="majorHAnsi" w:hAnsiTheme="majorHAnsi"/>
        </w:rPr>
        <w:t>r focus on consent for research</w:t>
      </w:r>
      <w:r w:rsidR="00A952AB">
        <w:rPr>
          <w:rFonts w:asciiTheme="majorHAnsi" w:hAnsiTheme="majorHAnsi"/>
        </w:rPr>
        <w:t xml:space="preserve"> and consent in the non-HIPAA Internet of Things environment</w:t>
      </w:r>
      <w:r w:rsidR="005F2AF0">
        <w:rPr>
          <w:rFonts w:asciiTheme="majorHAnsi" w:hAnsiTheme="majorHAnsi"/>
        </w:rPr>
        <w:t xml:space="preserve">.  </w:t>
      </w:r>
      <w:r w:rsidR="0022226E">
        <w:rPr>
          <w:rFonts w:asciiTheme="majorHAnsi" w:hAnsiTheme="majorHAnsi"/>
        </w:rPr>
        <w:t>Panelists</w:t>
      </w:r>
      <w:r w:rsidR="00524B22">
        <w:rPr>
          <w:rFonts w:asciiTheme="majorHAnsi" w:hAnsiTheme="majorHAnsi"/>
        </w:rPr>
        <w:t xml:space="preserve"> and PSWG members discussed the degree to which people can and wish to control their health information, </w:t>
      </w:r>
      <w:r w:rsidR="009C22CB">
        <w:rPr>
          <w:rFonts w:asciiTheme="majorHAnsi" w:hAnsiTheme="majorHAnsi"/>
        </w:rPr>
        <w:t xml:space="preserve">as well as the difficulty of obtaining meaningful consent when big data analytics is </w:t>
      </w:r>
      <w:r w:rsidR="007C458A">
        <w:rPr>
          <w:rFonts w:asciiTheme="majorHAnsi" w:hAnsiTheme="majorHAnsi"/>
        </w:rPr>
        <w:t>leveraged for</w:t>
      </w:r>
      <w:r w:rsidR="009C22CB">
        <w:rPr>
          <w:rFonts w:asciiTheme="majorHAnsi" w:hAnsiTheme="majorHAnsi"/>
        </w:rPr>
        <w:t xml:space="preserve"> various secondary uses of data.</w:t>
      </w:r>
      <w:r w:rsidR="007C458A" w:rsidRPr="0016351D">
        <w:rPr>
          <w:rStyle w:val="FootnoteReference"/>
          <w:rFonts w:asciiTheme="majorHAnsi" w:hAnsiTheme="majorHAnsi"/>
        </w:rPr>
        <w:footnoteReference w:id="34"/>
      </w:r>
      <w:r w:rsidR="007C458A" w:rsidRPr="0016351D">
        <w:rPr>
          <w:rFonts w:asciiTheme="majorHAnsi" w:hAnsiTheme="majorHAnsi"/>
        </w:rPr>
        <w:t xml:space="preserve"> </w:t>
      </w:r>
      <w:r w:rsidR="009C22CB">
        <w:rPr>
          <w:rFonts w:asciiTheme="majorHAnsi" w:hAnsiTheme="majorHAnsi"/>
        </w:rPr>
        <w:t xml:space="preserve"> </w:t>
      </w:r>
    </w:p>
    <w:p w14:paraId="37EF2657" w14:textId="77777777" w:rsidR="00495467" w:rsidRPr="0016351D" w:rsidRDefault="00495467" w:rsidP="007C27A2">
      <w:pPr>
        <w:pStyle w:val="Heading3"/>
      </w:pPr>
      <w:bookmarkStart w:id="14" w:name="_Toc425145067"/>
      <w:r w:rsidRPr="0016351D">
        <w:t>Data security</w:t>
      </w:r>
      <w:bookmarkEnd w:id="14"/>
    </w:p>
    <w:p w14:paraId="6C9EA574" w14:textId="3DE94317" w:rsidR="00C0386D" w:rsidRPr="0016351D" w:rsidRDefault="00334B6C" w:rsidP="00621F3B">
      <w:pPr>
        <w:rPr>
          <w:rFonts w:asciiTheme="majorHAnsi" w:hAnsiTheme="majorHAnsi"/>
        </w:rPr>
      </w:pPr>
      <w:r w:rsidRPr="0016351D">
        <w:rPr>
          <w:rFonts w:asciiTheme="majorHAnsi" w:hAnsiTheme="majorHAnsi"/>
        </w:rPr>
        <w:t xml:space="preserve">Security, including data breaches, </w:t>
      </w:r>
      <w:r w:rsidR="00882540" w:rsidRPr="0016351D">
        <w:rPr>
          <w:rFonts w:asciiTheme="majorHAnsi" w:hAnsiTheme="majorHAnsi"/>
        </w:rPr>
        <w:t>was highlighted as one of the most pressing issues f</w:t>
      </w:r>
      <w:r w:rsidRPr="0016351D">
        <w:rPr>
          <w:rFonts w:asciiTheme="majorHAnsi" w:hAnsiTheme="majorHAnsi"/>
        </w:rPr>
        <w:t>or big data in healthcare.</w:t>
      </w:r>
      <w:r w:rsidRPr="0016351D">
        <w:rPr>
          <w:rStyle w:val="FootnoteReference"/>
          <w:rFonts w:asciiTheme="majorHAnsi" w:hAnsiTheme="majorHAnsi"/>
        </w:rPr>
        <w:footnoteReference w:id="35"/>
      </w:r>
      <w:r w:rsidRPr="0016351D">
        <w:rPr>
          <w:rFonts w:asciiTheme="majorHAnsi" w:hAnsiTheme="majorHAnsi"/>
        </w:rPr>
        <w:t xml:space="preserve"> </w:t>
      </w:r>
      <w:r w:rsidR="005F2AF0">
        <w:rPr>
          <w:rFonts w:asciiTheme="majorHAnsi" w:hAnsiTheme="majorHAnsi"/>
        </w:rPr>
        <w:t xml:space="preserve"> T</w:t>
      </w:r>
      <w:r w:rsidR="001B74BE" w:rsidRPr="0016351D">
        <w:rPr>
          <w:rFonts w:asciiTheme="majorHAnsi" w:hAnsiTheme="majorHAnsi"/>
        </w:rPr>
        <w:t xml:space="preserve">o build trust in a robust health big data ecosystem, </w:t>
      </w:r>
      <w:r w:rsidR="00704F63">
        <w:rPr>
          <w:rFonts w:asciiTheme="majorHAnsi" w:hAnsiTheme="majorHAnsi"/>
        </w:rPr>
        <w:t>panelists emphasized the need for a holistic approach</w:t>
      </w:r>
      <w:r w:rsidR="009F06F1">
        <w:rPr>
          <w:rFonts w:asciiTheme="majorHAnsi" w:hAnsiTheme="majorHAnsi"/>
        </w:rPr>
        <w:t xml:space="preserve"> to security, which </w:t>
      </w:r>
      <w:r w:rsidR="00704F63">
        <w:rPr>
          <w:rFonts w:asciiTheme="majorHAnsi" w:hAnsiTheme="majorHAnsi"/>
        </w:rPr>
        <w:t xml:space="preserve">includes embracing </w:t>
      </w:r>
      <w:r w:rsidR="00CB1B59">
        <w:rPr>
          <w:rFonts w:asciiTheme="majorHAnsi" w:hAnsiTheme="majorHAnsi"/>
        </w:rPr>
        <w:t xml:space="preserve">end-to-end </w:t>
      </w:r>
      <w:r w:rsidR="009E0DB7">
        <w:rPr>
          <w:rFonts w:asciiTheme="majorHAnsi" w:hAnsiTheme="majorHAnsi"/>
        </w:rPr>
        <w:t xml:space="preserve">security </w:t>
      </w:r>
      <w:r w:rsidR="00194DB6">
        <w:rPr>
          <w:rFonts w:asciiTheme="majorHAnsi" w:hAnsiTheme="majorHAnsi"/>
        </w:rPr>
        <w:lastRenderedPageBreak/>
        <w:t>policy and technology frameworks that apply broadly, regardless of whether organization</w:t>
      </w:r>
      <w:r w:rsidR="0099310E">
        <w:rPr>
          <w:rFonts w:asciiTheme="majorHAnsi" w:hAnsiTheme="majorHAnsi"/>
        </w:rPr>
        <w:t>s</w:t>
      </w:r>
      <w:r w:rsidR="00194DB6">
        <w:rPr>
          <w:rFonts w:asciiTheme="majorHAnsi" w:hAnsiTheme="majorHAnsi"/>
        </w:rPr>
        <w:t xml:space="preserve"> </w:t>
      </w:r>
      <w:r w:rsidR="0099310E">
        <w:rPr>
          <w:rFonts w:asciiTheme="majorHAnsi" w:hAnsiTheme="majorHAnsi"/>
        </w:rPr>
        <w:t>are covered by HIPAA</w:t>
      </w:r>
      <w:r w:rsidR="002537B7" w:rsidRPr="0016351D">
        <w:rPr>
          <w:rFonts w:asciiTheme="majorHAnsi" w:hAnsiTheme="majorHAnsi"/>
        </w:rPr>
        <w:t>.</w:t>
      </w:r>
      <w:r w:rsidR="002537B7" w:rsidRPr="0016351D">
        <w:rPr>
          <w:rStyle w:val="FootnoteReference"/>
          <w:rFonts w:asciiTheme="majorHAnsi" w:hAnsiTheme="majorHAnsi"/>
        </w:rPr>
        <w:footnoteReference w:id="36"/>
      </w:r>
      <w:r w:rsidR="00761FD8" w:rsidRPr="0016351D">
        <w:rPr>
          <w:rFonts w:asciiTheme="majorHAnsi" w:hAnsiTheme="majorHAnsi"/>
        </w:rPr>
        <w:t xml:space="preserve"> </w:t>
      </w:r>
      <w:r w:rsidR="005F2AF0">
        <w:rPr>
          <w:rFonts w:asciiTheme="majorHAnsi" w:hAnsiTheme="majorHAnsi"/>
        </w:rPr>
        <w:t xml:space="preserve"> </w:t>
      </w:r>
      <w:r w:rsidR="00712DEC" w:rsidRPr="0016351D">
        <w:rPr>
          <w:rFonts w:asciiTheme="majorHAnsi" w:hAnsiTheme="majorHAnsi"/>
        </w:rPr>
        <w:t xml:space="preserve">In any environment, </w:t>
      </w:r>
      <w:r w:rsidR="00A52C1B">
        <w:rPr>
          <w:rFonts w:asciiTheme="majorHAnsi" w:hAnsiTheme="majorHAnsi"/>
        </w:rPr>
        <w:t>information</w:t>
      </w:r>
      <w:r w:rsidR="00A52C1B" w:rsidRPr="0016351D">
        <w:rPr>
          <w:rFonts w:asciiTheme="majorHAnsi" w:hAnsiTheme="majorHAnsi"/>
        </w:rPr>
        <w:t xml:space="preserve"> </w:t>
      </w:r>
      <w:r w:rsidR="00761FD8" w:rsidRPr="0016351D">
        <w:rPr>
          <w:rFonts w:asciiTheme="majorHAnsi" w:hAnsiTheme="majorHAnsi"/>
        </w:rPr>
        <w:t xml:space="preserve">must be protected at the </w:t>
      </w:r>
      <w:r w:rsidR="00D74035" w:rsidRPr="0016351D">
        <w:rPr>
          <w:rFonts w:asciiTheme="majorHAnsi" w:hAnsiTheme="majorHAnsi"/>
        </w:rPr>
        <w:t xml:space="preserve">same time it is made available, and </w:t>
      </w:r>
      <w:r w:rsidR="00761FD8" w:rsidRPr="0016351D">
        <w:rPr>
          <w:rFonts w:asciiTheme="majorHAnsi" w:hAnsiTheme="majorHAnsi"/>
        </w:rPr>
        <w:t xml:space="preserve">the methods of protection should not interfere with the responsible use of </w:t>
      </w:r>
      <w:r w:rsidR="00A52C1B">
        <w:rPr>
          <w:rFonts w:asciiTheme="majorHAnsi" w:hAnsiTheme="majorHAnsi"/>
        </w:rPr>
        <w:t>information</w:t>
      </w:r>
      <w:r w:rsidR="00761FD8" w:rsidRPr="0016351D">
        <w:rPr>
          <w:rFonts w:asciiTheme="majorHAnsi" w:hAnsiTheme="majorHAnsi"/>
        </w:rPr>
        <w:t>.</w:t>
      </w:r>
      <w:r w:rsidR="00761FD8" w:rsidRPr="0016351D">
        <w:rPr>
          <w:rStyle w:val="FootnoteReference"/>
          <w:rFonts w:asciiTheme="majorHAnsi" w:hAnsiTheme="majorHAnsi"/>
        </w:rPr>
        <w:footnoteReference w:id="37"/>
      </w:r>
    </w:p>
    <w:p w14:paraId="1D3E48C8" w14:textId="77777777" w:rsidR="00495467" w:rsidRPr="0016351D" w:rsidRDefault="00495467" w:rsidP="007C27A2">
      <w:pPr>
        <w:pStyle w:val="Heading3"/>
      </w:pPr>
      <w:bookmarkStart w:id="15" w:name="_Toc425145068"/>
      <w:r w:rsidRPr="0016351D">
        <w:t>Transparency</w:t>
      </w:r>
      <w:bookmarkEnd w:id="15"/>
    </w:p>
    <w:p w14:paraId="797ADB06" w14:textId="099567C5" w:rsidR="0017072A" w:rsidRPr="0016351D" w:rsidRDefault="00084AEF" w:rsidP="007C377B">
      <w:pPr>
        <w:rPr>
          <w:rFonts w:asciiTheme="majorHAnsi" w:hAnsiTheme="majorHAnsi"/>
        </w:rPr>
      </w:pPr>
      <w:r>
        <w:rPr>
          <w:rFonts w:asciiTheme="majorHAnsi" w:hAnsiTheme="majorHAnsi"/>
        </w:rPr>
        <w:t xml:space="preserve">Testimony provided that </w:t>
      </w:r>
      <w:r w:rsidR="0074648F">
        <w:rPr>
          <w:rFonts w:asciiTheme="majorHAnsi" w:hAnsiTheme="majorHAnsi"/>
        </w:rPr>
        <w:t>t</w:t>
      </w:r>
      <w:r w:rsidR="00516B66" w:rsidRPr="0016351D">
        <w:rPr>
          <w:rFonts w:asciiTheme="majorHAnsi" w:hAnsiTheme="majorHAnsi"/>
        </w:rPr>
        <w:t xml:space="preserve">he </w:t>
      </w:r>
      <w:r w:rsidR="0074648F">
        <w:rPr>
          <w:rFonts w:asciiTheme="majorHAnsi" w:hAnsiTheme="majorHAnsi"/>
        </w:rPr>
        <w:t>“</w:t>
      </w:r>
      <w:r w:rsidR="00516B66" w:rsidRPr="0016351D">
        <w:rPr>
          <w:rFonts w:asciiTheme="majorHAnsi" w:hAnsiTheme="majorHAnsi"/>
        </w:rPr>
        <w:t xml:space="preserve">foundational principle of </w:t>
      </w:r>
      <w:r w:rsidR="00516B66" w:rsidRPr="00084AEF">
        <w:rPr>
          <w:rFonts w:asciiTheme="majorHAnsi" w:hAnsiTheme="majorHAnsi"/>
          <w:i/>
        </w:rPr>
        <w:t>openness and transparency</w:t>
      </w:r>
      <w:r w:rsidR="00516B66" w:rsidRPr="0016351D">
        <w:rPr>
          <w:rFonts w:asciiTheme="majorHAnsi" w:hAnsiTheme="majorHAnsi"/>
        </w:rPr>
        <w:t xml:space="preserve"> is perhaps the most important component of the FIPPs for all entities using big data.”</w:t>
      </w:r>
      <w:r w:rsidR="00516B66" w:rsidRPr="0016351D">
        <w:rPr>
          <w:rStyle w:val="FootnoteReference"/>
          <w:rFonts w:asciiTheme="majorHAnsi" w:hAnsiTheme="majorHAnsi"/>
        </w:rPr>
        <w:footnoteReference w:id="38"/>
      </w:r>
      <w:r w:rsidR="00E51244">
        <w:rPr>
          <w:rFonts w:asciiTheme="majorHAnsi" w:hAnsiTheme="majorHAnsi"/>
        </w:rPr>
        <w:t xml:space="preserve"> </w:t>
      </w:r>
      <w:r w:rsidR="00235CE2" w:rsidRPr="0016351D">
        <w:rPr>
          <w:rFonts w:asciiTheme="majorHAnsi" w:hAnsiTheme="majorHAnsi"/>
        </w:rPr>
        <w:t xml:space="preserve"> </w:t>
      </w:r>
      <w:r w:rsidR="00DF25AB">
        <w:rPr>
          <w:rFonts w:asciiTheme="majorHAnsi" w:hAnsiTheme="majorHAnsi"/>
        </w:rPr>
        <w:t>P</w:t>
      </w:r>
      <w:r w:rsidR="00DF25AB" w:rsidRPr="0016351D">
        <w:rPr>
          <w:rFonts w:asciiTheme="majorHAnsi" w:hAnsiTheme="majorHAnsi"/>
        </w:rPr>
        <w:t>oor transparency engenders a lack of trust, and trust is essential for future learning and the beneficial applic</w:t>
      </w:r>
      <w:r w:rsidR="00DF25AB">
        <w:rPr>
          <w:rFonts w:asciiTheme="majorHAnsi" w:hAnsiTheme="majorHAnsi"/>
        </w:rPr>
        <w:t>ation of big data in healthcare</w:t>
      </w:r>
      <w:r w:rsidR="005F2AF0">
        <w:rPr>
          <w:rFonts w:asciiTheme="majorHAnsi" w:hAnsiTheme="majorHAnsi"/>
        </w:rPr>
        <w:t xml:space="preserve">.  </w:t>
      </w:r>
      <w:r w:rsidR="00514961">
        <w:rPr>
          <w:rFonts w:asciiTheme="majorHAnsi" w:hAnsiTheme="majorHAnsi"/>
        </w:rPr>
        <w:t>Inadequate</w:t>
      </w:r>
      <w:r w:rsidR="00DF25AB">
        <w:rPr>
          <w:rFonts w:asciiTheme="majorHAnsi" w:hAnsiTheme="majorHAnsi"/>
        </w:rPr>
        <w:t xml:space="preserve"> transparency</w:t>
      </w:r>
      <w:r w:rsidR="0008058A">
        <w:rPr>
          <w:rFonts w:asciiTheme="majorHAnsi" w:hAnsiTheme="majorHAnsi"/>
        </w:rPr>
        <w:t xml:space="preserve"> extends to proprie</w:t>
      </w:r>
      <w:r w:rsidR="00532BEA">
        <w:rPr>
          <w:rFonts w:asciiTheme="majorHAnsi" w:hAnsiTheme="majorHAnsi"/>
        </w:rPr>
        <w:t>tary algorithms, which are used to make decisions about individuals and potentially shape their behavior.</w:t>
      </w:r>
      <w:r w:rsidR="004E4EF4" w:rsidRPr="0016351D">
        <w:rPr>
          <w:rStyle w:val="FootnoteReference"/>
          <w:rFonts w:asciiTheme="majorHAnsi" w:hAnsiTheme="majorHAnsi"/>
        </w:rPr>
        <w:footnoteReference w:id="39"/>
      </w:r>
      <w:r w:rsidR="004E4EF4" w:rsidRPr="0016351D">
        <w:rPr>
          <w:rFonts w:asciiTheme="majorHAnsi" w:hAnsiTheme="majorHAnsi"/>
        </w:rPr>
        <w:t xml:space="preserve"> </w:t>
      </w:r>
      <w:r w:rsidR="00E51244">
        <w:rPr>
          <w:rFonts w:asciiTheme="majorHAnsi" w:hAnsiTheme="majorHAnsi"/>
        </w:rPr>
        <w:t xml:space="preserve"> </w:t>
      </w:r>
      <w:r w:rsidR="00AF28DE">
        <w:rPr>
          <w:rFonts w:asciiTheme="majorHAnsi" w:hAnsiTheme="majorHAnsi"/>
        </w:rPr>
        <w:t xml:space="preserve">To bolster public trust in health big data, participants suggested leveraging methods and lessons learned from </w:t>
      </w:r>
      <w:r w:rsidR="00514961">
        <w:rPr>
          <w:rFonts w:asciiTheme="majorHAnsi" w:hAnsiTheme="majorHAnsi"/>
        </w:rPr>
        <w:t xml:space="preserve">transparency provisions in </w:t>
      </w:r>
      <w:r w:rsidR="00AF28DE">
        <w:rPr>
          <w:rFonts w:asciiTheme="majorHAnsi" w:hAnsiTheme="majorHAnsi"/>
        </w:rPr>
        <w:t>existing laws, such as the Fair Credit Reporting Act (FCRA)</w:t>
      </w:r>
      <w:r w:rsidR="005F2AF0">
        <w:rPr>
          <w:rFonts w:asciiTheme="majorHAnsi" w:hAnsiTheme="majorHAnsi"/>
        </w:rPr>
        <w:t xml:space="preserve">.  </w:t>
      </w:r>
    </w:p>
    <w:p w14:paraId="7931621F" w14:textId="77777777" w:rsidR="00C525DE" w:rsidRPr="0016351D" w:rsidRDefault="00C525DE" w:rsidP="00DC1352">
      <w:pPr>
        <w:pStyle w:val="Heading3"/>
      </w:pPr>
      <w:bookmarkStart w:id="16" w:name="_Toc425145069"/>
      <w:r w:rsidRPr="0016351D">
        <w:t>Collection, use, and purpose limitation</w:t>
      </w:r>
      <w:bookmarkEnd w:id="16"/>
    </w:p>
    <w:p w14:paraId="768E43A8" w14:textId="2367E096" w:rsidR="00265FE7" w:rsidRPr="0016351D" w:rsidRDefault="00510C51" w:rsidP="007304C1">
      <w:pPr>
        <w:keepNext/>
        <w:rPr>
          <w:rFonts w:asciiTheme="majorHAnsi" w:hAnsiTheme="majorHAnsi"/>
        </w:rPr>
      </w:pPr>
      <w:r w:rsidRPr="0016351D">
        <w:rPr>
          <w:rFonts w:asciiTheme="majorHAnsi" w:hAnsiTheme="majorHAnsi"/>
        </w:rPr>
        <w:t>Big data</w:t>
      </w:r>
      <w:r w:rsidR="005B43B0" w:rsidRPr="0016351D">
        <w:rPr>
          <w:rFonts w:asciiTheme="majorHAnsi" w:hAnsiTheme="majorHAnsi"/>
        </w:rPr>
        <w:t xml:space="preserve"> analytics and</w:t>
      </w:r>
      <w:r w:rsidR="009F0652" w:rsidRPr="0016351D">
        <w:rPr>
          <w:rFonts w:asciiTheme="majorHAnsi" w:hAnsiTheme="majorHAnsi"/>
        </w:rPr>
        <w:t xml:space="preserve"> research</w:t>
      </w:r>
      <w:r w:rsidR="005B43B0" w:rsidRPr="0016351D">
        <w:rPr>
          <w:rFonts w:asciiTheme="majorHAnsi" w:hAnsiTheme="majorHAnsi"/>
        </w:rPr>
        <w:t xml:space="preserve"> </w:t>
      </w:r>
      <w:r w:rsidR="00FE0AE2" w:rsidRPr="0016351D">
        <w:rPr>
          <w:rFonts w:asciiTheme="majorHAnsi" w:hAnsiTheme="majorHAnsi"/>
        </w:rPr>
        <w:t>begins with</w:t>
      </w:r>
      <w:r w:rsidR="00597EF3" w:rsidRPr="0016351D">
        <w:rPr>
          <w:rFonts w:asciiTheme="majorHAnsi" w:hAnsiTheme="majorHAnsi"/>
        </w:rPr>
        <w:t xml:space="preserve"> researchers </w:t>
      </w:r>
      <w:r w:rsidR="00FE0AE2" w:rsidRPr="0016351D">
        <w:rPr>
          <w:rFonts w:asciiTheme="majorHAnsi" w:hAnsiTheme="majorHAnsi"/>
        </w:rPr>
        <w:t>examining</w:t>
      </w:r>
      <w:r w:rsidR="00597EF3" w:rsidRPr="0016351D">
        <w:rPr>
          <w:rFonts w:asciiTheme="majorHAnsi" w:hAnsiTheme="majorHAnsi"/>
        </w:rPr>
        <w:t xml:space="preserve"> trends and patterns </w:t>
      </w:r>
      <w:r w:rsidR="00DD7374" w:rsidRPr="0016351D">
        <w:rPr>
          <w:rFonts w:asciiTheme="majorHAnsi" w:hAnsiTheme="majorHAnsi"/>
        </w:rPr>
        <w:t>in large</w:t>
      </w:r>
      <w:r w:rsidR="00597EF3" w:rsidRPr="0016351D">
        <w:rPr>
          <w:rFonts w:asciiTheme="majorHAnsi" w:hAnsiTheme="majorHAnsi"/>
        </w:rPr>
        <w:t xml:space="preserve"> data </w:t>
      </w:r>
      <w:r w:rsidR="00DD7374" w:rsidRPr="0016351D">
        <w:rPr>
          <w:rFonts w:asciiTheme="majorHAnsi" w:hAnsiTheme="majorHAnsi"/>
        </w:rPr>
        <w:t xml:space="preserve">sets without first </w:t>
      </w:r>
      <w:r w:rsidR="00597EF3" w:rsidRPr="0016351D">
        <w:rPr>
          <w:rFonts w:asciiTheme="majorHAnsi" w:hAnsiTheme="majorHAnsi"/>
        </w:rPr>
        <w:t>formulat</w:t>
      </w:r>
      <w:r w:rsidR="00DD7374" w:rsidRPr="0016351D">
        <w:rPr>
          <w:rFonts w:asciiTheme="majorHAnsi" w:hAnsiTheme="majorHAnsi"/>
        </w:rPr>
        <w:t>ing a</w:t>
      </w:r>
      <w:r w:rsidR="00597EF3" w:rsidRPr="0016351D">
        <w:rPr>
          <w:rFonts w:asciiTheme="majorHAnsi" w:hAnsiTheme="majorHAnsi"/>
        </w:rPr>
        <w:t xml:space="preserve"> hypothes</w:t>
      </w:r>
      <w:r w:rsidR="00DD7374" w:rsidRPr="0016351D">
        <w:rPr>
          <w:rFonts w:asciiTheme="majorHAnsi" w:hAnsiTheme="majorHAnsi"/>
        </w:rPr>
        <w:t>i</w:t>
      </w:r>
      <w:r w:rsidR="00597EF3" w:rsidRPr="0016351D">
        <w:rPr>
          <w:rFonts w:asciiTheme="majorHAnsi" w:hAnsiTheme="majorHAnsi"/>
        </w:rPr>
        <w:t>s</w:t>
      </w:r>
      <w:r w:rsidR="009F0652" w:rsidRPr="0016351D">
        <w:rPr>
          <w:rFonts w:asciiTheme="majorHAnsi" w:hAnsiTheme="majorHAnsi"/>
        </w:rPr>
        <w:t>.</w:t>
      </w:r>
      <w:r w:rsidR="009F0652" w:rsidRPr="0016351D">
        <w:rPr>
          <w:rStyle w:val="FootnoteReference"/>
          <w:rFonts w:asciiTheme="majorHAnsi" w:hAnsiTheme="majorHAnsi"/>
        </w:rPr>
        <w:footnoteReference w:id="40"/>
      </w:r>
      <w:r w:rsidR="00E51244">
        <w:rPr>
          <w:rFonts w:asciiTheme="majorHAnsi" w:hAnsiTheme="majorHAnsi"/>
        </w:rPr>
        <w:t xml:space="preserve"> </w:t>
      </w:r>
      <w:r w:rsidR="00DC466F" w:rsidRPr="0016351D">
        <w:rPr>
          <w:rFonts w:asciiTheme="majorHAnsi" w:hAnsiTheme="majorHAnsi"/>
        </w:rPr>
        <w:t xml:space="preserve"> </w:t>
      </w:r>
      <w:r w:rsidR="00484F9F">
        <w:rPr>
          <w:rFonts w:asciiTheme="majorHAnsi" w:hAnsiTheme="majorHAnsi"/>
        </w:rPr>
        <w:t>As a result, t</w:t>
      </w:r>
      <w:r w:rsidR="00FE0AE2" w:rsidRPr="0016351D">
        <w:rPr>
          <w:rFonts w:asciiTheme="majorHAnsi" w:hAnsiTheme="majorHAnsi"/>
        </w:rPr>
        <w:t xml:space="preserve">he need to </w:t>
      </w:r>
      <w:r w:rsidR="00F32208">
        <w:rPr>
          <w:rFonts w:asciiTheme="majorHAnsi" w:hAnsiTheme="majorHAnsi"/>
        </w:rPr>
        <w:t>gather</w:t>
      </w:r>
      <w:r w:rsidR="00FE0AE2" w:rsidRPr="0016351D">
        <w:rPr>
          <w:rFonts w:asciiTheme="majorHAnsi" w:hAnsiTheme="majorHAnsi"/>
        </w:rPr>
        <w:t xml:space="preserve"> as much </w:t>
      </w:r>
      <w:r w:rsidR="00A52C1B">
        <w:rPr>
          <w:rFonts w:asciiTheme="majorHAnsi" w:hAnsiTheme="majorHAnsi"/>
        </w:rPr>
        <w:t>information</w:t>
      </w:r>
      <w:r w:rsidR="00A52C1B" w:rsidRPr="0016351D">
        <w:rPr>
          <w:rFonts w:asciiTheme="majorHAnsi" w:hAnsiTheme="majorHAnsi"/>
        </w:rPr>
        <w:t xml:space="preserve"> </w:t>
      </w:r>
      <w:r w:rsidR="00FE0AE2" w:rsidRPr="0016351D">
        <w:rPr>
          <w:rFonts w:asciiTheme="majorHAnsi" w:hAnsiTheme="majorHAnsi"/>
        </w:rPr>
        <w:t xml:space="preserve">as possible before identifying a </w:t>
      </w:r>
      <w:r w:rsidR="00071C54" w:rsidRPr="0016351D">
        <w:rPr>
          <w:rFonts w:asciiTheme="majorHAnsi" w:hAnsiTheme="majorHAnsi"/>
        </w:rPr>
        <w:t>research purpose</w:t>
      </w:r>
      <w:r w:rsidR="00FE0AE2" w:rsidRPr="0016351D">
        <w:rPr>
          <w:rFonts w:asciiTheme="majorHAnsi" w:hAnsiTheme="majorHAnsi"/>
        </w:rPr>
        <w:t xml:space="preserve"> </w:t>
      </w:r>
      <w:r w:rsidR="00DC466F" w:rsidRPr="0016351D">
        <w:rPr>
          <w:rFonts w:asciiTheme="majorHAnsi" w:hAnsiTheme="majorHAnsi"/>
        </w:rPr>
        <w:t xml:space="preserve">conflicts with </w:t>
      </w:r>
      <w:r w:rsidR="00071C54" w:rsidRPr="0016351D">
        <w:rPr>
          <w:rFonts w:asciiTheme="majorHAnsi" w:hAnsiTheme="majorHAnsi"/>
        </w:rPr>
        <w:t>longstanding</w:t>
      </w:r>
      <w:r w:rsidR="00DC466F" w:rsidRPr="0016351D">
        <w:rPr>
          <w:rFonts w:asciiTheme="majorHAnsi" w:hAnsiTheme="majorHAnsi"/>
        </w:rPr>
        <w:t xml:space="preserve"> </w:t>
      </w:r>
      <w:r w:rsidR="00C56B9D" w:rsidRPr="0016351D">
        <w:rPr>
          <w:rFonts w:asciiTheme="majorHAnsi" w:hAnsiTheme="majorHAnsi"/>
        </w:rPr>
        <w:t xml:space="preserve">FIPPs </w:t>
      </w:r>
      <w:r w:rsidR="00F32208">
        <w:rPr>
          <w:rFonts w:asciiTheme="majorHAnsi" w:hAnsiTheme="majorHAnsi"/>
        </w:rPr>
        <w:t>that require</w:t>
      </w:r>
      <w:r w:rsidR="009A2C40">
        <w:rPr>
          <w:rFonts w:asciiTheme="majorHAnsi" w:hAnsiTheme="majorHAnsi"/>
        </w:rPr>
        <w:t xml:space="preserve"> </w:t>
      </w:r>
      <w:r w:rsidR="00CB355A">
        <w:rPr>
          <w:rFonts w:asciiTheme="majorHAnsi" w:hAnsiTheme="majorHAnsi"/>
        </w:rPr>
        <w:t xml:space="preserve">defining the </w:t>
      </w:r>
      <w:r w:rsidR="004047C8">
        <w:rPr>
          <w:rFonts w:asciiTheme="majorHAnsi" w:hAnsiTheme="majorHAnsi"/>
        </w:rPr>
        <w:t xml:space="preserve">specific </w:t>
      </w:r>
      <w:r w:rsidR="00CB355A">
        <w:rPr>
          <w:rFonts w:asciiTheme="majorHAnsi" w:hAnsiTheme="majorHAnsi"/>
        </w:rPr>
        <w:t>purpose</w:t>
      </w:r>
      <w:r w:rsidR="008E31AA">
        <w:rPr>
          <w:rFonts w:asciiTheme="majorHAnsi" w:hAnsiTheme="majorHAnsi"/>
        </w:rPr>
        <w:t>(s)</w:t>
      </w:r>
      <w:r w:rsidR="00CB355A">
        <w:rPr>
          <w:rFonts w:asciiTheme="majorHAnsi" w:hAnsiTheme="majorHAnsi"/>
        </w:rPr>
        <w:t xml:space="preserve"> for which </w:t>
      </w:r>
      <w:r w:rsidR="00A52C1B">
        <w:rPr>
          <w:rFonts w:asciiTheme="majorHAnsi" w:hAnsiTheme="majorHAnsi"/>
        </w:rPr>
        <w:t xml:space="preserve">information is </w:t>
      </w:r>
      <w:r w:rsidR="00CB355A">
        <w:rPr>
          <w:rFonts w:asciiTheme="majorHAnsi" w:hAnsiTheme="majorHAnsi"/>
        </w:rPr>
        <w:t xml:space="preserve">collected and limiting the amount </w:t>
      </w:r>
      <w:r w:rsidR="008E31AA">
        <w:rPr>
          <w:rFonts w:asciiTheme="majorHAnsi" w:hAnsiTheme="majorHAnsi"/>
        </w:rPr>
        <w:t xml:space="preserve">of </w:t>
      </w:r>
      <w:r w:rsidR="00A52C1B">
        <w:rPr>
          <w:rFonts w:asciiTheme="majorHAnsi" w:hAnsiTheme="majorHAnsi"/>
        </w:rPr>
        <w:t xml:space="preserve">personal information </w:t>
      </w:r>
      <w:r w:rsidR="009E0DB7">
        <w:rPr>
          <w:rFonts w:asciiTheme="majorHAnsi" w:hAnsiTheme="majorHAnsi"/>
        </w:rPr>
        <w:t xml:space="preserve">to </w:t>
      </w:r>
      <w:r w:rsidR="0089191C">
        <w:rPr>
          <w:rFonts w:asciiTheme="majorHAnsi" w:hAnsiTheme="majorHAnsi"/>
        </w:rPr>
        <w:t xml:space="preserve">what is necessary to </w:t>
      </w:r>
      <w:r w:rsidR="009E0DB7">
        <w:rPr>
          <w:rFonts w:asciiTheme="majorHAnsi" w:hAnsiTheme="majorHAnsi"/>
        </w:rPr>
        <w:t>accomplish the specified purpose(s)</w:t>
      </w:r>
      <w:r w:rsidR="005F2AF0">
        <w:rPr>
          <w:rFonts w:asciiTheme="majorHAnsi" w:hAnsiTheme="majorHAnsi"/>
        </w:rPr>
        <w:t xml:space="preserve">.  </w:t>
      </w:r>
      <w:r w:rsidR="00533913">
        <w:rPr>
          <w:rFonts w:asciiTheme="majorHAnsi" w:hAnsiTheme="majorHAnsi"/>
        </w:rPr>
        <w:t>Regardless of the challenge posed by big data</w:t>
      </w:r>
      <w:r w:rsidR="008E31AA">
        <w:rPr>
          <w:rFonts w:asciiTheme="majorHAnsi" w:hAnsiTheme="majorHAnsi"/>
        </w:rPr>
        <w:t xml:space="preserve">, </w:t>
      </w:r>
      <w:r w:rsidR="00D64331">
        <w:rPr>
          <w:rFonts w:asciiTheme="majorHAnsi" w:hAnsiTheme="majorHAnsi"/>
        </w:rPr>
        <w:t xml:space="preserve">panelists and PSWG members </w:t>
      </w:r>
      <w:r w:rsidR="00BB6CAE">
        <w:rPr>
          <w:rFonts w:asciiTheme="majorHAnsi" w:hAnsiTheme="majorHAnsi"/>
        </w:rPr>
        <w:t>agreed that organizations should examine their collection and retention practices and be mindful of over-collection</w:t>
      </w:r>
      <w:r w:rsidR="00192590" w:rsidRPr="0016351D">
        <w:rPr>
          <w:rFonts w:asciiTheme="majorHAnsi" w:hAnsiTheme="majorHAnsi"/>
        </w:rPr>
        <w:t>.</w:t>
      </w:r>
      <w:r w:rsidR="001C31FF" w:rsidRPr="0016351D">
        <w:rPr>
          <w:rStyle w:val="FootnoteReference"/>
          <w:rFonts w:asciiTheme="majorHAnsi" w:hAnsiTheme="majorHAnsi"/>
        </w:rPr>
        <w:footnoteReference w:id="41"/>
      </w:r>
    </w:p>
    <w:p w14:paraId="4AC682BC" w14:textId="45DA8487" w:rsidR="00495467" w:rsidRPr="0016351D" w:rsidRDefault="00495467" w:rsidP="008813AD">
      <w:pPr>
        <w:pStyle w:val="Heading2"/>
      </w:pPr>
      <w:bookmarkStart w:id="17" w:name="_Toc425145070"/>
      <w:r w:rsidRPr="0016351D">
        <w:t xml:space="preserve">Preventing, </w:t>
      </w:r>
      <w:r w:rsidR="00C87B73">
        <w:t>Limiting, and Redressing Privacy H</w:t>
      </w:r>
      <w:r w:rsidRPr="0016351D">
        <w:t>arms</w:t>
      </w:r>
      <w:bookmarkEnd w:id="17"/>
    </w:p>
    <w:p w14:paraId="3C924621" w14:textId="38EFFC0E" w:rsidR="00D811B4" w:rsidRPr="0016351D" w:rsidRDefault="00594ED1" w:rsidP="00C46F36">
      <w:pPr>
        <w:rPr>
          <w:rFonts w:asciiTheme="majorHAnsi" w:hAnsiTheme="majorHAnsi"/>
        </w:rPr>
      </w:pPr>
      <w:r w:rsidRPr="0016351D">
        <w:rPr>
          <w:rFonts w:asciiTheme="majorHAnsi" w:hAnsiTheme="majorHAnsi"/>
        </w:rPr>
        <w:t xml:space="preserve">Defining privacy harm is very difficult, and panelists were not able to reach a consensus </w:t>
      </w:r>
      <w:r w:rsidR="00415763">
        <w:rPr>
          <w:rFonts w:asciiTheme="majorHAnsi" w:hAnsiTheme="majorHAnsi"/>
        </w:rPr>
        <w:t xml:space="preserve">on which uses of </w:t>
      </w:r>
      <w:r w:rsidR="009E3BE0">
        <w:rPr>
          <w:rFonts w:asciiTheme="majorHAnsi" w:hAnsiTheme="majorHAnsi"/>
        </w:rPr>
        <w:t xml:space="preserve">information </w:t>
      </w:r>
      <w:r w:rsidR="00415763">
        <w:rPr>
          <w:rFonts w:asciiTheme="majorHAnsi" w:hAnsiTheme="majorHAnsi"/>
        </w:rPr>
        <w:t>are “harmful” or “acceptable</w:t>
      </w:r>
      <w:r w:rsidRPr="0016351D">
        <w:rPr>
          <w:rFonts w:asciiTheme="majorHAnsi" w:hAnsiTheme="majorHAnsi"/>
        </w:rPr>
        <w:t>.</w:t>
      </w:r>
      <w:r w:rsidR="00415763">
        <w:rPr>
          <w:rFonts w:asciiTheme="majorHAnsi" w:hAnsiTheme="majorHAnsi"/>
        </w:rPr>
        <w:t>”</w:t>
      </w:r>
      <w:r w:rsidRPr="0016351D">
        <w:rPr>
          <w:rStyle w:val="FootnoteReference"/>
          <w:rFonts w:asciiTheme="majorHAnsi" w:hAnsiTheme="majorHAnsi"/>
        </w:rPr>
        <w:footnoteReference w:id="42"/>
      </w:r>
      <w:r w:rsidRPr="0016351D">
        <w:rPr>
          <w:rFonts w:asciiTheme="majorHAnsi" w:hAnsiTheme="majorHAnsi"/>
        </w:rPr>
        <w:t xml:space="preserve"> </w:t>
      </w:r>
      <w:r w:rsidR="00E51244">
        <w:rPr>
          <w:rFonts w:asciiTheme="majorHAnsi" w:hAnsiTheme="majorHAnsi"/>
        </w:rPr>
        <w:t xml:space="preserve"> </w:t>
      </w:r>
      <w:r w:rsidR="003E71F7" w:rsidRPr="0016351D">
        <w:rPr>
          <w:rFonts w:asciiTheme="majorHAnsi" w:hAnsiTheme="majorHAnsi"/>
        </w:rPr>
        <w:t>While defining the ends of the spectrum on appropriate use would be fairly straightforward (i.e., uses that are clearly good and uses that are clearly harmful), defining the middle of the spectrum would be very difficult</w:t>
      </w:r>
      <w:r w:rsidR="005F2AF0">
        <w:rPr>
          <w:rFonts w:asciiTheme="majorHAnsi" w:hAnsiTheme="majorHAnsi"/>
        </w:rPr>
        <w:t xml:space="preserve">.  </w:t>
      </w:r>
      <w:r w:rsidR="003E71F7" w:rsidRPr="0016351D">
        <w:rPr>
          <w:rFonts w:asciiTheme="majorHAnsi" w:hAnsiTheme="majorHAnsi"/>
        </w:rPr>
        <w:t xml:space="preserve">In the middle of the spectrum, what one community would define as a harmful or acceptable use of </w:t>
      </w:r>
      <w:r w:rsidR="009E3BE0">
        <w:rPr>
          <w:rFonts w:asciiTheme="majorHAnsi" w:hAnsiTheme="majorHAnsi"/>
        </w:rPr>
        <w:t>information</w:t>
      </w:r>
      <w:r w:rsidR="009E3BE0" w:rsidRPr="0016351D">
        <w:rPr>
          <w:rFonts w:asciiTheme="majorHAnsi" w:hAnsiTheme="majorHAnsi"/>
        </w:rPr>
        <w:t xml:space="preserve"> </w:t>
      </w:r>
      <w:r w:rsidR="003E71F7" w:rsidRPr="0016351D">
        <w:rPr>
          <w:rFonts w:asciiTheme="majorHAnsi" w:hAnsiTheme="majorHAnsi"/>
        </w:rPr>
        <w:t>could be different from how another community would define it</w:t>
      </w:r>
      <w:r w:rsidR="005F2AF0">
        <w:rPr>
          <w:rFonts w:asciiTheme="majorHAnsi" w:hAnsiTheme="majorHAnsi"/>
        </w:rPr>
        <w:t>.</w:t>
      </w:r>
      <w:r w:rsidR="0047246E">
        <w:rPr>
          <w:rStyle w:val="FootnoteReference"/>
          <w:rFonts w:asciiTheme="majorHAnsi" w:hAnsiTheme="majorHAnsi"/>
        </w:rPr>
        <w:footnoteReference w:id="43"/>
      </w:r>
      <w:r w:rsidR="005F2AF0">
        <w:rPr>
          <w:rFonts w:asciiTheme="majorHAnsi" w:hAnsiTheme="majorHAnsi"/>
        </w:rPr>
        <w:t xml:space="preserve">  </w:t>
      </w:r>
      <w:r w:rsidR="003E71F7" w:rsidRPr="0016351D">
        <w:rPr>
          <w:rFonts w:asciiTheme="majorHAnsi" w:hAnsiTheme="majorHAnsi"/>
        </w:rPr>
        <w:lastRenderedPageBreak/>
        <w:t>Furthermore, the definition of harmful or acceptable use could change over time.</w:t>
      </w:r>
      <w:r w:rsidR="003E71F7" w:rsidRPr="0016351D">
        <w:rPr>
          <w:rStyle w:val="FootnoteReference"/>
          <w:rFonts w:asciiTheme="majorHAnsi" w:hAnsiTheme="majorHAnsi"/>
        </w:rPr>
        <w:footnoteReference w:id="44"/>
      </w:r>
      <w:r w:rsidR="003E71F7" w:rsidRPr="0016351D">
        <w:rPr>
          <w:rFonts w:asciiTheme="majorHAnsi" w:hAnsiTheme="majorHAnsi"/>
        </w:rPr>
        <w:t xml:space="preserve">  The combination of the lack of definition of </w:t>
      </w:r>
      <w:r w:rsidR="0001146D">
        <w:rPr>
          <w:rFonts w:asciiTheme="majorHAnsi" w:hAnsiTheme="majorHAnsi"/>
        </w:rPr>
        <w:t>harmful</w:t>
      </w:r>
      <w:r w:rsidR="003E71F7" w:rsidRPr="0016351D">
        <w:rPr>
          <w:rFonts w:asciiTheme="majorHAnsi" w:hAnsiTheme="majorHAnsi"/>
        </w:rPr>
        <w:t xml:space="preserve"> use and inability to predict what future uses could be harmful creates challenges in developing policies to prohibit harmful use of </w:t>
      </w:r>
      <w:r w:rsidR="009E3BE0">
        <w:rPr>
          <w:rFonts w:asciiTheme="majorHAnsi" w:hAnsiTheme="majorHAnsi"/>
        </w:rPr>
        <w:t>information</w:t>
      </w:r>
      <w:r w:rsidR="00B43B09">
        <w:rPr>
          <w:rFonts w:asciiTheme="majorHAnsi" w:hAnsiTheme="majorHAnsi"/>
        </w:rPr>
        <w:t>.</w:t>
      </w:r>
    </w:p>
    <w:p w14:paraId="5299460A" w14:textId="43C67EA3" w:rsidR="00495467" w:rsidRPr="0016351D" w:rsidRDefault="00495467" w:rsidP="002C3B9A">
      <w:pPr>
        <w:pStyle w:val="Heading2"/>
      </w:pPr>
      <w:bookmarkStart w:id="18" w:name="_Toc425145071"/>
      <w:r w:rsidRPr="0016351D">
        <w:t xml:space="preserve">The </w:t>
      </w:r>
      <w:r w:rsidR="00C87B73">
        <w:t>C</w:t>
      </w:r>
      <w:r w:rsidR="002C3B9A" w:rsidRPr="0016351D">
        <w:t xml:space="preserve">omplex </w:t>
      </w:r>
      <w:r w:rsidR="00C87B73">
        <w:t>Health Information Legal L</w:t>
      </w:r>
      <w:r w:rsidRPr="0016351D">
        <w:t>andscape</w:t>
      </w:r>
      <w:bookmarkEnd w:id="18"/>
    </w:p>
    <w:p w14:paraId="5D20D69B" w14:textId="566651A8" w:rsidR="008F3EEF" w:rsidRDefault="00E14233" w:rsidP="00E14233">
      <w:pPr>
        <w:rPr>
          <w:rFonts w:asciiTheme="majorHAnsi" w:hAnsiTheme="majorHAnsi"/>
        </w:rPr>
      </w:pPr>
      <w:r>
        <w:rPr>
          <w:rFonts w:asciiTheme="majorHAnsi" w:hAnsiTheme="majorHAnsi"/>
        </w:rPr>
        <w:t>E</w:t>
      </w:r>
      <w:r w:rsidRPr="0016351D">
        <w:rPr>
          <w:rFonts w:asciiTheme="majorHAnsi" w:hAnsiTheme="majorHAnsi"/>
        </w:rPr>
        <w:t>fforts to appropriately address health big data confront a complex legal landscape, which continues to confuse</w:t>
      </w:r>
      <w:r w:rsidR="0047246E">
        <w:rPr>
          <w:rFonts w:asciiTheme="majorHAnsi" w:hAnsiTheme="majorHAnsi"/>
        </w:rPr>
        <w:t xml:space="preserve"> everyone:</w:t>
      </w:r>
      <w:r w:rsidRPr="0016351D">
        <w:rPr>
          <w:rFonts w:asciiTheme="majorHAnsi" w:hAnsiTheme="majorHAnsi"/>
        </w:rPr>
        <w:t xml:space="preserve"> patients, providers, health IT developers</w:t>
      </w:r>
      <w:r>
        <w:rPr>
          <w:rFonts w:asciiTheme="majorHAnsi" w:hAnsiTheme="majorHAnsi"/>
        </w:rPr>
        <w:t xml:space="preserve"> and other stakeholders in the big d</w:t>
      </w:r>
      <w:r w:rsidRPr="0016351D">
        <w:rPr>
          <w:rFonts w:asciiTheme="majorHAnsi" w:hAnsiTheme="majorHAnsi"/>
        </w:rPr>
        <w:t>ata ecosystem, including mobile app developers</w:t>
      </w:r>
      <w:r w:rsidR="005F2AF0">
        <w:rPr>
          <w:rFonts w:asciiTheme="majorHAnsi" w:hAnsiTheme="majorHAnsi"/>
        </w:rPr>
        <w:t xml:space="preserve">.  </w:t>
      </w:r>
      <w:r w:rsidRPr="0016351D">
        <w:rPr>
          <w:rFonts w:asciiTheme="majorHAnsi" w:hAnsiTheme="majorHAnsi"/>
        </w:rPr>
        <w:t>Traditional health care entities</w:t>
      </w:r>
      <w:r w:rsidR="008F3EEF">
        <w:rPr>
          <w:rFonts w:asciiTheme="majorHAnsi" w:hAnsiTheme="majorHAnsi"/>
        </w:rPr>
        <w:t>,</w:t>
      </w:r>
      <w:r w:rsidRPr="0016351D">
        <w:rPr>
          <w:rFonts w:asciiTheme="majorHAnsi" w:hAnsiTheme="majorHAnsi"/>
        </w:rPr>
        <w:t xml:space="preserve"> and the </w:t>
      </w:r>
      <w:r w:rsidR="009E3BE0">
        <w:rPr>
          <w:rFonts w:asciiTheme="majorHAnsi" w:hAnsiTheme="majorHAnsi"/>
        </w:rPr>
        <w:t>information</w:t>
      </w:r>
      <w:r w:rsidR="009E3BE0" w:rsidRPr="0016351D">
        <w:rPr>
          <w:rFonts w:asciiTheme="majorHAnsi" w:hAnsiTheme="majorHAnsi"/>
        </w:rPr>
        <w:t xml:space="preserve"> </w:t>
      </w:r>
      <w:r w:rsidRPr="0016351D">
        <w:rPr>
          <w:rFonts w:asciiTheme="majorHAnsi" w:hAnsiTheme="majorHAnsi"/>
        </w:rPr>
        <w:t>they collect and generate</w:t>
      </w:r>
      <w:r w:rsidR="008F3EEF">
        <w:rPr>
          <w:rFonts w:asciiTheme="majorHAnsi" w:hAnsiTheme="majorHAnsi"/>
        </w:rPr>
        <w:t>,</w:t>
      </w:r>
      <w:r w:rsidRPr="0016351D">
        <w:rPr>
          <w:rFonts w:asciiTheme="majorHAnsi" w:hAnsiTheme="majorHAnsi"/>
        </w:rPr>
        <w:t xml:space="preserve"> </w:t>
      </w:r>
      <w:r>
        <w:rPr>
          <w:rFonts w:asciiTheme="majorHAnsi" w:hAnsiTheme="majorHAnsi"/>
        </w:rPr>
        <w:t>are</w:t>
      </w:r>
      <w:r w:rsidRPr="0016351D">
        <w:rPr>
          <w:rFonts w:asciiTheme="majorHAnsi" w:hAnsiTheme="majorHAnsi"/>
        </w:rPr>
        <w:t xml:space="preserve"> governed by the </w:t>
      </w:r>
      <w:r w:rsidR="00CE5C95">
        <w:rPr>
          <w:rFonts w:asciiTheme="majorHAnsi" w:hAnsiTheme="majorHAnsi"/>
        </w:rPr>
        <w:t xml:space="preserve">HHS </w:t>
      </w:r>
      <w:r w:rsidRPr="0016351D">
        <w:rPr>
          <w:rFonts w:asciiTheme="majorHAnsi" w:hAnsiTheme="majorHAnsi"/>
        </w:rPr>
        <w:t xml:space="preserve">Office </w:t>
      </w:r>
      <w:r>
        <w:rPr>
          <w:rFonts w:asciiTheme="majorHAnsi" w:hAnsiTheme="majorHAnsi"/>
        </w:rPr>
        <w:t xml:space="preserve">for </w:t>
      </w:r>
      <w:r w:rsidRPr="0016351D">
        <w:rPr>
          <w:rFonts w:asciiTheme="majorHAnsi" w:hAnsiTheme="majorHAnsi"/>
        </w:rPr>
        <w:t>Civil Ri</w:t>
      </w:r>
      <w:r w:rsidR="008F3EEF">
        <w:rPr>
          <w:rFonts w:asciiTheme="majorHAnsi" w:hAnsiTheme="majorHAnsi"/>
        </w:rPr>
        <w:t>ghts’</w:t>
      </w:r>
      <w:r w:rsidR="00CE5C95">
        <w:rPr>
          <w:rFonts w:asciiTheme="majorHAnsi" w:hAnsiTheme="majorHAnsi"/>
        </w:rPr>
        <w:t xml:space="preserve"> (OCR)</w:t>
      </w:r>
      <w:r w:rsidR="008F3EEF">
        <w:rPr>
          <w:rFonts w:asciiTheme="majorHAnsi" w:hAnsiTheme="majorHAnsi"/>
        </w:rPr>
        <w:t xml:space="preserve"> </w:t>
      </w:r>
      <w:r w:rsidR="00A12F03">
        <w:rPr>
          <w:rFonts w:asciiTheme="majorHAnsi" w:hAnsiTheme="majorHAnsi"/>
        </w:rPr>
        <w:t xml:space="preserve">and State Attorneys General’ </w:t>
      </w:r>
      <w:r w:rsidR="008F3EEF">
        <w:rPr>
          <w:rFonts w:asciiTheme="majorHAnsi" w:hAnsiTheme="majorHAnsi"/>
        </w:rPr>
        <w:t>enforcement of the HIPAA P</w:t>
      </w:r>
      <w:r w:rsidRPr="0016351D">
        <w:rPr>
          <w:rFonts w:asciiTheme="majorHAnsi" w:hAnsiTheme="majorHAnsi"/>
        </w:rPr>
        <w:t>r</w:t>
      </w:r>
      <w:r w:rsidR="008F3EEF">
        <w:rPr>
          <w:rFonts w:asciiTheme="majorHAnsi" w:hAnsiTheme="majorHAnsi"/>
        </w:rPr>
        <w:t>ivacy and Security R</w:t>
      </w:r>
      <w:r w:rsidRPr="0016351D">
        <w:rPr>
          <w:rFonts w:asciiTheme="majorHAnsi" w:hAnsiTheme="majorHAnsi"/>
        </w:rPr>
        <w:t>ules</w:t>
      </w:r>
      <w:r w:rsidR="005F2AF0">
        <w:rPr>
          <w:rFonts w:asciiTheme="majorHAnsi" w:hAnsiTheme="majorHAnsi"/>
        </w:rPr>
        <w:t xml:space="preserve">.  </w:t>
      </w:r>
      <w:r w:rsidRPr="0016351D">
        <w:rPr>
          <w:rFonts w:asciiTheme="majorHAnsi" w:hAnsiTheme="majorHAnsi"/>
        </w:rPr>
        <w:t xml:space="preserve">However, a great deal of health-related </w:t>
      </w:r>
      <w:r w:rsidR="009E3BE0">
        <w:rPr>
          <w:rFonts w:asciiTheme="majorHAnsi" w:hAnsiTheme="majorHAnsi"/>
        </w:rPr>
        <w:t>information</w:t>
      </w:r>
      <w:r w:rsidR="009E3BE0" w:rsidRPr="0016351D">
        <w:rPr>
          <w:rFonts w:asciiTheme="majorHAnsi" w:hAnsiTheme="majorHAnsi"/>
        </w:rPr>
        <w:t xml:space="preserve"> </w:t>
      </w:r>
      <w:r w:rsidRPr="0016351D">
        <w:rPr>
          <w:rFonts w:asciiTheme="majorHAnsi" w:hAnsiTheme="majorHAnsi"/>
        </w:rPr>
        <w:t>is now generated and consumed outside of this HIPAA-regulated space</w:t>
      </w:r>
      <w:r w:rsidR="005F2AF0">
        <w:rPr>
          <w:rFonts w:asciiTheme="majorHAnsi" w:hAnsiTheme="majorHAnsi"/>
        </w:rPr>
        <w:t xml:space="preserve">.  </w:t>
      </w:r>
    </w:p>
    <w:p w14:paraId="4FD5E481" w14:textId="77777777" w:rsidR="008F3EEF" w:rsidRDefault="008F3EEF" w:rsidP="00E14233">
      <w:pPr>
        <w:rPr>
          <w:rFonts w:asciiTheme="majorHAnsi" w:hAnsiTheme="majorHAnsi"/>
        </w:rPr>
      </w:pPr>
    </w:p>
    <w:p w14:paraId="5BAC0DCA" w14:textId="0BF5DDFC" w:rsidR="0006077B" w:rsidRDefault="00E14233" w:rsidP="00E14233">
      <w:pPr>
        <w:rPr>
          <w:rFonts w:asciiTheme="majorHAnsi" w:hAnsiTheme="majorHAnsi"/>
        </w:rPr>
      </w:pPr>
      <w:r w:rsidRPr="0016351D">
        <w:rPr>
          <w:rFonts w:asciiTheme="majorHAnsi" w:hAnsiTheme="majorHAnsi"/>
        </w:rPr>
        <w:t xml:space="preserve">Whereas covered entities and their business associates are bound by HIPAA’s Privacy and Security Rules, non-covered entities are subject to different legal </w:t>
      </w:r>
      <w:r w:rsidR="00540216">
        <w:rPr>
          <w:rFonts w:asciiTheme="majorHAnsi" w:hAnsiTheme="majorHAnsi"/>
        </w:rPr>
        <w:t xml:space="preserve">obligations, which include the </w:t>
      </w:r>
      <w:r w:rsidRPr="0016351D">
        <w:rPr>
          <w:rFonts w:asciiTheme="majorHAnsi" w:hAnsiTheme="majorHAnsi"/>
        </w:rPr>
        <w:t>FTC</w:t>
      </w:r>
      <w:r w:rsidR="00540216">
        <w:rPr>
          <w:rFonts w:asciiTheme="majorHAnsi" w:hAnsiTheme="majorHAnsi"/>
        </w:rPr>
        <w:t>’s</w:t>
      </w:r>
      <w:r w:rsidRPr="0016351D">
        <w:rPr>
          <w:rFonts w:asciiTheme="majorHAnsi" w:hAnsiTheme="majorHAnsi"/>
        </w:rPr>
        <w:t xml:space="preserve"> consumer protection authority to combat unfair or deceptive trade practices under Section 5 of the FTC Act.</w:t>
      </w:r>
      <w:r w:rsidR="0006077B">
        <w:rPr>
          <w:rStyle w:val="FootnoteReference"/>
          <w:rFonts w:asciiTheme="majorHAnsi" w:hAnsiTheme="majorHAnsi"/>
        </w:rPr>
        <w:footnoteReference w:id="45"/>
      </w:r>
      <w:r w:rsidR="0006077B" w:rsidRPr="0016351D">
        <w:rPr>
          <w:rFonts w:asciiTheme="majorHAnsi" w:hAnsiTheme="majorHAnsi"/>
        </w:rPr>
        <w:t xml:space="preserve"> </w:t>
      </w:r>
      <w:r w:rsidRPr="0016351D">
        <w:rPr>
          <w:rFonts w:asciiTheme="majorHAnsi" w:hAnsiTheme="majorHAnsi"/>
        </w:rPr>
        <w:t xml:space="preserve"> The exact same health-related </w:t>
      </w:r>
      <w:r w:rsidR="009E3BE0">
        <w:rPr>
          <w:rFonts w:asciiTheme="majorHAnsi" w:hAnsiTheme="majorHAnsi"/>
        </w:rPr>
        <w:t>information</w:t>
      </w:r>
      <w:r w:rsidR="009E3BE0" w:rsidRPr="0016351D">
        <w:rPr>
          <w:rFonts w:asciiTheme="majorHAnsi" w:hAnsiTheme="majorHAnsi"/>
        </w:rPr>
        <w:t xml:space="preserve"> </w:t>
      </w:r>
      <w:r w:rsidRPr="0016351D">
        <w:rPr>
          <w:rFonts w:asciiTheme="majorHAnsi" w:hAnsiTheme="majorHAnsi"/>
        </w:rPr>
        <w:t xml:space="preserve">is regulated differently based on the entity processing the </w:t>
      </w:r>
      <w:r w:rsidR="005112A7">
        <w:rPr>
          <w:rFonts w:asciiTheme="majorHAnsi" w:hAnsiTheme="majorHAnsi"/>
        </w:rPr>
        <w:t>information</w:t>
      </w:r>
      <w:r w:rsidR="005F2AF0">
        <w:rPr>
          <w:rFonts w:asciiTheme="majorHAnsi" w:hAnsiTheme="majorHAnsi"/>
        </w:rPr>
        <w:t xml:space="preserve">.  </w:t>
      </w:r>
      <w:r w:rsidRPr="0016351D">
        <w:rPr>
          <w:rFonts w:asciiTheme="majorHAnsi" w:hAnsiTheme="majorHAnsi"/>
        </w:rPr>
        <w:t xml:space="preserve">Additionally, </w:t>
      </w:r>
      <w:r w:rsidR="005112A7">
        <w:rPr>
          <w:rFonts w:asciiTheme="majorHAnsi" w:hAnsiTheme="majorHAnsi"/>
        </w:rPr>
        <w:t>information</w:t>
      </w:r>
      <w:r w:rsidR="005112A7" w:rsidRPr="0016351D">
        <w:rPr>
          <w:rFonts w:asciiTheme="majorHAnsi" w:hAnsiTheme="majorHAnsi"/>
        </w:rPr>
        <w:t xml:space="preserve"> </w:t>
      </w:r>
      <w:r w:rsidRPr="0016351D">
        <w:rPr>
          <w:rFonts w:asciiTheme="majorHAnsi" w:hAnsiTheme="majorHAnsi"/>
        </w:rPr>
        <w:t>flowing between HIPAA and non-HIPAA environments may face both sets of laws and regulations</w:t>
      </w:r>
      <w:r w:rsidR="005F2AF0">
        <w:rPr>
          <w:rFonts w:asciiTheme="majorHAnsi" w:hAnsiTheme="majorHAnsi"/>
        </w:rPr>
        <w:t xml:space="preserve">.  </w:t>
      </w:r>
    </w:p>
    <w:p w14:paraId="7299F1EB" w14:textId="77777777" w:rsidR="0006077B" w:rsidRDefault="0006077B" w:rsidP="00E14233">
      <w:pPr>
        <w:rPr>
          <w:rFonts w:asciiTheme="majorHAnsi" w:hAnsiTheme="majorHAnsi"/>
        </w:rPr>
      </w:pPr>
    </w:p>
    <w:p w14:paraId="16E2C806" w14:textId="292D3784" w:rsidR="00464CC6" w:rsidRDefault="00E14233" w:rsidP="005606EA">
      <w:pPr>
        <w:rPr>
          <w:rFonts w:asciiTheme="majorHAnsi" w:hAnsiTheme="majorHAnsi"/>
        </w:rPr>
      </w:pPr>
      <w:r w:rsidRPr="0016351D">
        <w:rPr>
          <w:rFonts w:asciiTheme="majorHAnsi" w:hAnsiTheme="majorHAnsi"/>
        </w:rPr>
        <w:t xml:space="preserve">Finally, </w:t>
      </w:r>
      <w:r>
        <w:rPr>
          <w:rFonts w:asciiTheme="majorHAnsi" w:hAnsiTheme="majorHAnsi"/>
        </w:rPr>
        <w:t>s</w:t>
      </w:r>
      <w:r w:rsidR="00A12F03">
        <w:rPr>
          <w:rFonts w:asciiTheme="majorHAnsi" w:hAnsiTheme="majorHAnsi"/>
        </w:rPr>
        <w:t>tate c</w:t>
      </w:r>
      <w:r w:rsidRPr="0016351D">
        <w:rPr>
          <w:rFonts w:asciiTheme="majorHAnsi" w:hAnsiTheme="majorHAnsi"/>
        </w:rPr>
        <w:t xml:space="preserve">onsumer </w:t>
      </w:r>
      <w:r w:rsidR="00A12F03">
        <w:rPr>
          <w:rFonts w:asciiTheme="majorHAnsi" w:hAnsiTheme="majorHAnsi"/>
        </w:rPr>
        <w:t>p</w:t>
      </w:r>
      <w:r w:rsidRPr="0016351D">
        <w:rPr>
          <w:rFonts w:asciiTheme="majorHAnsi" w:hAnsiTheme="majorHAnsi"/>
        </w:rPr>
        <w:t>rotection laws based on similar principles of deception, enforced by State Attorneys General</w:t>
      </w:r>
      <w:r>
        <w:rPr>
          <w:rFonts w:asciiTheme="majorHAnsi" w:hAnsiTheme="majorHAnsi"/>
        </w:rPr>
        <w:t>,</w:t>
      </w:r>
      <w:r w:rsidRPr="0016351D">
        <w:rPr>
          <w:rFonts w:asciiTheme="majorHAnsi" w:hAnsiTheme="majorHAnsi"/>
        </w:rPr>
        <w:t xml:space="preserve"> as well as State HIPAA-like laws, add an additional layer of complexity</w:t>
      </w:r>
      <w:r w:rsidR="005F2AF0">
        <w:rPr>
          <w:rFonts w:asciiTheme="majorHAnsi" w:hAnsiTheme="majorHAnsi"/>
        </w:rPr>
        <w:t xml:space="preserve">.  </w:t>
      </w:r>
      <w:r w:rsidRPr="0016351D">
        <w:rPr>
          <w:rFonts w:asciiTheme="majorHAnsi" w:hAnsiTheme="majorHAnsi"/>
        </w:rPr>
        <w:t xml:space="preserve">Consequently, privacy and security risks of non-compliance are difficult to understand without mapping </w:t>
      </w:r>
      <w:r w:rsidR="005112A7">
        <w:rPr>
          <w:rFonts w:asciiTheme="majorHAnsi" w:hAnsiTheme="majorHAnsi"/>
        </w:rPr>
        <w:t xml:space="preserve">the movement </w:t>
      </w:r>
      <w:r w:rsidRPr="0016351D">
        <w:rPr>
          <w:rFonts w:asciiTheme="majorHAnsi" w:hAnsiTheme="majorHAnsi"/>
        </w:rPr>
        <w:t xml:space="preserve">of </w:t>
      </w:r>
      <w:r w:rsidR="005112A7">
        <w:rPr>
          <w:rFonts w:asciiTheme="majorHAnsi" w:hAnsiTheme="majorHAnsi"/>
        </w:rPr>
        <w:t>information</w:t>
      </w:r>
      <w:r w:rsidR="005112A7" w:rsidRPr="0016351D">
        <w:rPr>
          <w:rFonts w:asciiTheme="majorHAnsi" w:hAnsiTheme="majorHAnsi"/>
        </w:rPr>
        <w:t xml:space="preserve"> </w:t>
      </w:r>
      <w:r w:rsidRPr="0016351D">
        <w:rPr>
          <w:rFonts w:asciiTheme="majorHAnsi" w:hAnsiTheme="majorHAnsi"/>
        </w:rPr>
        <w:t>and a thorough knowledge of state and federal laws</w:t>
      </w:r>
      <w:r w:rsidR="00E51244">
        <w:rPr>
          <w:rFonts w:asciiTheme="majorHAnsi" w:hAnsiTheme="majorHAnsi"/>
        </w:rPr>
        <w:t xml:space="preserve">. </w:t>
      </w:r>
      <w:r w:rsidRPr="0016351D">
        <w:rPr>
          <w:rFonts w:asciiTheme="majorHAnsi" w:hAnsiTheme="majorHAnsi"/>
        </w:rPr>
        <w:t xml:space="preserve"> This results in misapplication of existing rules</w:t>
      </w:r>
      <w:r w:rsidR="0006077B">
        <w:rPr>
          <w:rFonts w:asciiTheme="majorHAnsi" w:hAnsiTheme="majorHAnsi"/>
        </w:rPr>
        <w:t>,</w:t>
      </w:r>
      <w:r w:rsidRPr="0016351D">
        <w:rPr>
          <w:rFonts w:asciiTheme="majorHAnsi" w:hAnsiTheme="majorHAnsi"/>
        </w:rPr>
        <w:t xml:space="preserve"> which has </w:t>
      </w:r>
      <w:r w:rsidR="00915C64">
        <w:rPr>
          <w:rFonts w:asciiTheme="majorHAnsi" w:hAnsiTheme="majorHAnsi"/>
        </w:rPr>
        <w:t>led to</w:t>
      </w:r>
      <w:r w:rsidRPr="0016351D">
        <w:rPr>
          <w:rFonts w:asciiTheme="majorHAnsi" w:hAnsiTheme="majorHAnsi"/>
        </w:rPr>
        <w:t xml:space="preserve"> both lost opportunity and increased risk.</w:t>
      </w:r>
    </w:p>
    <w:p w14:paraId="15204734" w14:textId="77777777" w:rsidR="006A438B" w:rsidRPr="0016351D" w:rsidRDefault="006A438B" w:rsidP="006A438B">
      <w:pPr>
        <w:pStyle w:val="Heading2"/>
      </w:pPr>
      <w:bookmarkStart w:id="19" w:name="_Toc425145072"/>
      <w:r w:rsidRPr="0016351D">
        <w:t>General Suggestions</w:t>
      </w:r>
      <w:bookmarkEnd w:id="19"/>
    </w:p>
    <w:p w14:paraId="12585223" w14:textId="16EB8490" w:rsidR="00A933C4" w:rsidRPr="0016351D" w:rsidRDefault="00B87DA4" w:rsidP="002C3B9A">
      <w:pPr>
        <w:rPr>
          <w:rFonts w:asciiTheme="majorHAnsi" w:hAnsiTheme="majorHAnsi"/>
        </w:rPr>
      </w:pPr>
      <w:r w:rsidRPr="0016351D">
        <w:rPr>
          <w:rFonts w:asciiTheme="majorHAnsi" w:hAnsiTheme="majorHAnsi"/>
        </w:rPr>
        <w:t xml:space="preserve">In summary, the PSWG received many hours of helpful testimony </w:t>
      </w:r>
      <w:r w:rsidR="00726C78" w:rsidRPr="0016351D">
        <w:rPr>
          <w:rFonts w:asciiTheme="majorHAnsi" w:hAnsiTheme="majorHAnsi"/>
        </w:rPr>
        <w:t xml:space="preserve">over the course of </w:t>
      </w:r>
      <w:r w:rsidR="004224C1" w:rsidRPr="0016351D">
        <w:rPr>
          <w:rFonts w:asciiTheme="majorHAnsi" w:hAnsiTheme="majorHAnsi"/>
        </w:rPr>
        <w:t>several days</w:t>
      </w:r>
      <w:r w:rsidR="00726C78" w:rsidRPr="0016351D">
        <w:rPr>
          <w:rFonts w:asciiTheme="majorHAnsi" w:hAnsiTheme="majorHAnsi"/>
        </w:rPr>
        <w:t xml:space="preserve"> of public hearings</w:t>
      </w:r>
      <w:r w:rsidR="004224C1" w:rsidRPr="0016351D">
        <w:rPr>
          <w:rFonts w:asciiTheme="majorHAnsi" w:hAnsiTheme="majorHAnsi"/>
        </w:rPr>
        <w:t xml:space="preserve"> and meetings</w:t>
      </w:r>
      <w:r w:rsidR="005F2AF0">
        <w:rPr>
          <w:rFonts w:asciiTheme="majorHAnsi" w:hAnsiTheme="majorHAnsi"/>
        </w:rPr>
        <w:t xml:space="preserve">.  </w:t>
      </w:r>
      <w:r w:rsidR="00726C78" w:rsidRPr="0016351D">
        <w:rPr>
          <w:rFonts w:asciiTheme="majorHAnsi" w:hAnsiTheme="majorHAnsi"/>
        </w:rPr>
        <w:t>In assessing</w:t>
      </w:r>
      <w:r w:rsidR="004224C1" w:rsidRPr="0016351D">
        <w:rPr>
          <w:rFonts w:asciiTheme="majorHAnsi" w:hAnsiTheme="majorHAnsi"/>
        </w:rPr>
        <w:t xml:space="preserve"> the concerns raised </w:t>
      </w:r>
      <w:r w:rsidR="00C03A77" w:rsidRPr="0016351D">
        <w:rPr>
          <w:rFonts w:asciiTheme="majorHAnsi" w:hAnsiTheme="majorHAnsi"/>
        </w:rPr>
        <w:t xml:space="preserve">about </w:t>
      </w:r>
      <w:r w:rsidR="004224C1" w:rsidRPr="0016351D">
        <w:rPr>
          <w:rFonts w:asciiTheme="majorHAnsi" w:hAnsiTheme="majorHAnsi"/>
        </w:rPr>
        <w:t>protect</w:t>
      </w:r>
      <w:r w:rsidR="00C03A77" w:rsidRPr="0016351D">
        <w:rPr>
          <w:rFonts w:asciiTheme="majorHAnsi" w:hAnsiTheme="majorHAnsi"/>
        </w:rPr>
        <w:t>ing</w:t>
      </w:r>
      <w:r w:rsidR="004224C1" w:rsidRPr="0016351D">
        <w:rPr>
          <w:rFonts w:asciiTheme="majorHAnsi" w:hAnsiTheme="majorHAnsi"/>
        </w:rPr>
        <w:t xml:space="preserve"> privacy</w:t>
      </w:r>
      <w:r w:rsidR="00C03A77" w:rsidRPr="0016351D">
        <w:rPr>
          <w:rFonts w:asciiTheme="majorHAnsi" w:hAnsiTheme="majorHAnsi"/>
        </w:rPr>
        <w:t xml:space="preserve"> and security in </w:t>
      </w:r>
      <w:r w:rsidR="00974444">
        <w:rPr>
          <w:rFonts w:asciiTheme="majorHAnsi" w:hAnsiTheme="majorHAnsi"/>
        </w:rPr>
        <w:t xml:space="preserve">health </w:t>
      </w:r>
      <w:r w:rsidR="00C03A77" w:rsidRPr="0016351D">
        <w:rPr>
          <w:rFonts w:asciiTheme="majorHAnsi" w:hAnsiTheme="majorHAnsi"/>
        </w:rPr>
        <w:t>big data</w:t>
      </w:r>
      <w:r w:rsidR="002D6870" w:rsidRPr="0016351D">
        <w:rPr>
          <w:rFonts w:asciiTheme="majorHAnsi" w:hAnsiTheme="majorHAnsi"/>
        </w:rPr>
        <w:t xml:space="preserve"> analytics</w:t>
      </w:r>
      <w:r w:rsidR="00C03A77" w:rsidRPr="0016351D">
        <w:rPr>
          <w:rFonts w:asciiTheme="majorHAnsi" w:hAnsiTheme="majorHAnsi"/>
        </w:rPr>
        <w:t xml:space="preserve">, </w:t>
      </w:r>
      <w:r w:rsidR="00D64331">
        <w:rPr>
          <w:rFonts w:asciiTheme="majorHAnsi" w:hAnsiTheme="majorHAnsi"/>
        </w:rPr>
        <w:t xml:space="preserve">panelists </w:t>
      </w:r>
      <w:r w:rsidR="00F14C8C" w:rsidRPr="0016351D">
        <w:rPr>
          <w:rFonts w:asciiTheme="majorHAnsi" w:hAnsiTheme="majorHAnsi"/>
        </w:rPr>
        <w:t xml:space="preserve">offered several </w:t>
      </w:r>
      <w:r w:rsidR="006A438B" w:rsidRPr="0016351D">
        <w:rPr>
          <w:rFonts w:asciiTheme="majorHAnsi" w:hAnsiTheme="majorHAnsi"/>
        </w:rPr>
        <w:t>general suggestions</w:t>
      </w:r>
      <w:r w:rsidR="00C419E7">
        <w:rPr>
          <w:rFonts w:asciiTheme="majorHAnsi" w:hAnsiTheme="majorHAnsi"/>
        </w:rPr>
        <w:t xml:space="preserve">, which </w:t>
      </w:r>
      <w:r w:rsidR="00A933C4" w:rsidRPr="0016351D">
        <w:rPr>
          <w:rFonts w:asciiTheme="majorHAnsi" w:hAnsiTheme="majorHAnsi"/>
        </w:rPr>
        <w:t>follow:</w:t>
      </w:r>
    </w:p>
    <w:p w14:paraId="6153BDB0" w14:textId="69145FB7" w:rsidR="000A4E23" w:rsidRPr="0016351D" w:rsidRDefault="000A4E23" w:rsidP="000A4E23">
      <w:pPr>
        <w:pStyle w:val="ListParagraph"/>
        <w:numPr>
          <w:ilvl w:val="0"/>
          <w:numId w:val="5"/>
        </w:numPr>
        <w:rPr>
          <w:rFonts w:asciiTheme="majorHAnsi" w:hAnsiTheme="majorHAnsi"/>
        </w:rPr>
      </w:pPr>
      <w:r w:rsidRPr="0016351D">
        <w:rPr>
          <w:rFonts w:asciiTheme="majorHAnsi" w:hAnsiTheme="majorHAnsi"/>
        </w:rPr>
        <w:t>It is important to allow experimentation for technology and methods to improve</w:t>
      </w:r>
      <w:r w:rsidR="005F2AF0">
        <w:rPr>
          <w:rFonts w:asciiTheme="majorHAnsi" w:hAnsiTheme="majorHAnsi"/>
        </w:rPr>
        <w:t xml:space="preserve">.  </w:t>
      </w:r>
      <w:r w:rsidRPr="0016351D">
        <w:rPr>
          <w:rFonts w:asciiTheme="majorHAnsi" w:hAnsiTheme="majorHAnsi"/>
        </w:rPr>
        <w:t xml:space="preserve">It is also important </w:t>
      </w:r>
      <w:r w:rsidR="00242FB5" w:rsidRPr="0016351D">
        <w:rPr>
          <w:rFonts w:asciiTheme="majorHAnsi" w:hAnsiTheme="majorHAnsi"/>
        </w:rPr>
        <w:t>that</w:t>
      </w:r>
      <w:r w:rsidRPr="0016351D">
        <w:rPr>
          <w:rFonts w:asciiTheme="majorHAnsi" w:hAnsiTheme="majorHAnsi"/>
        </w:rPr>
        <w:t xml:space="preserve"> organizations</w:t>
      </w:r>
      <w:r w:rsidR="00FC59F6" w:rsidRPr="0016351D">
        <w:rPr>
          <w:rFonts w:asciiTheme="majorHAnsi" w:hAnsiTheme="majorHAnsi"/>
        </w:rPr>
        <w:t>,</w:t>
      </w:r>
      <w:r w:rsidRPr="0016351D">
        <w:rPr>
          <w:rFonts w:asciiTheme="majorHAnsi" w:hAnsiTheme="majorHAnsi"/>
        </w:rPr>
        <w:t xml:space="preserve"> that are initially slow to move</w:t>
      </w:r>
      <w:r w:rsidR="00FC59F6" w:rsidRPr="0016351D">
        <w:rPr>
          <w:rFonts w:asciiTheme="majorHAnsi" w:hAnsiTheme="majorHAnsi"/>
        </w:rPr>
        <w:t>,</w:t>
      </w:r>
      <w:r w:rsidRPr="0016351D">
        <w:rPr>
          <w:rFonts w:asciiTheme="majorHAnsi" w:hAnsiTheme="majorHAnsi"/>
        </w:rPr>
        <w:t xml:space="preserve"> learn how best</w:t>
      </w:r>
      <w:r w:rsidR="00242FB5" w:rsidRPr="0016351D">
        <w:rPr>
          <w:rFonts w:asciiTheme="majorHAnsi" w:hAnsiTheme="majorHAnsi"/>
        </w:rPr>
        <w:t xml:space="preserve"> to</w:t>
      </w:r>
      <w:r w:rsidRPr="0016351D">
        <w:rPr>
          <w:rFonts w:asciiTheme="majorHAnsi" w:hAnsiTheme="majorHAnsi"/>
        </w:rPr>
        <w:t xml:space="preserve"> take advantage of big data opportunities and realize potential benefits.</w:t>
      </w:r>
    </w:p>
    <w:p w14:paraId="64A0F2E2" w14:textId="636A907B" w:rsidR="00A933C4" w:rsidRPr="0016351D" w:rsidRDefault="00A933C4" w:rsidP="00A933C4">
      <w:pPr>
        <w:numPr>
          <w:ilvl w:val="0"/>
          <w:numId w:val="5"/>
        </w:numPr>
        <w:rPr>
          <w:rFonts w:asciiTheme="majorHAnsi" w:hAnsiTheme="majorHAnsi"/>
        </w:rPr>
      </w:pPr>
      <w:r w:rsidRPr="0016351D">
        <w:rPr>
          <w:rFonts w:asciiTheme="majorHAnsi" w:hAnsiTheme="majorHAnsi"/>
        </w:rPr>
        <w:lastRenderedPageBreak/>
        <w:t xml:space="preserve">The best approach for protecting privacy is to start with the </w:t>
      </w:r>
      <w:r w:rsidR="00C03A77" w:rsidRPr="0016351D">
        <w:rPr>
          <w:rFonts w:asciiTheme="majorHAnsi" w:hAnsiTheme="majorHAnsi"/>
        </w:rPr>
        <w:t>FIPPs</w:t>
      </w:r>
      <w:r w:rsidR="005F2AF0">
        <w:rPr>
          <w:rFonts w:asciiTheme="majorHAnsi" w:hAnsiTheme="majorHAnsi"/>
        </w:rPr>
        <w:t xml:space="preserve">.  </w:t>
      </w:r>
      <w:r w:rsidRPr="0016351D">
        <w:rPr>
          <w:rFonts w:asciiTheme="majorHAnsi" w:hAnsiTheme="majorHAnsi"/>
        </w:rPr>
        <w:t xml:space="preserve">The FIPPs </w:t>
      </w:r>
      <w:r w:rsidR="00974414" w:rsidRPr="0016351D">
        <w:rPr>
          <w:rFonts w:asciiTheme="majorHAnsi" w:hAnsiTheme="majorHAnsi"/>
        </w:rPr>
        <w:t xml:space="preserve">are flexible yet structured, and </w:t>
      </w:r>
      <w:r w:rsidRPr="0016351D">
        <w:rPr>
          <w:rFonts w:asciiTheme="majorHAnsi" w:hAnsiTheme="majorHAnsi"/>
        </w:rPr>
        <w:t>can apply to the traditional healthcare sector as well as the emerging consumer applications market.</w:t>
      </w:r>
      <w:r w:rsidRPr="0016351D">
        <w:rPr>
          <w:rStyle w:val="FootnoteReference"/>
          <w:rFonts w:asciiTheme="majorHAnsi" w:hAnsiTheme="majorHAnsi"/>
        </w:rPr>
        <w:footnoteReference w:id="46"/>
      </w:r>
    </w:p>
    <w:p w14:paraId="0D92C22A" w14:textId="77777777" w:rsidR="00FA10BA" w:rsidRPr="0016351D" w:rsidRDefault="00FA10BA" w:rsidP="00A933C4">
      <w:pPr>
        <w:numPr>
          <w:ilvl w:val="0"/>
          <w:numId w:val="5"/>
        </w:numPr>
        <w:rPr>
          <w:rFonts w:asciiTheme="majorHAnsi" w:hAnsiTheme="majorHAnsi"/>
        </w:rPr>
      </w:pPr>
      <w:r w:rsidRPr="0016351D">
        <w:rPr>
          <w:rFonts w:asciiTheme="majorHAnsi" w:hAnsiTheme="majorHAnsi"/>
        </w:rPr>
        <w:t>Finally, t</w:t>
      </w:r>
      <w:r w:rsidR="000B4116" w:rsidRPr="0016351D">
        <w:rPr>
          <w:rFonts w:asciiTheme="majorHAnsi" w:hAnsiTheme="majorHAnsi"/>
        </w:rPr>
        <w:t>he PSWG might consider t</w:t>
      </w:r>
      <w:r w:rsidR="00A933C4" w:rsidRPr="0016351D">
        <w:rPr>
          <w:rFonts w:asciiTheme="majorHAnsi" w:hAnsiTheme="majorHAnsi"/>
        </w:rPr>
        <w:t xml:space="preserve">hree options </w:t>
      </w:r>
      <w:r w:rsidR="009B639B" w:rsidRPr="0016351D">
        <w:rPr>
          <w:rFonts w:asciiTheme="majorHAnsi" w:hAnsiTheme="majorHAnsi"/>
        </w:rPr>
        <w:t>to address legal gaps:</w:t>
      </w:r>
    </w:p>
    <w:p w14:paraId="522F749D" w14:textId="77777777" w:rsidR="00FA10BA" w:rsidRPr="0016351D" w:rsidRDefault="00C03A77" w:rsidP="00FA10BA">
      <w:pPr>
        <w:numPr>
          <w:ilvl w:val="1"/>
          <w:numId w:val="5"/>
        </w:numPr>
        <w:rPr>
          <w:rFonts w:asciiTheme="majorHAnsi" w:hAnsiTheme="majorHAnsi"/>
        </w:rPr>
      </w:pPr>
      <w:r w:rsidRPr="0016351D">
        <w:rPr>
          <w:rFonts w:asciiTheme="majorHAnsi" w:hAnsiTheme="majorHAnsi"/>
        </w:rPr>
        <w:t>Develop</w:t>
      </w:r>
      <w:r w:rsidR="0041026E" w:rsidRPr="0016351D">
        <w:rPr>
          <w:rFonts w:asciiTheme="majorHAnsi" w:hAnsiTheme="majorHAnsi"/>
        </w:rPr>
        <w:t xml:space="preserve"> a</w:t>
      </w:r>
      <w:r w:rsidRPr="0016351D">
        <w:rPr>
          <w:rFonts w:asciiTheme="majorHAnsi" w:hAnsiTheme="majorHAnsi"/>
        </w:rPr>
        <w:t xml:space="preserve"> </w:t>
      </w:r>
      <w:r w:rsidR="00FA10BA" w:rsidRPr="0016351D">
        <w:rPr>
          <w:rFonts w:asciiTheme="majorHAnsi" w:hAnsiTheme="majorHAnsi"/>
        </w:rPr>
        <w:t>specific set of principles applicable only to “non-HIPAA health care data” (with an obvious ambiguity about what “health care data” would mean);</w:t>
      </w:r>
    </w:p>
    <w:p w14:paraId="01997D16" w14:textId="6500CDF8" w:rsidR="00FA10BA" w:rsidRPr="0016351D" w:rsidRDefault="00C03A77" w:rsidP="00FA10BA">
      <w:pPr>
        <w:numPr>
          <w:ilvl w:val="1"/>
          <w:numId w:val="5"/>
        </w:numPr>
        <w:rPr>
          <w:rFonts w:asciiTheme="majorHAnsi" w:hAnsiTheme="majorHAnsi"/>
        </w:rPr>
      </w:pPr>
      <w:r w:rsidRPr="0016351D">
        <w:rPr>
          <w:rFonts w:asciiTheme="majorHAnsi" w:hAnsiTheme="majorHAnsi"/>
        </w:rPr>
        <w:t>Develop a</w:t>
      </w:r>
      <w:r w:rsidR="00FA10BA" w:rsidRPr="0016351D">
        <w:rPr>
          <w:rFonts w:asciiTheme="majorHAnsi" w:hAnsiTheme="majorHAnsi"/>
        </w:rPr>
        <w:t xml:space="preserve"> set of principles (through an amendment to the scope of HIPAA or otherwise) that would apply to all health care </w:t>
      </w:r>
      <w:r w:rsidR="00CB3554">
        <w:rPr>
          <w:rFonts w:asciiTheme="majorHAnsi" w:hAnsiTheme="majorHAnsi"/>
        </w:rPr>
        <w:t>information</w:t>
      </w:r>
      <w:r w:rsidR="00FA10BA" w:rsidRPr="0016351D">
        <w:rPr>
          <w:rFonts w:asciiTheme="majorHAnsi" w:hAnsiTheme="majorHAnsi"/>
        </w:rPr>
        <w:t>; or</w:t>
      </w:r>
    </w:p>
    <w:p w14:paraId="7860647E" w14:textId="6AEA9C2D" w:rsidR="00A933C4" w:rsidRPr="0016351D" w:rsidRDefault="0041026E" w:rsidP="002C3B9A">
      <w:pPr>
        <w:numPr>
          <w:ilvl w:val="1"/>
          <w:numId w:val="5"/>
        </w:numPr>
        <w:rPr>
          <w:rFonts w:asciiTheme="majorHAnsi" w:hAnsiTheme="majorHAnsi"/>
        </w:rPr>
      </w:pPr>
      <w:r w:rsidRPr="0016351D">
        <w:rPr>
          <w:rFonts w:asciiTheme="majorHAnsi" w:hAnsiTheme="majorHAnsi"/>
        </w:rPr>
        <w:t xml:space="preserve">Develop </w:t>
      </w:r>
      <w:r w:rsidR="00C03A77" w:rsidRPr="0016351D">
        <w:rPr>
          <w:rFonts w:asciiTheme="majorHAnsi" w:hAnsiTheme="majorHAnsi"/>
        </w:rPr>
        <w:t>a</w:t>
      </w:r>
      <w:r w:rsidR="00FA10BA" w:rsidRPr="0016351D">
        <w:rPr>
          <w:rFonts w:asciiTheme="majorHAnsi" w:hAnsiTheme="majorHAnsi"/>
        </w:rPr>
        <w:t xml:space="preserve"> broader general privacy law that would apply to all personal </w:t>
      </w:r>
      <w:r w:rsidR="00CB3554">
        <w:rPr>
          <w:rFonts w:asciiTheme="majorHAnsi" w:hAnsiTheme="majorHAnsi"/>
        </w:rPr>
        <w:t>information</w:t>
      </w:r>
      <w:r w:rsidR="00CB3554" w:rsidRPr="0016351D">
        <w:rPr>
          <w:rFonts w:asciiTheme="majorHAnsi" w:hAnsiTheme="majorHAnsi"/>
        </w:rPr>
        <w:t xml:space="preserve"> </w:t>
      </w:r>
      <w:r w:rsidR="00FA10BA" w:rsidRPr="0016351D">
        <w:rPr>
          <w:rFonts w:asciiTheme="majorHAnsi" w:hAnsiTheme="majorHAnsi"/>
        </w:rPr>
        <w:t>(with or without a carve-out for data currently covered by the HIPAA rules.</w:t>
      </w:r>
      <w:r w:rsidR="00A933C4" w:rsidRPr="0016351D">
        <w:rPr>
          <w:rStyle w:val="FootnoteReference"/>
          <w:rFonts w:asciiTheme="majorHAnsi" w:hAnsiTheme="majorHAnsi"/>
        </w:rPr>
        <w:footnoteReference w:id="47"/>
      </w:r>
    </w:p>
    <w:p w14:paraId="24FC3C1F" w14:textId="77777777" w:rsidR="00874242" w:rsidRPr="0016351D" w:rsidRDefault="00874242" w:rsidP="004F73A4">
      <w:pPr>
        <w:pStyle w:val="Heading1"/>
      </w:pPr>
      <w:bookmarkStart w:id="20" w:name="_Toc425145073"/>
      <w:r w:rsidRPr="0016351D">
        <w:t>Detailed Problem Statements</w:t>
      </w:r>
      <w:bookmarkEnd w:id="20"/>
      <w:r w:rsidRPr="0016351D">
        <w:t xml:space="preserve">  </w:t>
      </w:r>
    </w:p>
    <w:p w14:paraId="7B9B4A7F" w14:textId="5B32D60E" w:rsidR="00874242" w:rsidRPr="0016351D" w:rsidRDefault="00144FFA" w:rsidP="004F73A4">
      <w:pPr>
        <w:rPr>
          <w:rFonts w:asciiTheme="majorHAnsi" w:hAnsiTheme="majorHAnsi"/>
        </w:rPr>
      </w:pPr>
      <w:r w:rsidRPr="0016351D">
        <w:rPr>
          <w:rFonts w:asciiTheme="majorHAnsi" w:hAnsiTheme="majorHAnsi"/>
        </w:rPr>
        <w:t>As elect</w:t>
      </w:r>
      <w:r w:rsidR="000E29B0">
        <w:rPr>
          <w:rFonts w:asciiTheme="majorHAnsi" w:hAnsiTheme="majorHAnsi"/>
        </w:rPr>
        <w:t>ronic health IT adoption</w:t>
      </w:r>
      <w:r w:rsidRPr="0016351D">
        <w:rPr>
          <w:rFonts w:asciiTheme="majorHAnsi" w:hAnsiTheme="majorHAnsi"/>
        </w:rPr>
        <w:t xml:space="preserve"> has advanced, </w:t>
      </w:r>
      <w:r w:rsidR="0065169B">
        <w:rPr>
          <w:rFonts w:asciiTheme="majorHAnsi" w:hAnsiTheme="majorHAnsi"/>
        </w:rPr>
        <w:t>large data sets of health information</w:t>
      </w:r>
      <w:r w:rsidRPr="0016351D">
        <w:rPr>
          <w:rFonts w:asciiTheme="majorHAnsi" w:hAnsiTheme="majorHAnsi"/>
        </w:rPr>
        <w:t xml:space="preserve"> have been </w:t>
      </w:r>
      <w:r w:rsidR="000E29B0">
        <w:rPr>
          <w:rFonts w:asciiTheme="majorHAnsi" w:hAnsiTheme="majorHAnsi"/>
        </w:rPr>
        <w:t xml:space="preserve">amassed from across </w:t>
      </w:r>
      <w:r w:rsidR="0016381B" w:rsidRPr="0016351D">
        <w:rPr>
          <w:rFonts w:asciiTheme="majorHAnsi" w:hAnsiTheme="majorHAnsi"/>
        </w:rPr>
        <w:t>electronic health records</w:t>
      </w:r>
      <w:r w:rsidR="00804F4B">
        <w:rPr>
          <w:rFonts w:asciiTheme="majorHAnsi" w:hAnsiTheme="majorHAnsi"/>
        </w:rPr>
        <w:t xml:space="preserve"> (EHR) technology</w:t>
      </w:r>
      <w:r w:rsidR="0016381B" w:rsidRPr="0016351D">
        <w:rPr>
          <w:rFonts w:asciiTheme="majorHAnsi" w:hAnsiTheme="majorHAnsi"/>
        </w:rPr>
        <w:t>, health applications</w:t>
      </w:r>
      <w:r w:rsidR="000E29B0">
        <w:rPr>
          <w:rFonts w:asciiTheme="majorHAnsi" w:hAnsiTheme="majorHAnsi"/>
        </w:rPr>
        <w:t>,</w:t>
      </w:r>
      <w:r w:rsidR="0016381B" w:rsidRPr="0016351D">
        <w:rPr>
          <w:rFonts w:asciiTheme="majorHAnsi" w:hAnsiTheme="majorHAnsi"/>
        </w:rPr>
        <w:t xml:space="preserve"> and personal health records</w:t>
      </w:r>
      <w:r w:rsidR="00804F4B">
        <w:rPr>
          <w:rFonts w:asciiTheme="majorHAnsi" w:hAnsiTheme="majorHAnsi"/>
        </w:rPr>
        <w:t xml:space="preserve"> (PHRs)</w:t>
      </w:r>
      <w:r w:rsidR="00600306">
        <w:rPr>
          <w:rFonts w:asciiTheme="majorHAnsi" w:hAnsiTheme="majorHAnsi"/>
        </w:rPr>
        <w:t xml:space="preserve">. </w:t>
      </w:r>
      <w:r w:rsidRPr="0016351D">
        <w:rPr>
          <w:rFonts w:asciiTheme="majorHAnsi" w:hAnsiTheme="majorHAnsi"/>
        </w:rPr>
        <w:t xml:space="preserve"> </w:t>
      </w:r>
      <w:r w:rsidR="000E29B0">
        <w:rPr>
          <w:rFonts w:asciiTheme="majorHAnsi" w:hAnsiTheme="majorHAnsi"/>
        </w:rPr>
        <w:t>The application of</w:t>
      </w:r>
      <w:r w:rsidRPr="0016351D">
        <w:rPr>
          <w:rFonts w:asciiTheme="majorHAnsi" w:hAnsiTheme="majorHAnsi"/>
        </w:rPr>
        <w:t xml:space="preserve"> b</w:t>
      </w:r>
      <w:r w:rsidR="001B5ABE" w:rsidRPr="0016351D">
        <w:rPr>
          <w:rFonts w:asciiTheme="majorHAnsi" w:hAnsiTheme="majorHAnsi"/>
        </w:rPr>
        <w:t>ig data analytics</w:t>
      </w:r>
      <w:r w:rsidR="000E29B0">
        <w:rPr>
          <w:rFonts w:asciiTheme="majorHAnsi" w:hAnsiTheme="majorHAnsi"/>
        </w:rPr>
        <w:t xml:space="preserve"> to </w:t>
      </w:r>
      <w:r w:rsidRPr="0016351D">
        <w:rPr>
          <w:rFonts w:asciiTheme="majorHAnsi" w:hAnsiTheme="majorHAnsi"/>
        </w:rPr>
        <w:t xml:space="preserve">these data sets </w:t>
      </w:r>
      <w:r w:rsidR="001B5ABE" w:rsidRPr="0016351D">
        <w:rPr>
          <w:rFonts w:asciiTheme="majorHAnsi" w:hAnsiTheme="majorHAnsi"/>
        </w:rPr>
        <w:t>offer</w:t>
      </w:r>
      <w:r w:rsidR="000E29B0">
        <w:rPr>
          <w:rFonts w:asciiTheme="majorHAnsi" w:hAnsiTheme="majorHAnsi"/>
        </w:rPr>
        <w:t>s</w:t>
      </w:r>
      <w:r w:rsidR="001B5ABE" w:rsidRPr="0016351D">
        <w:rPr>
          <w:rFonts w:asciiTheme="majorHAnsi" w:hAnsiTheme="majorHAnsi"/>
        </w:rPr>
        <w:t xml:space="preserve"> promising opportunities for learning </w:t>
      </w:r>
      <w:r w:rsidR="00D13D28" w:rsidRPr="0016351D">
        <w:rPr>
          <w:rFonts w:asciiTheme="majorHAnsi" w:hAnsiTheme="majorHAnsi"/>
        </w:rPr>
        <w:t xml:space="preserve">and </w:t>
      </w:r>
      <w:r w:rsidR="000E29B0">
        <w:rPr>
          <w:rFonts w:asciiTheme="majorHAnsi" w:hAnsiTheme="majorHAnsi"/>
        </w:rPr>
        <w:t>improving</w:t>
      </w:r>
      <w:r w:rsidR="00D13D28" w:rsidRPr="0016351D">
        <w:rPr>
          <w:rFonts w:asciiTheme="majorHAnsi" w:hAnsiTheme="majorHAnsi"/>
        </w:rPr>
        <w:t xml:space="preserve"> patient outcomes</w:t>
      </w:r>
      <w:r w:rsidR="006565FC">
        <w:rPr>
          <w:rFonts w:asciiTheme="majorHAnsi" w:hAnsiTheme="majorHAnsi"/>
        </w:rPr>
        <w:t>,</w:t>
      </w:r>
      <w:r w:rsidR="00D13D28" w:rsidRPr="0016351D">
        <w:rPr>
          <w:rFonts w:asciiTheme="majorHAnsi" w:hAnsiTheme="majorHAnsi"/>
        </w:rPr>
        <w:t xml:space="preserve"> </w:t>
      </w:r>
      <w:r w:rsidRPr="0016351D">
        <w:rPr>
          <w:rFonts w:asciiTheme="majorHAnsi" w:hAnsiTheme="majorHAnsi"/>
        </w:rPr>
        <w:t xml:space="preserve">but </w:t>
      </w:r>
      <w:r w:rsidR="006565FC">
        <w:rPr>
          <w:rFonts w:asciiTheme="majorHAnsi" w:hAnsiTheme="majorHAnsi"/>
        </w:rPr>
        <w:t xml:space="preserve">big data analytics </w:t>
      </w:r>
      <w:r w:rsidRPr="0016351D">
        <w:rPr>
          <w:rFonts w:asciiTheme="majorHAnsi" w:hAnsiTheme="majorHAnsi"/>
        </w:rPr>
        <w:t>also</w:t>
      </w:r>
      <w:r w:rsidR="001B5ABE" w:rsidRPr="0016351D">
        <w:rPr>
          <w:rFonts w:asciiTheme="majorHAnsi" w:hAnsiTheme="majorHAnsi"/>
        </w:rPr>
        <w:t xml:space="preserve"> </w:t>
      </w:r>
      <w:r w:rsidR="006565FC">
        <w:rPr>
          <w:rFonts w:asciiTheme="majorHAnsi" w:hAnsiTheme="majorHAnsi"/>
        </w:rPr>
        <w:t>creates</w:t>
      </w:r>
      <w:r w:rsidR="001B5ABE" w:rsidRPr="0016351D">
        <w:rPr>
          <w:rFonts w:asciiTheme="majorHAnsi" w:hAnsiTheme="majorHAnsi"/>
        </w:rPr>
        <w:t xml:space="preserve"> </w:t>
      </w:r>
      <w:r w:rsidRPr="0016351D">
        <w:rPr>
          <w:rFonts w:asciiTheme="majorHAnsi" w:hAnsiTheme="majorHAnsi"/>
        </w:rPr>
        <w:t xml:space="preserve">potential </w:t>
      </w:r>
      <w:r w:rsidR="006565FC">
        <w:rPr>
          <w:rFonts w:asciiTheme="majorHAnsi" w:hAnsiTheme="majorHAnsi"/>
        </w:rPr>
        <w:t>problems for</w:t>
      </w:r>
      <w:r w:rsidR="00452D6E" w:rsidRPr="0016351D">
        <w:rPr>
          <w:rFonts w:asciiTheme="majorHAnsi" w:hAnsiTheme="majorHAnsi"/>
        </w:rPr>
        <w:t xml:space="preserve"> maintaining</w:t>
      </w:r>
      <w:r w:rsidRPr="0016351D">
        <w:rPr>
          <w:rFonts w:asciiTheme="majorHAnsi" w:hAnsiTheme="majorHAnsi"/>
        </w:rPr>
        <w:t xml:space="preserve"> privacy and security</w:t>
      </w:r>
      <w:r w:rsidR="00600306">
        <w:rPr>
          <w:rFonts w:asciiTheme="majorHAnsi" w:hAnsiTheme="majorHAnsi"/>
        </w:rPr>
        <w:t xml:space="preserve">.  </w:t>
      </w:r>
      <w:r w:rsidR="00881FCF">
        <w:rPr>
          <w:rFonts w:asciiTheme="majorHAnsi" w:hAnsiTheme="majorHAnsi"/>
        </w:rPr>
        <w:t>The PSWG’s public hearings and meetings</w:t>
      </w:r>
      <w:r w:rsidR="00874242" w:rsidRPr="0016351D">
        <w:rPr>
          <w:rFonts w:asciiTheme="majorHAnsi" w:hAnsiTheme="majorHAnsi"/>
        </w:rPr>
        <w:t xml:space="preserve"> yielded </w:t>
      </w:r>
      <w:r w:rsidR="001E590D">
        <w:rPr>
          <w:rFonts w:asciiTheme="majorHAnsi" w:hAnsiTheme="majorHAnsi"/>
        </w:rPr>
        <w:t xml:space="preserve">high-priority </w:t>
      </w:r>
      <w:r w:rsidR="009F1BAA">
        <w:rPr>
          <w:rFonts w:asciiTheme="majorHAnsi" w:hAnsiTheme="majorHAnsi"/>
        </w:rPr>
        <w:t>issues</w:t>
      </w:r>
      <w:r w:rsidR="001E590D">
        <w:rPr>
          <w:rFonts w:asciiTheme="majorHAnsi" w:hAnsiTheme="majorHAnsi"/>
        </w:rPr>
        <w:t xml:space="preserve"> </w:t>
      </w:r>
      <w:r w:rsidR="00A001D1">
        <w:rPr>
          <w:rFonts w:asciiTheme="majorHAnsi" w:hAnsiTheme="majorHAnsi"/>
        </w:rPr>
        <w:t>that merit the HITPC</w:t>
      </w:r>
      <w:r w:rsidR="009F1BAA">
        <w:rPr>
          <w:rFonts w:asciiTheme="majorHAnsi" w:hAnsiTheme="majorHAnsi"/>
        </w:rPr>
        <w:t>’s attention</w:t>
      </w:r>
      <w:r w:rsidR="00600306">
        <w:rPr>
          <w:rFonts w:asciiTheme="majorHAnsi" w:hAnsiTheme="majorHAnsi"/>
        </w:rPr>
        <w:t xml:space="preserve">.  </w:t>
      </w:r>
      <w:r w:rsidR="00874242" w:rsidRPr="0016351D">
        <w:rPr>
          <w:rFonts w:asciiTheme="majorHAnsi" w:hAnsiTheme="majorHAnsi"/>
        </w:rPr>
        <w:t xml:space="preserve">This section outlines the key problem </w:t>
      </w:r>
      <w:r w:rsidR="00222236">
        <w:rPr>
          <w:rFonts w:asciiTheme="majorHAnsi" w:hAnsiTheme="majorHAnsi"/>
        </w:rPr>
        <w:t>areas that the PSWG</w:t>
      </w:r>
      <w:r w:rsidR="006A3B2F">
        <w:rPr>
          <w:rFonts w:asciiTheme="majorHAnsi" w:hAnsiTheme="majorHAnsi"/>
        </w:rPr>
        <w:t xml:space="preserve"> addresses in its recommendations</w:t>
      </w:r>
      <w:r w:rsidR="00874242" w:rsidRPr="0016351D">
        <w:rPr>
          <w:rFonts w:asciiTheme="majorHAnsi" w:hAnsiTheme="majorHAnsi"/>
        </w:rPr>
        <w:t>.</w:t>
      </w:r>
    </w:p>
    <w:p w14:paraId="0F85F728" w14:textId="77777777" w:rsidR="00874242" w:rsidRPr="0016351D" w:rsidRDefault="00874242" w:rsidP="004F73A4">
      <w:pPr>
        <w:pStyle w:val="Heading2"/>
      </w:pPr>
      <w:bookmarkStart w:id="21" w:name="_Toc425145074"/>
      <w:r w:rsidRPr="0016351D">
        <w:t>Potential for Harmful or Discriminatory Practices</w:t>
      </w:r>
      <w:bookmarkEnd w:id="21"/>
      <w:r w:rsidRPr="0016351D">
        <w:t xml:space="preserve"> </w:t>
      </w:r>
    </w:p>
    <w:p w14:paraId="21676751" w14:textId="768E1201" w:rsidR="00874242" w:rsidRPr="0016351D" w:rsidRDefault="00874242" w:rsidP="004F73A4">
      <w:pPr>
        <w:rPr>
          <w:rFonts w:asciiTheme="majorHAnsi" w:hAnsiTheme="majorHAnsi"/>
        </w:rPr>
      </w:pPr>
      <w:r w:rsidRPr="0016351D">
        <w:rPr>
          <w:rFonts w:asciiTheme="majorHAnsi" w:hAnsiTheme="majorHAnsi"/>
        </w:rPr>
        <w:t xml:space="preserve">During </w:t>
      </w:r>
      <w:r w:rsidR="00957F6B">
        <w:rPr>
          <w:rFonts w:asciiTheme="majorHAnsi" w:hAnsiTheme="majorHAnsi"/>
        </w:rPr>
        <w:t>the</w:t>
      </w:r>
      <w:r w:rsidR="00957F6B" w:rsidRPr="0016351D">
        <w:rPr>
          <w:rFonts w:asciiTheme="majorHAnsi" w:hAnsiTheme="majorHAnsi"/>
        </w:rPr>
        <w:t xml:space="preserve"> </w:t>
      </w:r>
      <w:r w:rsidRPr="0016351D">
        <w:rPr>
          <w:rFonts w:asciiTheme="majorHAnsi" w:hAnsiTheme="majorHAnsi"/>
        </w:rPr>
        <w:t xml:space="preserve">hearings, among the most oft cited concerns about health “big data” is the potential for health </w:t>
      </w:r>
      <w:r w:rsidR="00CB3554">
        <w:rPr>
          <w:rFonts w:asciiTheme="majorHAnsi" w:hAnsiTheme="majorHAnsi"/>
        </w:rPr>
        <w:t>information</w:t>
      </w:r>
      <w:r w:rsidR="00CB3554" w:rsidRPr="0016351D">
        <w:rPr>
          <w:rFonts w:asciiTheme="majorHAnsi" w:hAnsiTheme="majorHAnsi"/>
        </w:rPr>
        <w:t xml:space="preserve"> </w:t>
      </w:r>
      <w:r w:rsidRPr="0016351D">
        <w:rPr>
          <w:rFonts w:asciiTheme="majorHAnsi" w:hAnsiTheme="majorHAnsi"/>
        </w:rPr>
        <w:t>to be collected and used in a way that harms individuals or groups</w:t>
      </w:r>
      <w:r w:rsidR="00600306">
        <w:rPr>
          <w:rFonts w:asciiTheme="majorHAnsi" w:hAnsiTheme="majorHAnsi"/>
        </w:rPr>
        <w:t xml:space="preserve">.  </w:t>
      </w:r>
      <w:r w:rsidRPr="0016351D">
        <w:rPr>
          <w:rFonts w:asciiTheme="majorHAnsi" w:hAnsiTheme="majorHAnsi"/>
        </w:rPr>
        <w:t>Discrimination is just one example of a harm that can result from certain analytic uses of health big data</w:t>
      </w:r>
      <w:r w:rsidR="00996DD1">
        <w:rPr>
          <w:rFonts w:asciiTheme="majorHAnsi" w:hAnsiTheme="majorHAnsi"/>
        </w:rPr>
        <w:t xml:space="preserve">.  </w:t>
      </w:r>
      <w:r w:rsidRPr="0016351D">
        <w:rPr>
          <w:rFonts w:asciiTheme="majorHAnsi" w:hAnsiTheme="majorHAnsi"/>
        </w:rPr>
        <w:t>U.S</w:t>
      </w:r>
      <w:r w:rsidR="005F2AF0">
        <w:rPr>
          <w:rFonts w:asciiTheme="majorHAnsi" w:hAnsiTheme="majorHAnsi"/>
        </w:rPr>
        <w:t xml:space="preserve">.  </w:t>
      </w:r>
      <w:r w:rsidRPr="0016351D">
        <w:rPr>
          <w:rFonts w:asciiTheme="majorHAnsi" w:hAnsiTheme="majorHAnsi"/>
        </w:rPr>
        <w:t xml:space="preserve">laws prohibit some discriminatory uses of health </w:t>
      </w:r>
      <w:r w:rsidR="00156D7C">
        <w:rPr>
          <w:rFonts w:asciiTheme="majorHAnsi" w:hAnsiTheme="majorHAnsi"/>
        </w:rPr>
        <w:t>information</w:t>
      </w:r>
      <w:r w:rsidR="00156D7C" w:rsidRPr="0016351D">
        <w:rPr>
          <w:rFonts w:asciiTheme="majorHAnsi" w:hAnsiTheme="majorHAnsi"/>
        </w:rPr>
        <w:t xml:space="preserve"> </w:t>
      </w:r>
      <w:r w:rsidRPr="0016351D">
        <w:rPr>
          <w:rFonts w:asciiTheme="majorHAnsi" w:hAnsiTheme="majorHAnsi"/>
        </w:rPr>
        <w:t xml:space="preserve">– for example, use of health </w:t>
      </w:r>
      <w:r w:rsidR="00156D7C">
        <w:rPr>
          <w:rFonts w:asciiTheme="majorHAnsi" w:hAnsiTheme="majorHAnsi"/>
        </w:rPr>
        <w:t>information</w:t>
      </w:r>
      <w:r w:rsidR="00156D7C" w:rsidRPr="0016351D">
        <w:rPr>
          <w:rFonts w:asciiTheme="majorHAnsi" w:hAnsiTheme="majorHAnsi"/>
        </w:rPr>
        <w:t xml:space="preserve"> </w:t>
      </w:r>
      <w:r w:rsidRPr="0016351D">
        <w:rPr>
          <w:rFonts w:asciiTheme="majorHAnsi" w:hAnsiTheme="majorHAnsi"/>
        </w:rPr>
        <w:t>to make decisions about health insurance coverage</w:t>
      </w:r>
      <w:r w:rsidR="009F1BAA">
        <w:rPr>
          <w:rFonts w:asciiTheme="majorHAnsi" w:hAnsiTheme="majorHAnsi"/>
        </w:rPr>
        <w:t>, which is now largely prohibited by the Affordable Care Act</w:t>
      </w:r>
      <w:r w:rsidRPr="0016351D">
        <w:rPr>
          <w:rFonts w:asciiTheme="majorHAnsi" w:hAnsiTheme="majorHAnsi"/>
        </w:rPr>
        <w:t xml:space="preserve"> – but other discriminatory uses of health </w:t>
      </w:r>
      <w:r w:rsidR="00156D7C">
        <w:rPr>
          <w:rFonts w:asciiTheme="majorHAnsi" w:hAnsiTheme="majorHAnsi"/>
        </w:rPr>
        <w:t>information</w:t>
      </w:r>
      <w:r w:rsidR="00156D7C" w:rsidRPr="0016351D">
        <w:rPr>
          <w:rFonts w:asciiTheme="majorHAnsi" w:hAnsiTheme="majorHAnsi"/>
        </w:rPr>
        <w:t xml:space="preserve"> </w:t>
      </w:r>
      <w:r w:rsidRPr="0016351D">
        <w:rPr>
          <w:rFonts w:asciiTheme="majorHAnsi" w:hAnsiTheme="majorHAnsi"/>
        </w:rPr>
        <w:t>are either not prohibited or are expressly permitted (for example, use of health information in life and disability insurance decisions)</w:t>
      </w:r>
      <w:r w:rsidR="005F2AF0">
        <w:rPr>
          <w:rFonts w:asciiTheme="majorHAnsi" w:hAnsiTheme="majorHAnsi"/>
        </w:rPr>
        <w:t xml:space="preserve">.  </w:t>
      </w:r>
      <w:r w:rsidRPr="0016351D">
        <w:rPr>
          <w:rFonts w:asciiTheme="majorHAnsi" w:hAnsiTheme="majorHAnsi"/>
        </w:rPr>
        <w:t xml:space="preserve"> </w:t>
      </w:r>
    </w:p>
    <w:p w14:paraId="16F3413B" w14:textId="77777777" w:rsidR="004F73A4" w:rsidRPr="0016351D" w:rsidRDefault="004F73A4" w:rsidP="004F73A4">
      <w:pPr>
        <w:rPr>
          <w:rFonts w:asciiTheme="majorHAnsi" w:hAnsiTheme="majorHAnsi"/>
        </w:rPr>
      </w:pPr>
    </w:p>
    <w:p w14:paraId="0D1A2DC2" w14:textId="043FE6E6" w:rsidR="00874242" w:rsidRPr="0016351D" w:rsidRDefault="00874242" w:rsidP="004F73A4">
      <w:pPr>
        <w:rPr>
          <w:rFonts w:asciiTheme="majorHAnsi" w:hAnsiTheme="majorHAnsi"/>
        </w:rPr>
      </w:pPr>
      <w:r w:rsidRPr="0016351D">
        <w:rPr>
          <w:rFonts w:asciiTheme="majorHAnsi" w:hAnsiTheme="majorHAnsi"/>
        </w:rPr>
        <w:t xml:space="preserve">Beyond discrimination, some see other uses of health </w:t>
      </w:r>
      <w:r w:rsidR="00156D7C">
        <w:rPr>
          <w:rFonts w:asciiTheme="majorHAnsi" w:hAnsiTheme="majorHAnsi"/>
        </w:rPr>
        <w:t>information</w:t>
      </w:r>
      <w:r w:rsidR="00156D7C" w:rsidRPr="0016351D">
        <w:rPr>
          <w:rFonts w:asciiTheme="majorHAnsi" w:hAnsiTheme="majorHAnsi"/>
        </w:rPr>
        <w:t xml:space="preserve"> </w:t>
      </w:r>
      <w:r w:rsidRPr="0016351D">
        <w:rPr>
          <w:rFonts w:asciiTheme="majorHAnsi" w:hAnsiTheme="majorHAnsi"/>
        </w:rPr>
        <w:t>as being “harmful” (for example, marketing and other “commercial” uses)</w:t>
      </w:r>
      <w:r w:rsidR="00EC44C4">
        <w:rPr>
          <w:rFonts w:asciiTheme="majorHAnsi" w:hAnsiTheme="majorHAnsi"/>
        </w:rPr>
        <w:t>.</w:t>
      </w:r>
      <w:r w:rsidR="005F2AF0">
        <w:rPr>
          <w:rFonts w:asciiTheme="majorHAnsi" w:hAnsiTheme="majorHAnsi"/>
        </w:rPr>
        <w:t xml:space="preserve"> </w:t>
      </w:r>
      <w:r w:rsidRPr="0016351D">
        <w:rPr>
          <w:rFonts w:asciiTheme="majorHAnsi" w:hAnsiTheme="majorHAnsi"/>
        </w:rPr>
        <w:t xml:space="preserve"> However, there is a lack of consensus on which uses are “harmful,” particularly with respect to health big data analytics, as well as an inability to predict which future uses could be harmful and which beneficial, </w:t>
      </w:r>
      <w:r w:rsidR="00915C64">
        <w:rPr>
          <w:rFonts w:asciiTheme="majorHAnsi" w:hAnsiTheme="majorHAnsi"/>
        </w:rPr>
        <w:t>creating</w:t>
      </w:r>
      <w:r w:rsidRPr="0016351D">
        <w:rPr>
          <w:rFonts w:asciiTheme="majorHAnsi" w:hAnsiTheme="majorHAnsi"/>
        </w:rPr>
        <w:t xml:space="preserve"> challenges to enacting policies to prohibit or place additional constraints on such uses</w:t>
      </w:r>
      <w:r w:rsidR="00EC44C4">
        <w:rPr>
          <w:rFonts w:asciiTheme="majorHAnsi" w:hAnsiTheme="majorHAnsi"/>
        </w:rPr>
        <w:t xml:space="preserve">. </w:t>
      </w:r>
      <w:r w:rsidRPr="0016351D">
        <w:rPr>
          <w:rFonts w:asciiTheme="majorHAnsi" w:hAnsiTheme="majorHAnsi"/>
        </w:rPr>
        <w:t xml:space="preserve"> During </w:t>
      </w:r>
      <w:r w:rsidR="00D41DF7">
        <w:rPr>
          <w:rFonts w:asciiTheme="majorHAnsi" w:hAnsiTheme="majorHAnsi"/>
        </w:rPr>
        <w:t>the</w:t>
      </w:r>
      <w:r w:rsidRPr="0016351D">
        <w:rPr>
          <w:rFonts w:asciiTheme="majorHAnsi" w:hAnsiTheme="majorHAnsi"/>
        </w:rPr>
        <w:t xml:space="preserve"> hearings, some presenters expressed concern about the use of algorithms to make decisions </w:t>
      </w:r>
      <w:r w:rsidRPr="0016351D">
        <w:rPr>
          <w:rFonts w:asciiTheme="majorHAnsi" w:hAnsiTheme="majorHAnsi"/>
        </w:rPr>
        <w:lastRenderedPageBreak/>
        <w:t xml:space="preserve">about people or communities, and the lack of “transparency” about both the </w:t>
      </w:r>
      <w:r w:rsidR="00156D7C">
        <w:rPr>
          <w:rFonts w:asciiTheme="majorHAnsi" w:hAnsiTheme="majorHAnsi"/>
        </w:rPr>
        <w:t>information</w:t>
      </w:r>
      <w:r w:rsidR="00156D7C" w:rsidRPr="0016351D">
        <w:rPr>
          <w:rFonts w:asciiTheme="majorHAnsi" w:hAnsiTheme="majorHAnsi"/>
        </w:rPr>
        <w:t xml:space="preserve"> </w:t>
      </w:r>
      <w:r w:rsidRPr="0016351D">
        <w:rPr>
          <w:rFonts w:asciiTheme="majorHAnsi" w:hAnsiTheme="majorHAnsi"/>
        </w:rPr>
        <w:t>used to inform these algorithms and precisely how the algorithms are used</w:t>
      </w:r>
      <w:r w:rsidR="00EC44C4">
        <w:rPr>
          <w:rFonts w:asciiTheme="majorHAnsi" w:hAnsiTheme="majorHAnsi"/>
        </w:rPr>
        <w:t xml:space="preserve">. </w:t>
      </w:r>
      <w:r w:rsidRPr="0016351D">
        <w:rPr>
          <w:rFonts w:asciiTheme="majorHAnsi" w:hAnsiTheme="majorHAnsi"/>
        </w:rPr>
        <w:t xml:space="preserve"> </w:t>
      </w:r>
      <w:r w:rsidR="00414D65">
        <w:rPr>
          <w:rFonts w:asciiTheme="majorHAnsi" w:hAnsiTheme="majorHAnsi"/>
        </w:rPr>
        <w:t>Certain</w:t>
      </w:r>
      <w:r w:rsidRPr="0016351D">
        <w:rPr>
          <w:rFonts w:asciiTheme="majorHAnsi" w:hAnsiTheme="majorHAnsi"/>
        </w:rPr>
        <w:t xml:space="preserve"> practices resulting from the use of algorithms are more insidious when further obscured by a lack of transparency since the harm itself may be difficul</w:t>
      </w:r>
      <w:r w:rsidR="001830DE">
        <w:rPr>
          <w:rFonts w:asciiTheme="majorHAnsi" w:hAnsiTheme="majorHAnsi"/>
        </w:rPr>
        <w:t>t if not impossible to detect</w:t>
      </w:r>
      <w:r w:rsidR="005F2AF0">
        <w:rPr>
          <w:rFonts w:asciiTheme="majorHAnsi" w:hAnsiTheme="majorHAnsi"/>
        </w:rPr>
        <w:t xml:space="preserve">.  </w:t>
      </w:r>
      <w:r w:rsidR="001830DE">
        <w:rPr>
          <w:rFonts w:asciiTheme="majorHAnsi" w:hAnsiTheme="majorHAnsi"/>
        </w:rPr>
        <w:t>Often the existence of harmful bias or practices is only revealed when one understands the process used to arrive at a particular decision</w:t>
      </w:r>
      <w:r w:rsidRPr="0016351D">
        <w:rPr>
          <w:rFonts w:asciiTheme="majorHAnsi" w:hAnsiTheme="majorHAnsi"/>
        </w:rPr>
        <w:t>.</w:t>
      </w:r>
    </w:p>
    <w:p w14:paraId="405A1D3B" w14:textId="77777777" w:rsidR="004F73A4" w:rsidRPr="0016351D" w:rsidRDefault="004F73A4" w:rsidP="004F73A4">
      <w:pPr>
        <w:rPr>
          <w:rFonts w:asciiTheme="majorHAnsi" w:hAnsiTheme="majorHAnsi"/>
        </w:rPr>
      </w:pPr>
    </w:p>
    <w:p w14:paraId="5C202B49" w14:textId="54CB7F63" w:rsidR="00874242" w:rsidRPr="0016351D" w:rsidRDefault="00874242" w:rsidP="004F73A4">
      <w:pPr>
        <w:rPr>
          <w:rFonts w:asciiTheme="majorHAnsi" w:hAnsiTheme="majorHAnsi"/>
        </w:rPr>
      </w:pPr>
      <w:r w:rsidRPr="0016351D">
        <w:rPr>
          <w:rFonts w:asciiTheme="majorHAnsi" w:hAnsiTheme="majorHAnsi"/>
        </w:rPr>
        <w:t>Failing to pay attention to these issues undermines trust in health big data analytics, which could create obstacles to leveraging health big data to achieve gains in health and well-being</w:t>
      </w:r>
      <w:r w:rsidR="005F2AF0">
        <w:rPr>
          <w:rFonts w:asciiTheme="majorHAnsi" w:hAnsiTheme="majorHAnsi"/>
        </w:rPr>
        <w:t xml:space="preserve">.  </w:t>
      </w:r>
      <w:r w:rsidRPr="0016351D">
        <w:rPr>
          <w:rFonts w:asciiTheme="majorHAnsi" w:hAnsiTheme="majorHAnsi"/>
        </w:rPr>
        <w:t xml:space="preserve"> </w:t>
      </w:r>
    </w:p>
    <w:p w14:paraId="59297AF7" w14:textId="77777777" w:rsidR="00874242" w:rsidRPr="0016351D" w:rsidRDefault="00874242" w:rsidP="00874242"/>
    <w:p w14:paraId="275F41B4" w14:textId="1F5D5D33" w:rsidR="00874242" w:rsidRPr="0016351D" w:rsidRDefault="00874242" w:rsidP="004F73A4">
      <w:pPr>
        <w:pStyle w:val="Heading2"/>
      </w:pPr>
      <w:bookmarkStart w:id="22" w:name="_Toc425145075"/>
      <w:r w:rsidRPr="0016351D">
        <w:t xml:space="preserve">Two </w:t>
      </w:r>
      <w:r w:rsidR="00C83F43">
        <w:t>Different Domains of R</w:t>
      </w:r>
      <w:r w:rsidRPr="0016351D">
        <w:t>egulat</w:t>
      </w:r>
      <w:r w:rsidR="00C83F43">
        <w:t>ion (HIPAA and “Other”) Yields Contradictions and U</w:t>
      </w:r>
      <w:r w:rsidRPr="0016351D">
        <w:t>npredictability</w:t>
      </w:r>
      <w:bookmarkEnd w:id="22"/>
      <w:r w:rsidRPr="0016351D">
        <w:t xml:space="preserve"> </w:t>
      </w:r>
    </w:p>
    <w:p w14:paraId="0C68666B" w14:textId="552C1B21" w:rsidR="00874242" w:rsidRPr="0016351D" w:rsidRDefault="00874242" w:rsidP="004F73A4">
      <w:pPr>
        <w:rPr>
          <w:rFonts w:asciiTheme="majorHAnsi" w:hAnsiTheme="majorHAnsi"/>
        </w:rPr>
      </w:pPr>
      <w:r w:rsidRPr="0016351D">
        <w:rPr>
          <w:rFonts w:asciiTheme="majorHAnsi" w:hAnsiTheme="majorHAnsi"/>
        </w:rPr>
        <w:t>HIPAA covers many sources of health big data – but not all</w:t>
      </w:r>
      <w:r w:rsidR="00EC44C4">
        <w:rPr>
          <w:rFonts w:asciiTheme="majorHAnsi" w:hAnsiTheme="majorHAnsi"/>
        </w:rPr>
        <w:t xml:space="preserve">. </w:t>
      </w:r>
      <w:r w:rsidRPr="0016351D">
        <w:rPr>
          <w:rFonts w:asciiTheme="majorHAnsi" w:hAnsiTheme="majorHAnsi"/>
        </w:rPr>
        <w:t xml:space="preserve"> Consequently, we lack comprehensive, FIPPS-based protections for health data analytics (and analytics leveraging </w:t>
      </w:r>
      <w:r w:rsidR="00923E68">
        <w:rPr>
          <w:rFonts w:asciiTheme="majorHAnsi" w:hAnsiTheme="majorHAnsi"/>
        </w:rPr>
        <w:t>information</w:t>
      </w:r>
      <w:r w:rsidR="00923E68" w:rsidRPr="0016351D">
        <w:rPr>
          <w:rFonts w:asciiTheme="majorHAnsi" w:hAnsiTheme="majorHAnsi"/>
        </w:rPr>
        <w:t xml:space="preserve"> </w:t>
      </w:r>
      <w:r w:rsidRPr="0016351D">
        <w:rPr>
          <w:rFonts w:asciiTheme="majorHAnsi" w:hAnsiTheme="majorHAnsi"/>
        </w:rPr>
        <w:t xml:space="preserve">that on its face is not “health” but is used for health purposes or to infer a health status) in many domains, which is confusing for </w:t>
      </w:r>
      <w:r w:rsidR="00BF0E8A">
        <w:rPr>
          <w:rFonts w:asciiTheme="majorHAnsi" w:hAnsiTheme="majorHAnsi"/>
        </w:rPr>
        <w:t>individuals</w:t>
      </w:r>
      <w:r w:rsidRPr="0016351D">
        <w:rPr>
          <w:rFonts w:asciiTheme="majorHAnsi" w:hAnsiTheme="majorHAnsi"/>
        </w:rPr>
        <w:t xml:space="preserve"> and imperils trust in health big data</w:t>
      </w:r>
      <w:r w:rsidR="00EC44C4">
        <w:rPr>
          <w:rFonts w:asciiTheme="majorHAnsi" w:hAnsiTheme="majorHAnsi"/>
        </w:rPr>
        <w:t>.</w:t>
      </w:r>
      <w:r w:rsidR="005F2AF0">
        <w:rPr>
          <w:rFonts w:asciiTheme="majorHAnsi" w:hAnsiTheme="majorHAnsi"/>
        </w:rPr>
        <w:t xml:space="preserve"> </w:t>
      </w:r>
      <w:r w:rsidRPr="0016351D">
        <w:rPr>
          <w:rFonts w:asciiTheme="majorHAnsi" w:hAnsiTheme="majorHAnsi"/>
        </w:rPr>
        <w:t xml:space="preserve"> In addition, even when health data analytics is regulated, those rules may not have been wri</w:t>
      </w:r>
      <w:r w:rsidR="00BF0E8A">
        <w:rPr>
          <w:rFonts w:asciiTheme="majorHAnsi" w:hAnsiTheme="majorHAnsi"/>
        </w:rPr>
        <w:t>tten in a way that maximizes the health care industry’s</w:t>
      </w:r>
      <w:r w:rsidRPr="0016351D">
        <w:rPr>
          <w:rFonts w:asciiTheme="majorHAnsi" w:hAnsiTheme="majorHAnsi"/>
        </w:rPr>
        <w:t xml:space="preserve"> ability to learn from health </w:t>
      </w:r>
      <w:r w:rsidR="00923E68">
        <w:rPr>
          <w:rFonts w:asciiTheme="majorHAnsi" w:hAnsiTheme="majorHAnsi"/>
        </w:rPr>
        <w:t>information</w:t>
      </w:r>
      <w:r w:rsidR="00923E68" w:rsidRPr="0016351D">
        <w:rPr>
          <w:rFonts w:asciiTheme="majorHAnsi" w:hAnsiTheme="majorHAnsi"/>
        </w:rPr>
        <w:t xml:space="preserve"> </w:t>
      </w:r>
      <w:r w:rsidRPr="0016351D">
        <w:rPr>
          <w:rFonts w:asciiTheme="majorHAnsi" w:hAnsiTheme="majorHAnsi"/>
        </w:rPr>
        <w:t>while still protecting it from risks to privacy, confidentiality and security</w:t>
      </w:r>
      <w:r w:rsidR="00EC44C4">
        <w:rPr>
          <w:rFonts w:asciiTheme="majorHAnsi" w:hAnsiTheme="majorHAnsi"/>
        </w:rPr>
        <w:t xml:space="preserve">. </w:t>
      </w:r>
      <w:r w:rsidRPr="0016351D">
        <w:rPr>
          <w:rFonts w:asciiTheme="majorHAnsi" w:hAnsiTheme="majorHAnsi"/>
        </w:rPr>
        <w:t xml:space="preserve"> Three concerns in particular were surfaced by the hearings:</w:t>
      </w:r>
    </w:p>
    <w:p w14:paraId="1C2DCA0D" w14:textId="77777777" w:rsidR="00874242" w:rsidRPr="0016351D" w:rsidRDefault="00874242" w:rsidP="004F73A4">
      <w:pPr>
        <w:rPr>
          <w:rFonts w:asciiTheme="majorHAnsi" w:hAnsiTheme="majorHAnsi"/>
        </w:rPr>
      </w:pPr>
    </w:p>
    <w:p w14:paraId="23AD0A86" w14:textId="29A0E091" w:rsidR="00874242" w:rsidRPr="009F4901" w:rsidRDefault="00874242" w:rsidP="009F4901">
      <w:pPr>
        <w:pStyle w:val="ListParagraph"/>
        <w:numPr>
          <w:ilvl w:val="0"/>
          <w:numId w:val="42"/>
        </w:numPr>
        <w:rPr>
          <w:rFonts w:asciiTheme="majorHAnsi" w:hAnsiTheme="majorHAnsi"/>
        </w:rPr>
      </w:pPr>
      <w:r w:rsidRPr="009F4901">
        <w:rPr>
          <w:rFonts w:asciiTheme="majorHAnsi" w:hAnsiTheme="majorHAnsi"/>
        </w:rPr>
        <w:t xml:space="preserve">Access – Individuals often lack the ability to </w:t>
      </w:r>
      <w:r w:rsidR="00BD16ED">
        <w:rPr>
          <w:rFonts w:asciiTheme="majorHAnsi" w:hAnsiTheme="majorHAnsi"/>
        </w:rPr>
        <w:t xml:space="preserve">electronically </w:t>
      </w:r>
      <w:r w:rsidRPr="009F4901">
        <w:rPr>
          <w:rFonts w:asciiTheme="majorHAnsi" w:hAnsiTheme="majorHAnsi"/>
        </w:rPr>
        <w:t>a</w:t>
      </w:r>
      <w:r w:rsidR="00C83F43">
        <w:rPr>
          <w:rFonts w:asciiTheme="majorHAnsi" w:hAnsiTheme="majorHAnsi"/>
        </w:rPr>
        <w:t>ccess</w:t>
      </w:r>
      <w:r w:rsidR="001D67A2">
        <w:rPr>
          <w:rFonts w:asciiTheme="majorHAnsi" w:hAnsiTheme="majorHAnsi"/>
        </w:rPr>
        <w:t xml:space="preserve"> their </w:t>
      </w:r>
      <w:r w:rsidR="00BF2F0F">
        <w:rPr>
          <w:rFonts w:asciiTheme="majorHAnsi" w:hAnsiTheme="majorHAnsi"/>
        </w:rPr>
        <w:t xml:space="preserve">personal information </w:t>
      </w:r>
      <w:r w:rsidR="001D67A2">
        <w:rPr>
          <w:rFonts w:asciiTheme="majorHAnsi" w:hAnsiTheme="majorHAnsi"/>
        </w:rPr>
        <w:t>from health care providers</w:t>
      </w:r>
      <w:r w:rsidR="00BF0E8A">
        <w:rPr>
          <w:rFonts w:asciiTheme="majorHAnsi" w:hAnsiTheme="majorHAnsi"/>
        </w:rPr>
        <w:t xml:space="preserve"> or plans</w:t>
      </w:r>
      <w:r w:rsidR="00C83F43">
        <w:rPr>
          <w:rFonts w:asciiTheme="majorHAnsi" w:hAnsiTheme="majorHAnsi"/>
        </w:rPr>
        <w:t xml:space="preserve">, </w:t>
      </w:r>
      <w:r w:rsidR="001D67A2">
        <w:rPr>
          <w:rFonts w:asciiTheme="majorHAnsi" w:hAnsiTheme="majorHAnsi"/>
        </w:rPr>
        <w:t xml:space="preserve">and therefore, their ability to </w:t>
      </w:r>
      <w:r w:rsidR="00C83F43">
        <w:rPr>
          <w:rFonts w:asciiTheme="majorHAnsi" w:hAnsiTheme="majorHAnsi"/>
        </w:rPr>
        <w:t xml:space="preserve">use and share </w:t>
      </w:r>
      <w:r w:rsidR="001D67A2">
        <w:rPr>
          <w:rFonts w:asciiTheme="majorHAnsi" w:hAnsiTheme="majorHAnsi"/>
        </w:rPr>
        <w:t>it with other providers, organizations, and</w:t>
      </w:r>
      <w:r w:rsidR="00C83F43">
        <w:rPr>
          <w:rFonts w:asciiTheme="majorHAnsi" w:hAnsiTheme="majorHAnsi"/>
        </w:rPr>
        <w:t xml:space="preserve"> researchers</w:t>
      </w:r>
      <w:r w:rsidR="001D67A2">
        <w:rPr>
          <w:rFonts w:asciiTheme="majorHAnsi" w:hAnsiTheme="majorHAnsi"/>
        </w:rPr>
        <w:t xml:space="preserve"> is limited</w:t>
      </w:r>
      <w:r w:rsidR="005F2AF0">
        <w:rPr>
          <w:rFonts w:asciiTheme="majorHAnsi" w:hAnsiTheme="majorHAnsi"/>
        </w:rPr>
        <w:t xml:space="preserve">.  </w:t>
      </w:r>
      <w:r w:rsidR="001D67A2">
        <w:rPr>
          <w:rFonts w:asciiTheme="majorHAnsi" w:hAnsiTheme="majorHAnsi"/>
        </w:rPr>
        <w:t>E</w:t>
      </w:r>
      <w:r w:rsidRPr="009F4901">
        <w:rPr>
          <w:rFonts w:asciiTheme="majorHAnsi" w:hAnsiTheme="majorHAnsi"/>
        </w:rPr>
        <w:t xml:space="preserve">ven with respect to HIPAA covered entities, </w:t>
      </w:r>
      <w:r w:rsidR="00A76CE7">
        <w:rPr>
          <w:rFonts w:asciiTheme="majorHAnsi" w:hAnsiTheme="majorHAnsi"/>
        </w:rPr>
        <w:t>which</w:t>
      </w:r>
      <w:r w:rsidRPr="009F4901">
        <w:rPr>
          <w:rFonts w:asciiTheme="majorHAnsi" w:hAnsiTheme="majorHAnsi"/>
        </w:rPr>
        <w:t xml:space="preserve"> are required to provide this right to individuals, the </w:t>
      </w:r>
      <w:r w:rsidR="001D67A2">
        <w:rPr>
          <w:rFonts w:asciiTheme="majorHAnsi" w:hAnsiTheme="majorHAnsi"/>
        </w:rPr>
        <w:t xml:space="preserve">individual’s </w:t>
      </w:r>
      <w:r w:rsidRPr="009F4901">
        <w:rPr>
          <w:rFonts w:asciiTheme="majorHAnsi" w:hAnsiTheme="majorHAnsi"/>
        </w:rPr>
        <w:t>right</w:t>
      </w:r>
      <w:r w:rsidR="001D67A2">
        <w:rPr>
          <w:rFonts w:asciiTheme="majorHAnsi" w:hAnsiTheme="majorHAnsi"/>
        </w:rPr>
        <w:t xml:space="preserve"> of access</w:t>
      </w:r>
      <w:r w:rsidRPr="009F4901">
        <w:rPr>
          <w:rFonts w:asciiTheme="majorHAnsi" w:hAnsiTheme="majorHAnsi"/>
        </w:rPr>
        <w:t xml:space="preserve"> is often difficult for individuals to exercise</w:t>
      </w:r>
      <w:r w:rsidR="005F2AF0">
        <w:rPr>
          <w:rFonts w:asciiTheme="majorHAnsi" w:hAnsiTheme="majorHAnsi"/>
        </w:rPr>
        <w:t xml:space="preserve">.  </w:t>
      </w:r>
      <w:r w:rsidRPr="009F4901">
        <w:rPr>
          <w:rFonts w:asciiTheme="majorHAnsi" w:hAnsiTheme="majorHAnsi"/>
        </w:rPr>
        <w:t xml:space="preserve"> </w:t>
      </w:r>
    </w:p>
    <w:p w14:paraId="40797A31" w14:textId="77777777" w:rsidR="004F73A4" w:rsidRPr="0016351D" w:rsidRDefault="004F73A4" w:rsidP="004F73A4">
      <w:pPr>
        <w:rPr>
          <w:rFonts w:asciiTheme="majorHAnsi" w:hAnsiTheme="majorHAnsi"/>
        </w:rPr>
      </w:pPr>
    </w:p>
    <w:p w14:paraId="0F517688" w14:textId="43253BEB" w:rsidR="00874242" w:rsidRPr="009F4901" w:rsidRDefault="00874242" w:rsidP="009F4901">
      <w:pPr>
        <w:pStyle w:val="ListParagraph"/>
        <w:numPr>
          <w:ilvl w:val="0"/>
          <w:numId w:val="42"/>
        </w:numPr>
        <w:rPr>
          <w:rFonts w:asciiTheme="majorHAnsi" w:hAnsiTheme="majorHAnsi"/>
        </w:rPr>
      </w:pPr>
      <w:r w:rsidRPr="009F4901">
        <w:rPr>
          <w:rFonts w:asciiTheme="majorHAnsi" w:hAnsiTheme="majorHAnsi"/>
        </w:rPr>
        <w:t xml:space="preserve">Transparency – There is a lack of transparency regarding how holders of personal information use </w:t>
      </w:r>
      <w:r w:rsidR="00915C64">
        <w:rPr>
          <w:rFonts w:asciiTheme="majorHAnsi" w:hAnsiTheme="majorHAnsi"/>
        </w:rPr>
        <w:t>and exchange that information</w:t>
      </w:r>
      <w:r w:rsidRPr="009F4901">
        <w:rPr>
          <w:rFonts w:asciiTheme="majorHAnsi" w:hAnsiTheme="majorHAnsi"/>
        </w:rPr>
        <w:t xml:space="preserve">, especially in the </w:t>
      </w:r>
      <w:r w:rsidR="00BF2F0F">
        <w:rPr>
          <w:rFonts w:asciiTheme="majorHAnsi" w:hAnsiTheme="majorHAnsi"/>
        </w:rPr>
        <w:t>b</w:t>
      </w:r>
      <w:r w:rsidRPr="009F4901">
        <w:rPr>
          <w:rFonts w:asciiTheme="majorHAnsi" w:hAnsiTheme="majorHAnsi"/>
        </w:rPr>
        <w:t xml:space="preserve">ig </w:t>
      </w:r>
      <w:r w:rsidR="00BF2F0F">
        <w:rPr>
          <w:rFonts w:asciiTheme="majorHAnsi" w:hAnsiTheme="majorHAnsi"/>
        </w:rPr>
        <w:t>d</w:t>
      </w:r>
      <w:r w:rsidRPr="009F4901">
        <w:rPr>
          <w:rFonts w:asciiTheme="majorHAnsi" w:hAnsiTheme="majorHAnsi"/>
        </w:rPr>
        <w:t>ata ecosystem outside of traditional healthcare</w:t>
      </w:r>
      <w:r w:rsidR="005F2AF0">
        <w:rPr>
          <w:rFonts w:asciiTheme="majorHAnsi" w:hAnsiTheme="majorHAnsi"/>
        </w:rPr>
        <w:t xml:space="preserve">.  </w:t>
      </w:r>
      <w:r w:rsidRPr="009F4901">
        <w:rPr>
          <w:rFonts w:asciiTheme="majorHAnsi" w:hAnsiTheme="majorHAnsi"/>
        </w:rPr>
        <w:t>This lack of transparency erodes trust and exacerbates the fear of harm or discrimination.</w:t>
      </w:r>
    </w:p>
    <w:p w14:paraId="433CF2E2" w14:textId="77777777" w:rsidR="004F73A4" w:rsidRPr="0016351D" w:rsidRDefault="004F73A4" w:rsidP="004F73A4">
      <w:pPr>
        <w:rPr>
          <w:rFonts w:asciiTheme="majorHAnsi" w:hAnsiTheme="majorHAnsi"/>
        </w:rPr>
      </w:pPr>
    </w:p>
    <w:p w14:paraId="143E99C7" w14:textId="278DC6E8" w:rsidR="00874242" w:rsidRPr="009F4901" w:rsidRDefault="00874242" w:rsidP="009F4901">
      <w:pPr>
        <w:pStyle w:val="ListParagraph"/>
        <w:numPr>
          <w:ilvl w:val="0"/>
          <w:numId w:val="42"/>
        </w:numPr>
        <w:rPr>
          <w:rFonts w:asciiTheme="majorHAnsi" w:hAnsiTheme="majorHAnsi"/>
        </w:rPr>
      </w:pPr>
      <w:r w:rsidRPr="009F4901">
        <w:rPr>
          <w:rFonts w:asciiTheme="majorHAnsi" w:hAnsiTheme="majorHAnsi"/>
        </w:rPr>
        <w:t xml:space="preserve">Research – </w:t>
      </w:r>
      <w:r w:rsidR="006624C7">
        <w:rPr>
          <w:rFonts w:asciiTheme="majorHAnsi" w:hAnsiTheme="majorHAnsi"/>
        </w:rPr>
        <w:t>W</w:t>
      </w:r>
      <w:r w:rsidRPr="009F4901">
        <w:rPr>
          <w:rFonts w:asciiTheme="majorHAnsi" w:hAnsiTheme="majorHAnsi"/>
        </w:rPr>
        <w:t xml:space="preserve">hen it is regulated, the rules do not necessarily regulate based on privacy risk and, as a result, create higher hurdles for uses of </w:t>
      </w:r>
      <w:r w:rsidR="00BF2F0F">
        <w:rPr>
          <w:rFonts w:asciiTheme="majorHAnsi" w:hAnsiTheme="majorHAnsi"/>
        </w:rPr>
        <w:t>information</w:t>
      </w:r>
      <w:r w:rsidR="00BF2F0F" w:rsidRPr="009F4901">
        <w:rPr>
          <w:rFonts w:asciiTheme="majorHAnsi" w:hAnsiTheme="majorHAnsi"/>
        </w:rPr>
        <w:t xml:space="preserve"> </w:t>
      </w:r>
      <w:r w:rsidRPr="009F4901">
        <w:rPr>
          <w:rFonts w:asciiTheme="majorHAnsi" w:hAnsiTheme="majorHAnsi"/>
        </w:rPr>
        <w:t>for “research” purposes that intend to contribute to “generalizable knowledge” (i.e., the greater good)</w:t>
      </w:r>
      <w:r w:rsidR="005F2AF0">
        <w:rPr>
          <w:rFonts w:asciiTheme="majorHAnsi" w:hAnsiTheme="majorHAnsi"/>
        </w:rPr>
        <w:t xml:space="preserve">.  </w:t>
      </w:r>
      <w:r w:rsidRPr="009F4901">
        <w:rPr>
          <w:rFonts w:asciiTheme="majorHAnsi" w:hAnsiTheme="majorHAnsi"/>
        </w:rPr>
        <w:t xml:space="preserve"> </w:t>
      </w:r>
    </w:p>
    <w:p w14:paraId="409E1A52" w14:textId="77777777" w:rsidR="00874242" w:rsidRPr="0016351D" w:rsidRDefault="00874242" w:rsidP="004F73A4">
      <w:pPr>
        <w:pStyle w:val="Heading2"/>
      </w:pPr>
      <w:bookmarkStart w:id="23" w:name="_Toc425145076"/>
      <w:r w:rsidRPr="0016351D">
        <w:t>Lack of Confidence in De-identification Methodologies and the Risk of Re-identification</w:t>
      </w:r>
      <w:bookmarkEnd w:id="23"/>
      <w:r w:rsidRPr="0016351D">
        <w:t xml:space="preserve"> </w:t>
      </w:r>
    </w:p>
    <w:p w14:paraId="0C648A05" w14:textId="5456778C" w:rsidR="00874242" w:rsidRPr="0016351D" w:rsidRDefault="00874242" w:rsidP="00FC58BC">
      <w:pPr>
        <w:rPr>
          <w:rFonts w:asciiTheme="majorHAnsi" w:hAnsiTheme="majorHAnsi"/>
        </w:rPr>
      </w:pPr>
      <w:r w:rsidRPr="0016351D">
        <w:rPr>
          <w:rFonts w:asciiTheme="majorHAnsi" w:hAnsiTheme="majorHAnsi"/>
        </w:rPr>
        <w:t>De-identification is a useful tool for protecting priva</w:t>
      </w:r>
      <w:r w:rsidR="00BF0E8A">
        <w:rPr>
          <w:rFonts w:asciiTheme="majorHAnsi" w:hAnsiTheme="majorHAnsi"/>
        </w:rPr>
        <w:t>cy in big data research – but the health care industry over-relies</w:t>
      </w:r>
      <w:r w:rsidRPr="0016351D">
        <w:rPr>
          <w:rFonts w:asciiTheme="majorHAnsi" w:hAnsiTheme="majorHAnsi"/>
        </w:rPr>
        <w:t xml:space="preserve"> on it as a matter of policy and do not have ways to hold people</w:t>
      </w:r>
      <w:r w:rsidR="00BF0E8A">
        <w:rPr>
          <w:rFonts w:asciiTheme="majorHAnsi" w:hAnsiTheme="majorHAnsi"/>
        </w:rPr>
        <w:t>/organizations</w:t>
      </w:r>
      <w:r w:rsidRPr="0016351D">
        <w:rPr>
          <w:rFonts w:asciiTheme="majorHAnsi" w:hAnsiTheme="majorHAnsi"/>
        </w:rPr>
        <w:t xml:space="preserve"> accountable for unauthorized re-identification of data or negligently </w:t>
      </w:r>
      <w:r w:rsidRPr="0016351D">
        <w:rPr>
          <w:rFonts w:asciiTheme="majorHAnsi" w:hAnsiTheme="majorHAnsi"/>
        </w:rPr>
        <w:lastRenderedPageBreak/>
        <w:t>failing to protect data that is vulnerable to re-identification</w:t>
      </w:r>
      <w:r w:rsidR="00EC44C4">
        <w:rPr>
          <w:rFonts w:asciiTheme="majorHAnsi" w:hAnsiTheme="majorHAnsi"/>
        </w:rPr>
        <w:t xml:space="preserve">. </w:t>
      </w:r>
      <w:r w:rsidRPr="0016351D">
        <w:rPr>
          <w:rFonts w:asciiTheme="majorHAnsi" w:hAnsiTheme="majorHAnsi"/>
        </w:rPr>
        <w:t xml:space="preserve"> In addition, de-identification does not address the potential for harmful uses of health big data</w:t>
      </w:r>
      <w:r w:rsidR="005F2AF0">
        <w:rPr>
          <w:rFonts w:asciiTheme="majorHAnsi" w:hAnsiTheme="majorHAnsi"/>
        </w:rPr>
        <w:t xml:space="preserve">.  </w:t>
      </w:r>
      <w:r w:rsidRPr="0016351D">
        <w:rPr>
          <w:rFonts w:asciiTheme="majorHAnsi" w:hAnsiTheme="majorHAnsi"/>
        </w:rPr>
        <w:t xml:space="preserve"> </w:t>
      </w:r>
    </w:p>
    <w:p w14:paraId="080F8736" w14:textId="77777777" w:rsidR="00FC58BC" w:rsidRPr="0016351D" w:rsidRDefault="00FC58BC" w:rsidP="00FC58BC">
      <w:pPr>
        <w:rPr>
          <w:rFonts w:asciiTheme="majorHAnsi" w:hAnsiTheme="majorHAnsi"/>
        </w:rPr>
      </w:pPr>
    </w:p>
    <w:p w14:paraId="56C2C83B" w14:textId="2625827A" w:rsidR="00874242" w:rsidRPr="0016351D" w:rsidRDefault="00874242" w:rsidP="00FC58BC">
      <w:pPr>
        <w:rPr>
          <w:rFonts w:asciiTheme="majorHAnsi" w:hAnsiTheme="majorHAnsi"/>
        </w:rPr>
      </w:pPr>
      <w:r w:rsidRPr="0016351D">
        <w:rPr>
          <w:rFonts w:asciiTheme="majorHAnsi" w:hAnsiTheme="majorHAnsi"/>
        </w:rPr>
        <w:t>HIPAA has regulatory requirements for de-identification – but there are no such</w:t>
      </w:r>
      <w:r w:rsidR="003F34FD">
        <w:rPr>
          <w:rFonts w:asciiTheme="majorHAnsi" w:hAnsiTheme="majorHAnsi"/>
        </w:rPr>
        <w:t xml:space="preserve"> federal</w:t>
      </w:r>
      <w:r w:rsidRPr="0016351D">
        <w:rPr>
          <w:rFonts w:asciiTheme="majorHAnsi" w:hAnsiTheme="majorHAnsi"/>
        </w:rPr>
        <w:t xml:space="preserve"> requirements for de-identification of health </w:t>
      </w:r>
      <w:r w:rsidR="00163A09">
        <w:rPr>
          <w:rFonts w:asciiTheme="majorHAnsi" w:hAnsiTheme="majorHAnsi"/>
        </w:rPr>
        <w:t>information</w:t>
      </w:r>
      <w:r w:rsidR="00163A09" w:rsidRPr="0016351D">
        <w:rPr>
          <w:rFonts w:asciiTheme="majorHAnsi" w:hAnsiTheme="majorHAnsi"/>
        </w:rPr>
        <w:t xml:space="preserve"> </w:t>
      </w:r>
      <w:r w:rsidRPr="0016351D">
        <w:rPr>
          <w:rFonts w:asciiTheme="majorHAnsi" w:hAnsiTheme="majorHAnsi"/>
        </w:rPr>
        <w:t>outside of HIPAA</w:t>
      </w:r>
      <w:r w:rsidR="00EC44C4">
        <w:rPr>
          <w:rFonts w:asciiTheme="majorHAnsi" w:hAnsiTheme="majorHAnsi"/>
        </w:rPr>
        <w:t>.</w:t>
      </w:r>
      <w:r w:rsidR="005F2AF0">
        <w:rPr>
          <w:rFonts w:asciiTheme="majorHAnsi" w:hAnsiTheme="majorHAnsi"/>
        </w:rPr>
        <w:t xml:space="preserve"> </w:t>
      </w:r>
      <w:r w:rsidRPr="0016351D">
        <w:rPr>
          <w:rFonts w:asciiTheme="majorHAnsi" w:hAnsiTheme="majorHAnsi"/>
        </w:rPr>
        <w:t xml:space="preserve"> HIPAA standards for de-identification are often voluntarily used by </w:t>
      </w:r>
      <w:r w:rsidR="00D96202">
        <w:rPr>
          <w:rFonts w:asciiTheme="majorHAnsi" w:hAnsiTheme="majorHAnsi"/>
        </w:rPr>
        <w:t xml:space="preserve">non-HIPAA covered </w:t>
      </w:r>
      <w:r w:rsidRPr="0016351D">
        <w:rPr>
          <w:rFonts w:asciiTheme="majorHAnsi" w:hAnsiTheme="majorHAnsi"/>
        </w:rPr>
        <w:t xml:space="preserve">entities, but </w:t>
      </w:r>
      <w:r w:rsidR="00746AF7">
        <w:rPr>
          <w:rFonts w:asciiTheme="majorHAnsi" w:hAnsiTheme="majorHAnsi"/>
        </w:rPr>
        <w:t>they are</w:t>
      </w:r>
      <w:r w:rsidRPr="0016351D">
        <w:rPr>
          <w:rFonts w:asciiTheme="majorHAnsi" w:hAnsiTheme="majorHAnsi"/>
        </w:rPr>
        <w:t xml:space="preserve"> not required.</w:t>
      </w:r>
    </w:p>
    <w:p w14:paraId="09886052" w14:textId="77777777" w:rsidR="00FC58BC" w:rsidRPr="0016351D" w:rsidRDefault="00FC58BC" w:rsidP="00FC58BC">
      <w:pPr>
        <w:rPr>
          <w:rFonts w:asciiTheme="majorHAnsi" w:hAnsiTheme="majorHAnsi"/>
        </w:rPr>
      </w:pPr>
    </w:p>
    <w:p w14:paraId="4FE3D7F2" w14:textId="688676BB" w:rsidR="00874242" w:rsidRPr="0016351D" w:rsidRDefault="00874242" w:rsidP="00FC58BC">
      <w:pPr>
        <w:rPr>
          <w:rFonts w:asciiTheme="majorHAnsi" w:hAnsiTheme="majorHAnsi"/>
        </w:rPr>
      </w:pPr>
      <w:r w:rsidRPr="0016351D">
        <w:rPr>
          <w:rFonts w:asciiTheme="majorHAnsi" w:hAnsiTheme="majorHAnsi"/>
        </w:rPr>
        <w:t>Concerns have been raised about both methodologies currently used for de-identification under HIPAA – safe harbor and expert determination</w:t>
      </w:r>
      <w:r w:rsidR="00996DD1">
        <w:rPr>
          <w:rFonts w:asciiTheme="majorHAnsi" w:hAnsiTheme="majorHAnsi"/>
        </w:rPr>
        <w:t xml:space="preserve">.  </w:t>
      </w:r>
      <w:r w:rsidRPr="0016351D">
        <w:rPr>
          <w:rFonts w:asciiTheme="majorHAnsi" w:hAnsiTheme="majorHAnsi"/>
        </w:rPr>
        <w:t xml:space="preserve">The former may not be sufficiently protective in all contexts (particularly given increases in publicly available </w:t>
      </w:r>
      <w:r w:rsidR="00163A09">
        <w:rPr>
          <w:rFonts w:asciiTheme="majorHAnsi" w:hAnsiTheme="majorHAnsi"/>
        </w:rPr>
        <w:t>information</w:t>
      </w:r>
      <w:r w:rsidRPr="0016351D">
        <w:rPr>
          <w:rFonts w:asciiTheme="majorHAnsi" w:hAnsiTheme="majorHAnsi"/>
        </w:rPr>
        <w:t>); the expert methodology is required to take “context” into account but there are no objective criteria governing it</w:t>
      </w:r>
      <w:r w:rsidR="005F2AF0">
        <w:rPr>
          <w:rFonts w:asciiTheme="majorHAnsi" w:hAnsiTheme="majorHAnsi"/>
        </w:rPr>
        <w:t xml:space="preserve">.  </w:t>
      </w:r>
      <w:r w:rsidRPr="0016351D">
        <w:rPr>
          <w:rFonts w:asciiTheme="majorHAnsi" w:hAnsiTheme="majorHAnsi"/>
        </w:rPr>
        <w:t xml:space="preserve">  </w:t>
      </w:r>
    </w:p>
    <w:p w14:paraId="72E0348E" w14:textId="77777777" w:rsidR="00FC58BC" w:rsidRPr="0016351D" w:rsidRDefault="00FC58BC" w:rsidP="00FC58BC">
      <w:pPr>
        <w:rPr>
          <w:rFonts w:asciiTheme="majorHAnsi" w:hAnsiTheme="majorHAnsi"/>
        </w:rPr>
      </w:pPr>
    </w:p>
    <w:p w14:paraId="1E4D1D08" w14:textId="7415E1B6" w:rsidR="00874242" w:rsidRPr="0016351D" w:rsidRDefault="00915C64" w:rsidP="00FC58BC">
      <w:pPr>
        <w:rPr>
          <w:rFonts w:asciiTheme="majorHAnsi" w:hAnsiTheme="majorHAnsi"/>
        </w:rPr>
      </w:pPr>
      <w:r>
        <w:rPr>
          <w:rFonts w:asciiTheme="majorHAnsi" w:hAnsiTheme="majorHAnsi"/>
        </w:rPr>
        <w:t xml:space="preserve">Furthermore, </w:t>
      </w:r>
      <w:r w:rsidR="003F34FD">
        <w:rPr>
          <w:rFonts w:asciiTheme="majorHAnsi" w:hAnsiTheme="majorHAnsi"/>
        </w:rPr>
        <w:t>t</w:t>
      </w:r>
      <w:r w:rsidR="00874242" w:rsidRPr="0016351D">
        <w:rPr>
          <w:rFonts w:asciiTheme="majorHAnsi" w:hAnsiTheme="majorHAnsi"/>
        </w:rPr>
        <w:t>here is increased risk of re-identification when data sets are combined (the mosaic effect)</w:t>
      </w:r>
      <w:r w:rsidR="005F2AF0">
        <w:rPr>
          <w:rFonts w:asciiTheme="majorHAnsi" w:hAnsiTheme="majorHAnsi"/>
        </w:rPr>
        <w:t xml:space="preserve">.  </w:t>
      </w:r>
      <w:r w:rsidR="00874242" w:rsidRPr="0016351D">
        <w:rPr>
          <w:rFonts w:asciiTheme="majorHAnsi" w:hAnsiTheme="majorHAnsi"/>
        </w:rPr>
        <w:t>A mosaic effect occurs when disparate threads can be pieced together in a way that yields information that is supposed to be private.</w:t>
      </w:r>
      <w:r w:rsidR="00874242" w:rsidRPr="0016351D">
        <w:rPr>
          <w:rStyle w:val="FootnoteReference"/>
          <w:rFonts w:asciiTheme="majorHAnsi" w:hAnsiTheme="majorHAnsi"/>
        </w:rPr>
        <w:footnoteReference w:id="48"/>
      </w:r>
      <w:r w:rsidR="00874242" w:rsidRPr="0016351D">
        <w:rPr>
          <w:rFonts w:asciiTheme="majorHAnsi" w:hAnsiTheme="majorHAnsi"/>
        </w:rPr>
        <w:t xml:space="preserve">   </w:t>
      </w:r>
    </w:p>
    <w:p w14:paraId="0F5F6FAF" w14:textId="77777777" w:rsidR="00FC58BC" w:rsidRPr="0016351D" w:rsidRDefault="00FC58BC" w:rsidP="00FC58BC">
      <w:pPr>
        <w:rPr>
          <w:rFonts w:asciiTheme="majorHAnsi" w:hAnsiTheme="majorHAnsi"/>
        </w:rPr>
      </w:pPr>
    </w:p>
    <w:p w14:paraId="5B4C53C1" w14:textId="7463D5B4" w:rsidR="00874242" w:rsidRPr="0016351D" w:rsidRDefault="00874242" w:rsidP="00FC58BC">
      <w:pPr>
        <w:rPr>
          <w:rFonts w:asciiTheme="majorHAnsi" w:hAnsiTheme="majorHAnsi"/>
        </w:rPr>
      </w:pPr>
      <w:r w:rsidRPr="0016351D">
        <w:rPr>
          <w:rFonts w:asciiTheme="majorHAnsi" w:hAnsiTheme="majorHAnsi"/>
        </w:rPr>
        <w:t>In addition, de-identification – even under HIPAA – has never meant zero risk, but de-identified data is not subject to</w:t>
      </w:r>
      <w:r w:rsidR="005426BA">
        <w:rPr>
          <w:rFonts w:asciiTheme="majorHAnsi" w:hAnsiTheme="majorHAnsi"/>
        </w:rPr>
        <w:t xml:space="preserve"> the</w:t>
      </w:r>
      <w:r w:rsidRPr="0016351D">
        <w:rPr>
          <w:rFonts w:asciiTheme="majorHAnsi" w:hAnsiTheme="majorHAnsi"/>
        </w:rPr>
        <w:t xml:space="preserve"> regulation (so the residual risk that remains is unregulated)</w:t>
      </w:r>
      <w:r w:rsidR="00EC44C4">
        <w:rPr>
          <w:rFonts w:asciiTheme="majorHAnsi" w:hAnsiTheme="majorHAnsi"/>
        </w:rPr>
        <w:t xml:space="preserve">.  </w:t>
      </w:r>
      <w:r w:rsidRPr="0016351D">
        <w:rPr>
          <w:rFonts w:asciiTheme="majorHAnsi" w:hAnsiTheme="majorHAnsi"/>
        </w:rPr>
        <w:t xml:space="preserve">We do not have consistent mechanisms for </w:t>
      </w:r>
      <w:r w:rsidR="005426BA">
        <w:rPr>
          <w:rFonts w:asciiTheme="majorHAnsi" w:hAnsiTheme="majorHAnsi"/>
        </w:rPr>
        <w:t xml:space="preserve">holding </w:t>
      </w:r>
      <w:r w:rsidRPr="0016351D">
        <w:rPr>
          <w:rFonts w:asciiTheme="majorHAnsi" w:hAnsiTheme="majorHAnsi"/>
        </w:rPr>
        <w:t xml:space="preserve">people/entities </w:t>
      </w:r>
      <w:r w:rsidR="005426BA">
        <w:rPr>
          <w:rFonts w:asciiTheme="majorHAnsi" w:hAnsiTheme="majorHAnsi"/>
        </w:rPr>
        <w:t xml:space="preserve">accountable </w:t>
      </w:r>
      <w:proofErr w:type="gramStart"/>
      <w:r w:rsidRPr="0016351D">
        <w:rPr>
          <w:rFonts w:asciiTheme="majorHAnsi" w:hAnsiTheme="majorHAnsi"/>
        </w:rPr>
        <w:t>who</w:t>
      </w:r>
      <w:proofErr w:type="gramEnd"/>
      <w:r w:rsidRPr="0016351D">
        <w:rPr>
          <w:rFonts w:asciiTheme="majorHAnsi" w:hAnsiTheme="majorHAnsi"/>
        </w:rPr>
        <w:t xml:space="preserve"> re-identify or negligently leave data</w:t>
      </w:r>
      <w:r w:rsidR="00163A09">
        <w:rPr>
          <w:rFonts w:asciiTheme="majorHAnsi" w:hAnsiTheme="majorHAnsi"/>
        </w:rPr>
        <w:t xml:space="preserve"> </w:t>
      </w:r>
      <w:r w:rsidRPr="0016351D">
        <w:rPr>
          <w:rFonts w:asciiTheme="majorHAnsi" w:hAnsiTheme="majorHAnsi"/>
        </w:rPr>
        <w:t>sets vulnerable to easy re-identification.</w:t>
      </w:r>
    </w:p>
    <w:p w14:paraId="1A360262" w14:textId="77777777" w:rsidR="00FC58BC" w:rsidRPr="0016351D" w:rsidRDefault="00FC58BC" w:rsidP="00FC58BC">
      <w:pPr>
        <w:rPr>
          <w:rFonts w:asciiTheme="majorHAnsi" w:hAnsiTheme="majorHAnsi"/>
        </w:rPr>
      </w:pPr>
    </w:p>
    <w:p w14:paraId="25063954" w14:textId="7806DF91" w:rsidR="00874242" w:rsidRPr="0016351D" w:rsidRDefault="00874242" w:rsidP="00FC58BC">
      <w:pPr>
        <w:rPr>
          <w:sz w:val="22"/>
          <w:szCs w:val="22"/>
        </w:rPr>
      </w:pPr>
      <w:r w:rsidRPr="0016351D">
        <w:rPr>
          <w:rFonts w:asciiTheme="majorHAnsi" w:hAnsiTheme="majorHAnsi"/>
        </w:rPr>
        <w:t xml:space="preserve">Conversely, de-identification is also not the panacea for enabling valuable uses of </w:t>
      </w:r>
      <w:r w:rsidR="004F6AB1">
        <w:rPr>
          <w:rFonts w:asciiTheme="majorHAnsi" w:hAnsiTheme="majorHAnsi"/>
        </w:rPr>
        <w:t>information</w:t>
      </w:r>
      <w:r w:rsidR="00EC44C4">
        <w:rPr>
          <w:rFonts w:asciiTheme="majorHAnsi" w:hAnsiTheme="majorHAnsi"/>
        </w:rPr>
        <w:t xml:space="preserve">.  </w:t>
      </w:r>
      <w:r w:rsidR="00A62C5F">
        <w:rPr>
          <w:rFonts w:asciiTheme="majorHAnsi" w:hAnsiTheme="majorHAnsi"/>
        </w:rPr>
        <w:t xml:space="preserve">Emphasizing (or favoring, through reduced regulatory requirements) </w:t>
      </w:r>
      <w:r w:rsidRPr="0016351D">
        <w:rPr>
          <w:rFonts w:asciiTheme="majorHAnsi" w:hAnsiTheme="majorHAnsi"/>
        </w:rPr>
        <w:t xml:space="preserve">data de-identified pursuant to HIPAA as the enabling mechanism for data use often significantly reduces the potential for valuable uses of </w:t>
      </w:r>
      <w:r w:rsidR="004F6AB1">
        <w:rPr>
          <w:rFonts w:asciiTheme="majorHAnsi" w:hAnsiTheme="majorHAnsi"/>
        </w:rPr>
        <w:t>information</w:t>
      </w:r>
      <w:r w:rsidR="004F6AB1" w:rsidRPr="0016351D">
        <w:rPr>
          <w:rFonts w:asciiTheme="majorHAnsi" w:hAnsiTheme="majorHAnsi"/>
        </w:rPr>
        <w:t xml:space="preserve"> </w:t>
      </w:r>
      <w:r w:rsidRPr="0016351D">
        <w:rPr>
          <w:rFonts w:asciiTheme="majorHAnsi" w:hAnsiTheme="majorHAnsi"/>
        </w:rPr>
        <w:t xml:space="preserve">even where the risk associated with the use of more identifiable </w:t>
      </w:r>
      <w:r w:rsidR="0040792D">
        <w:rPr>
          <w:rFonts w:asciiTheme="majorHAnsi" w:hAnsiTheme="majorHAnsi"/>
        </w:rPr>
        <w:t>information</w:t>
      </w:r>
      <w:r w:rsidR="0040792D" w:rsidRPr="0016351D">
        <w:rPr>
          <w:rFonts w:asciiTheme="majorHAnsi" w:hAnsiTheme="majorHAnsi"/>
        </w:rPr>
        <w:t xml:space="preserve"> </w:t>
      </w:r>
      <w:r w:rsidRPr="0016351D">
        <w:rPr>
          <w:rFonts w:asciiTheme="majorHAnsi" w:hAnsiTheme="majorHAnsi"/>
        </w:rPr>
        <w:t>is very low</w:t>
      </w:r>
      <w:r w:rsidR="00EC44C4">
        <w:rPr>
          <w:rFonts w:asciiTheme="majorHAnsi" w:hAnsiTheme="majorHAnsi"/>
        </w:rPr>
        <w:t xml:space="preserve">. </w:t>
      </w:r>
      <w:r w:rsidRPr="0016351D">
        <w:rPr>
          <w:rFonts w:asciiTheme="majorHAnsi" w:hAnsiTheme="majorHAnsi"/>
        </w:rPr>
        <w:t xml:space="preserve"> In addition, de-identification using the expert methodology, which is generally believed to be both more effective at reducing re-identification risk (because it accounts for context) and more valuable fo</w:t>
      </w:r>
      <w:r w:rsidR="000978E8">
        <w:rPr>
          <w:rFonts w:asciiTheme="majorHAnsi" w:hAnsiTheme="majorHAnsi"/>
        </w:rPr>
        <w:t>r researchers (because it does no</w:t>
      </w:r>
      <w:r w:rsidRPr="0016351D">
        <w:rPr>
          <w:rFonts w:asciiTheme="majorHAnsi" w:hAnsiTheme="majorHAnsi"/>
        </w:rPr>
        <w:t>t per se require the removal of certain data fields) is perceived by many research entities to be too expensive and time intensive</w:t>
      </w:r>
      <w:r w:rsidR="005F2AF0">
        <w:rPr>
          <w:rFonts w:asciiTheme="majorHAnsi" w:hAnsiTheme="majorHAnsi"/>
        </w:rPr>
        <w:t xml:space="preserve">.  </w:t>
      </w:r>
      <w:r w:rsidRPr="0016351D">
        <w:t xml:space="preserve"> </w:t>
      </w:r>
    </w:p>
    <w:p w14:paraId="7AD2092E" w14:textId="77777777" w:rsidR="00874242" w:rsidRPr="0016351D" w:rsidRDefault="00874242" w:rsidP="001B34F3">
      <w:pPr>
        <w:pStyle w:val="Heading2"/>
      </w:pPr>
      <w:bookmarkStart w:id="24" w:name="_Toc425145077"/>
      <w:r w:rsidRPr="0016351D">
        <w:t>Security Threats and Gaps</w:t>
      </w:r>
      <w:bookmarkEnd w:id="24"/>
    </w:p>
    <w:p w14:paraId="66B7165B" w14:textId="67010828" w:rsidR="00874242" w:rsidRPr="0016351D" w:rsidRDefault="00874242" w:rsidP="001B34F3">
      <w:pPr>
        <w:rPr>
          <w:rFonts w:asciiTheme="majorHAnsi" w:hAnsiTheme="majorHAnsi"/>
        </w:rPr>
      </w:pPr>
      <w:r w:rsidRPr="0016351D">
        <w:rPr>
          <w:rFonts w:asciiTheme="majorHAnsi" w:hAnsiTheme="majorHAnsi"/>
        </w:rPr>
        <w:t xml:space="preserve">The lack of an end-to-end secure environment for health </w:t>
      </w:r>
      <w:r w:rsidR="0040792D">
        <w:rPr>
          <w:rFonts w:asciiTheme="majorHAnsi" w:hAnsiTheme="majorHAnsi"/>
        </w:rPr>
        <w:t>information</w:t>
      </w:r>
      <w:r w:rsidR="0040792D" w:rsidRPr="0016351D">
        <w:rPr>
          <w:rFonts w:asciiTheme="majorHAnsi" w:hAnsiTheme="majorHAnsi"/>
        </w:rPr>
        <w:t xml:space="preserve"> </w:t>
      </w:r>
      <w:r w:rsidRPr="0016351D">
        <w:rPr>
          <w:rFonts w:asciiTheme="majorHAnsi" w:hAnsiTheme="majorHAnsi"/>
        </w:rPr>
        <w:t>was a problem mentioned by many who presented – but no entity (or federal agency) is responsible for assuring those end</w:t>
      </w:r>
      <w:r w:rsidR="005B2BD5">
        <w:rPr>
          <w:rFonts w:asciiTheme="majorHAnsi" w:hAnsiTheme="majorHAnsi"/>
        </w:rPr>
        <w:t>-to-end protections</w:t>
      </w:r>
      <w:r w:rsidR="00CC5BE1">
        <w:rPr>
          <w:rFonts w:asciiTheme="majorHAnsi" w:hAnsiTheme="majorHAnsi"/>
        </w:rPr>
        <w:t xml:space="preserve">.  </w:t>
      </w:r>
      <w:r w:rsidR="005B2BD5">
        <w:rPr>
          <w:rFonts w:asciiTheme="majorHAnsi" w:hAnsiTheme="majorHAnsi"/>
        </w:rPr>
        <w:t>Instead the U.S</w:t>
      </w:r>
      <w:r w:rsidR="00CC5BE1">
        <w:rPr>
          <w:rFonts w:asciiTheme="majorHAnsi" w:hAnsiTheme="majorHAnsi"/>
        </w:rPr>
        <w:t xml:space="preserve">. </w:t>
      </w:r>
      <w:r w:rsidR="005B2BD5">
        <w:rPr>
          <w:rFonts w:asciiTheme="majorHAnsi" w:hAnsiTheme="majorHAnsi"/>
        </w:rPr>
        <w:t>has</w:t>
      </w:r>
      <w:r w:rsidRPr="0016351D">
        <w:rPr>
          <w:rFonts w:asciiTheme="majorHAnsi" w:hAnsiTheme="majorHAnsi"/>
        </w:rPr>
        <w:t xml:space="preserve"> silos of </w:t>
      </w:r>
      <w:r w:rsidR="005B2BD5">
        <w:rPr>
          <w:rFonts w:asciiTheme="majorHAnsi" w:hAnsiTheme="majorHAnsi"/>
        </w:rPr>
        <w:t xml:space="preserve">information </w:t>
      </w:r>
      <w:r w:rsidRPr="0016351D">
        <w:rPr>
          <w:rFonts w:asciiTheme="majorHAnsi" w:hAnsiTheme="majorHAnsi"/>
        </w:rPr>
        <w:t>protections</w:t>
      </w:r>
      <w:r w:rsidR="00CC5BE1">
        <w:rPr>
          <w:rFonts w:asciiTheme="majorHAnsi" w:hAnsiTheme="majorHAnsi"/>
        </w:rPr>
        <w:t xml:space="preserve">.  </w:t>
      </w:r>
      <w:r w:rsidRPr="0016351D">
        <w:rPr>
          <w:rFonts w:asciiTheme="majorHAnsi" w:hAnsiTheme="majorHAnsi"/>
        </w:rPr>
        <w:t xml:space="preserve">For example, HIPAA </w:t>
      </w:r>
      <w:r w:rsidR="005B2BD5">
        <w:rPr>
          <w:rFonts w:asciiTheme="majorHAnsi" w:hAnsiTheme="majorHAnsi"/>
        </w:rPr>
        <w:t xml:space="preserve">Security Rule </w:t>
      </w:r>
      <w:r w:rsidRPr="0016351D">
        <w:rPr>
          <w:rFonts w:asciiTheme="majorHAnsi" w:hAnsiTheme="majorHAnsi"/>
        </w:rPr>
        <w:t xml:space="preserve">coverage applies in some places, </w:t>
      </w:r>
      <w:r w:rsidR="0027409C">
        <w:rPr>
          <w:rFonts w:asciiTheme="majorHAnsi" w:hAnsiTheme="majorHAnsi"/>
        </w:rPr>
        <w:t xml:space="preserve">the </w:t>
      </w:r>
      <w:r w:rsidRPr="0016351D">
        <w:rPr>
          <w:rFonts w:asciiTheme="majorHAnsi" w:hAnsiTheme="majorHAnsi"/>
        </w:rPr>
        <w:t xml:space="preserve">FTC and </w:t>
      </w:r>
      <w:r w:rsidR="0027409C">
        <w:rPr>
          <w:rFonts w:asciiTheme="majorHAnsi" w:hAnsiTheme="majorHAnsi"/>
        </w:rPr>
        <w:t>Food and Drug Administration (</w:t>
      </w:r>
      <w:r w:rsidRPr="0016351D">
        <w:rPr>
          <w:rFonts w:asciiTheme="majorHAnsi" w:hAnsiTheme="majorHAnsi"/>
        </w:rPr>
        <w:t>FDA</w:t>
      </w:r>
      <w:r w:rsidR="0027409C">
        <w:rPr>
          <w:rFonts w:asciiTheme="majorHAnsi" w:hAnsiTheme="majorHAnsi"/>
        </w:rPr>
        <w:t>)</w:t>
      </w:r>
      <w:r w:rsidRPr="0016351D">
        <w:rPr>
          <w:rFonts w:asciiTheme="majorHAnsi" w:hAnsiTheme="majorHAnsi"/>
        </w:rPr>
        <w:t xml:space="preserve"> in others, Gramm-Leach-Bliley in financial contexts; state law may govern; some may be covered by multiple laws, and some may be covered by none</w:t>
      </w:r>
      <w:r w:rsidR="00CC5BE1">
        <w:rPr>
          <w:rFonts w:asciiTheme="majorHAnsi" w:hAnsiTheme="majorHAnsi"/>
        </w:rPr>
        <w:t xml:space="preserve">.  </w:t>
      </w:r>
      <w:r w:rsidRPr="0016351D">
        <w:rPr>
          <w:rFonts w:asciiTheme="majorHAnsi" w:hAnsiTheme="majorHAnsi"/>
        </w:rPr>
        <w:t xml:space="preserve">The lack of </w:t>
      </w:r>
      <w:r w:rsidRPr="0016351D">
        <w:rPr>
          <w:rFonts w:asciiTheme="majorHAnsi" w:hAnsiTheme="majorHAnsi"/>
        </w:rPr>
        <w:lastRenderedPageBreak/>
        <w:t>baseline security requirements was broadly seen as a significant risk for deteriorating patient and consumer trust in the healthcare system and in entities involved in health big data analytics both inside and outside of healthcare</w:t>
      </w:r>
      <w:r w:rsidR="00CC5BE1">
        <w:rPr>
          <w:rFonts w:asciiTheme="majorHAnsi" w:hAnsiTheme="majorHAnsi"/>
        </w:rPr>
        <w:t xml:space="preserve">.  </w:t>
      </w:r>
      <w:r w:rsidRPr="0016351D">
        <w:rPr>
          <w:rFonts w:asciiTheme="majorHAnsi" w:hAnsiTheme="majorHAnsi"/>
        </w:rPr>
        <w:t>The call for such end-to-end security requirements was referenced as one of the highest priorities.</w:t>
      </w:r>
    </w:p>
    <w:p w14:paraId="18E18996" w14:textId="77777777" w:rsidR="001B34F3" w:rsidRPr="0016351D" w:rsidRDefault="001B34F3" w:rsidP="001B34F3">
      <w:pPr>
        <w:rPr>
          <w:rFonts w:asciiTheme="majorHAnsi" w:hAnsiTheme="majorHAnsi"/>
        </w:rPr>
      </w:pPr>
    </w:p>
    <w:p w14:paraId="1F6801E2" w14:textId="37DA6654" w:rsidR="00874242" w:rsidRPr="0016351D" w:rsidRDefault="00874242" w:rsidP="001B34F3">
      <w:pPr>
        <w:rPr>
          <w:rFonts w:asciiTheme="majorHAnsi" w:hAnsiTheme="majorHAnsi"/>
        </w:rPr>
      </w:pPr>
      <w:r w:rsidRPr="0016351D">
        <w:rPr>
          <w:rFonts w:asciiTheme="majorHAnsi" w:hAnsiTheme="majorHAnsi"/>
        </w:rPr>
        <w:t xml:space="preserve">In addition, </w:t>
      </w:r>
      <w:r w:rsidR="00915C64">
        <w:rPr>
          <w:rFonts w:asciiTheme="majorHAnsi" w:hAnsiTheme="majorHAnsi"/>
        </w:rPr>
        <w:t>existing laws</w:t>
      </w:r>
      <w:r w:rsidRPr="0016351D">
        <w:rPr>
          <w:rFonts w:asciiTheme="majorHAnsi" w:hAnsiTheme="majorHAnsi"/>
        </w:rPr>
        <w:t xml:space="preserve"> do not necessarily provide incentives for adopting privacy-enhancing technical architectures for big data analytics (for example, data enclaves)</w:t>
      </w:r>
      <w:r w:rsidR="00CC5BE1">
        <w:rPr>
          <w:rFonts w:asciiTheme="majorHAnsi" w:hAnsiTheme="majorHAnsi"/>
        </w:rPr>
        <w:t xml:space="preserve">.  </w:t>
      </w:r>
      <w:r w:rsidRPr="0016351D">
        <w:rPr>
          <w:rFonts w:asciiTheme="majorHAnsi" w:hAnsiTheme="majorHAnsi"/>
        </w:rPr>
        <w:t>In other words, the privacy rules governing analytic uses of data arguably are the same regardless of the technical architecture used to analyze the data.</w:t>
      </w:r>
    </w:p>
    <w:p w14:paraId="741CEC07" w14:textId="77777777" w:rsidR="001B34F3" w:rsidRPr="0016351D" w:rsidRDefault="001B34F3" w:rsidP="001B34F3">
      <w:pPr>
        <w:rPr>
          <w:rFonts w:asciiTheme="majorHAnsi" w:hAnsiTheme="majorHAnsi"/>
        </w:rPr>
      </w:pPr>
    </w:p>
    <w:p w14:paraId="1497B9D6" w14:textId="28B94830" w:rsidR="00874242" w:rsidRPr="0016351D" w:rsidRDefault="00874242" w:rsidP="001B34F3">
      <w:pPr>
        <w:rPr>
          <w:rFonts w:asciiTheme="majorHAnsi" w:hAnsiTheme="majorHAnsi"/>
        </w:rPr>
      </w:pPr>
      <w:r w:rsidRPr="0016351D">
        <w:rPr>
          <w:rFonts w:asciiTheme="majorHAnsi" w:hAnsiTheme="majorHAnsi"/>
        </w:rPr>
        <w:t xml:space="preserve">Congress is the only policy-making body equipped to authorize national security and/or cybersecurity requirements that would facilitate the requirement to provide a consistent baseline level of security for health </w:t>
      </w:r>
      <w:r w:rsidR="00B2463F">
        <w:rPr>
          <w:rFonts w:asciiTheme="majorHAnsi" w:hAnsiTheme="majorHAnsi"/>
        </w:rPr>
        <w:t>information</w:t>
      </w:r>
      <w:r w:rsidRPr="0016351D">
        <w:rPr>
          <w:rFonts w:asciiTheme="majorHAnsi" w:hAnsiTheme="majorHAnsi"/>
        </w:rPr>
        <w:t xml:space="preserve">, regardless of the entity that holds that </w:t>
      </w:r>
      <w:r w:rsidR="00B2463F">
        <w:rPr>
          <w:rFonts w:asciiTheme="majorHAnsi" w:hAnsiTheme="majorHAnsi"/>
        </w:rPr>
        <w:t>information</w:t>
      </w:r>
      <w:r w:rsidRPr="0016351D">
        <w:rPr>
          <w:rFonts w:asciiTheme="majorHAnsi" w:hAnsiTheme="majorHAnsi"/>
        </w:rPr>
        <w:t>, in an end-to-end environment that is desirabl</w:t>
      </w:r>
      <w:r w:rsidR="00C87B73">
        <w:rPr>
          <w:rFonts w:asciiTheme="majorHAnsi" w:hAnsiTheme="majorHAnsi"/>
        </w:rPr>
        <w:t>e for building trust</w:t>
      </w:r>
      <w:r w:rsidR="00CC5BE1">
        <w:rPr>
          <w:rFonts w:asciiTheme="majorHAnsi" w:hAnsiTheme="majorHAnsi"/>
        </w:rPr>
        <w:t xml:space="preserve">.  </w:t>
      </w:r>
      <w:r w:rsidR="00C87B73">
        <w:rPr>
          <w:rFonts w:asciiTheme="majorHAnsi" w:hAnsiTheme="majorHAnsi"/>
        </w:rPr>
        <w:t>But the W</w:t>
      </w:r>
      <w:r w:rsidRPr="0016351D">
        <w:rPr>
          <w:rFonts w:asciiTheme="majorHAnsi" w:hAnsiTheme="majorHAnsi"/>
        </w:rPr>
        <w:t>orkgroup did not recommend specifically directing Congress to address this issue at this time</w:t>
      </w:r>
      <w:r w:rsidR="005F2AF0">
        <w:rPr>
          <w:rFonts w:asciiTheme="majorHAnsi" w:hAnsiTheme="majorHAnsi"/>
        </w:rPr>
        <w:t xml:space="preserve">.  </w:t>
      </w:r>
    </w:p>
    <w:p w14:paraId="1BC112CC" w14:textId="77777777" w:rsidR="00874242" w:rsidRPr="0016351D" w:rsidRDefault="00874242" w:rsidP="009F6B03">
      <w:pPr>
        <w:pStyle w:val="Heading1"/>
      </w:pPr>
      <w:bookmarkStart w:id="25" w:name="_Toc425145078"/>
      <w:r w:rsidRPr="0016351D">
        <w:t>Solutions and Recommendations</w:t>
      </w:r>
      <w:bookmarkEnd w:id="25"/>
    </w:p>
    <w:p w14:paraId="58FADD98" w14:textId="6E9BCD17" w:rsidR="00874242" w:rsidRPr="0016351D" w:rsidRDefault="005E257D" w:rsidP="009F6B03">
      <w:pPr>
        <w:pStyle w:val="Heading2"/>
      </w:pPr>
      <w:bookmarkStart w:id="26" w:name="_Toc425145079"/>
      <w:r>
        <w:t>Address</w:t>
      </w:r>
      <w:r w:rsidR="00874242" w:rsidRPr="0016351D">
        <w:t xml:space="preserve"> Harm, Including Discrimination Concerns</w:t>
      </w:r>
      <w:bookmarkEnd w:id="26"/>
    </w:p>
    <w:p w14:paraId="2B1406FB" w14:textId="4A8EE20C" w:rsidR="00874242" w:rsidRPr="00396FB2" w:rsidRDefault="00CF4872" w:rsidP="009F6B03">
      <w:pPr>
        <w:rPr>
          <w:rFonts w:asciiTheme="majorHAnsi" w:hAnsiTheme="majorHAnsi"/>
          <w:u w:val="single"/>
        </w:rPr>
      </w:pPr>
      <w:r w:rsidRPr="0016351D">
        <w:rPr>
          <w:rFonts w:asciiTheme="majorHAnsi" w:hAnsiTheme="majorHAnsi"/>
        </w:rPr>
        <w:t>To address discriminatory practices: w</w:t>
      </w:r>
      <w:r w:rsidR="00874242" w:rsidRPr="0016351D">
        <w:rPr>
          <w:rFonts w:asciiTheme="majorHAnsi" w:hAnsiTheme="majorHAnsi"/>
        </w:rPr>
        <w:t>ithout a national consensus on what constitutes harm with regard to health big data analytics, the Workgroup encourages ONC and other federal stakeholders to conduct more public inquiry and pursue or promote initiatives or projects that could yield greater understanding of the scope of the problem and the potential for harm - both harm to individuals and harm to communities or subpopulations</w:t>
      </w:r>
      <w:r w:rsidR="005D5E8B" w:rsidRPr="00BD16ED">
        <w:rPr>
          <w:rFonts w:asciiTheme="majorHAnsi" w:hAnsiTheme="majorHAnsi"/>
          <w:highlight w:val="yellow"/>
        </w:rPr>
        <w:t>.</w:t>
      </w:r>
      <w:r w:rsidR="00874242" w:rsidRPr="00BD16ED">
        <w:rPr>
          <w:rStyle w:val="FootnoteReference"/>
          <w:rFonts w:asciiTheme="majorHAnsi" w:hAnsiTheme="majorHAnsi"/>
          <w:highlight w:val="yellow"/>
        </w:rPr>
        <w:footnoteReference w:id="49"/>
      </w:r>
      <w:r w:rsidR="00874242" w:rsidRPr="00BD16ED">
        <w:rPr>
          <w:rFonts w:asciiTheme="majorHAnsi" w:hAnsiTheme="majorHAnsi"/>
          <w:highlight w:val="yellow"/>
        </w:rPr>
        <w:t xml:space="preserve">  </w:t>
      </w:r>
      <w:r w:rsidR="005A5DBC" w:rsidRPr="00BD16ED">
        <w:rPr>
          <w:rFonts w:asciiTheme="majorHAnsi" w:hAnsiTheme="majorHAnsi"/>
          <w:highlight w:val="yellow"/>
        </w:rPr>
        <w:t xml:space="preserve">While there are some voluntary efforts at creating trust frameworks across institutions for health </w:t>
      </w:r>
      <w:r w:rsidR="00B2463F" w:rsidRPr="00BD16ED">
        <w:rPr>
          <w:rFonts w:asciiTheme="majorHAnsi" w:hAnsiTheme="majorHAnsi"/>
          <w:highlight w:val="yellow"/>
        </w:rPr>
        <w:t>information</w:t>
      </w:r>
      <w:r w:rsidR="005A5DBC" w:rsidRPr="00BD16ED">
        <w:rPr>
          <w:rFonts w:asciiTheme="majorHAnsi" w:hAnsiTheme="majorHAnsi"/>
          <w:highlight w:val="yellow"/>
        </w:rPr>
        <w:t xml:space="preserve"> research and analysis, such as </w:t>
      </w:r>
      <w:proofErr w:type="spellStart"/>
      <w:r w:rsidR="005A5DBC" w:rsidRPr="00BD16ED">
        <w:rPr>
          <w:rFonts w:asciiTheme="majorHAnsi" w:hAnsiTheme="majorHAnsi"/>
          <w:highlight w:val="yellow"/>
        </w:rPr>
        <w:t>HealtheWay</w:t>
      </w:r>
      <w:proofErr w:type="spellEnd"/>
      <w:r w:rsidR="00C91AD1" w:rsidRPr="00BD16ED">
        <w:rPr>
          <w:rFonts w:asciiTheme="majorHAnsi" w:hAnsiTheme="majorHAnsi"/>
          <w:highlight w:val="yellow"/>
        </w:rPr>
        <w:t>/Sequoia Project</w:t>
      </w:r>
      <w:r w:rsidR="005A5DBC" w:rsidRPr="00BD16ED">
        <w:rPr>
          <w:rFonts w:asciiTheme="majorHAnsi" w:hAnsiTheme="majorHAnsi"/>
          <w:highlight w:val="yellow"/>
        </w:rPr>
        <w:t xml:space="preserve"> and </w:t>
      </w:r>
      <w:proofErr w:type="spellStart"/>
      <w:r w:rsidR="00E015A7" w:rsidRPr="00BD16ED">
        <w:rPr>
          <w:rFonts w:asciiTheme="majorHAnsi" w:hAnsiTheme="majorHAnsi"/>
          <w:highlight w:val="yellow"/>
        </w:rPr>
        <w:t>PCORnet</w:t>
      </w:r>
      <w:proofErr w:type="spellEnd"/>
      <w:r w:rsidR="00E015A7" w:rsidRPr="00BD16ED">
        <w:rPr>
          <w:rFonts w:asciiTheme="majorHAnsi" w:hAnsiTheme="majorHAnsi"/>
          <w:highlight w:val="yellow"/>
        </w:rPr>
        <w:t xml:space="preserve"> (</w:t>
      </w:r>
      <w:r w:rsidR="005A5DBC" w:rsidRPr="00BD16ED">
        <w:rPr>
          <w:rFonts w:asciiTheme="majorHAnsi" w:hAnsiTheme="majorHAnsi"/>
          <w:highlight w:val="yellow"/>
        </w:rPr>
        <w:t>P</w:t>
      </w:r>
      <w:r w:rsidR="00E015A7" w:rsidRPr="00BD16ED">
        <w:rPr>
          <w:rFonts w:asciiTheme="majorHAnsi" w:hAnsiTheme="majorHAnsi"/>
          <w:highlight w:val="yellow"/>
        </w:rPr>
        <w:t>atient-Centered Outcomes Research Institute)</w:t>
      </w:r>
      <w:r w:rsidR="005A5DBC" w:rsidRPr="00BD16ED">
        <w:rPr>
          <w:rFonts w:asciiTheme="majorHAnsi" w:hAnsiTheme="majorHAnsi"/>
          <w:highlight w:val="yellow"/>
        </w:rPr>
        <w:t>,</w:t>
      </w:r>
      <w:r w:rsidR="00C91AD1" w:rsidRPr="00BD16ED">
        <w:rPr>
          <w:rStyle w:val="FootnoteReference"/>
          <w:rFonts w:asciiTheme="majorHAnsi" w:hAnsiTheme="majorHAnsi"/>
          <w:highlight w:val="yellow"/>
        </w:rPr>
        <w:footnoteReference w:id="50"/>
      </w:r>
      <w:r w:rsidR="005A5DBC" w:rsidRPr="00BD16ED">
        <w:rPr>
          <w:rFonts w:asciiTheme="majorHAnsi" w:hAnsiTheme="majorHAnsi"/>
          <w:highlight w:val="yellow"/>
        </w:rPr>
        <w:t xml:space="preserve"> there is some concern that purely voluntary efforts will be neither widespread enough nor rigorous enough to adequately protect against some of the potential harms; or that those voluntary efforts will lack the force of law</w:t>
      </w:r>
      <w:r w:rsidR="00396FB2" w:rsidRPr="00BD16ED">
        <w:rPr>
          <w:rFonts w:asciiTheme="majorHAnsi" w:hAnsiTheme="majorHAnsi"/>
          <w:highlight w:val="yellow"/>
        </w:rPr>
        <w:t>.</w:t>
      </w:r>
      <w:r w:rsidR="00396FB2">
        <w:rPr>
          <w:rFonts w:asciiTheme="majorHAnsi" w:hAnsiTheme="majorHAnsi"/>
        </w:rPr>
        <w:t xml:space="preserve"> </w:t>
      </w:r>
      <w:r w:rsidR="005A5DBC" w:rsidRPr="00396FB2">
        <w:rPr>
          <w:rFonts w:asciiTheme="majorHAnsi" w:hAnsiTheme="majorHAnsi"/>
        </w:rPr>
        <w:t xml:space="preserve"> </w:t>
      </w:r>
      <w:r w:rsidR="005A5DBC" w:rsidRPr="00636DDA">
        <w:rPr>
          <w:rFonts w:asciiTheme="majorHAnsi" w:hAnsiTheme="majorHAnsi"/>
          <w:b/>
        </w:rPr>
        <w:t>Therefore, f</w:t>
      </w:r>
      <w:r w:rsidR="00874242" w:rsidRPr="00636DDA">
        <w:rPr>
          <w:rFonts w:asciiTheme="majorHAnsi" w:hAnsiTheme="majorHAnsi"/>
          <w:b/>
        </w:rPr>
        <w:t>ederal stakeholders should continue focus</w:t>
      </w:r>
      <w:r w:rsidR="00BD16ED">
        <w:rPr>
          <w:rFonts w:asciiTheme="majorHAnsi" w:hAnsiTheme="majorHAnsi"/>
          <w:b/>
        </w:rPr>
        <w:t>ing</w:t>
      </w:r>
      <w:r w:rsidR="00874242" w:rsidRPr="00636DDA">
        <w:rPr>
          <w:rFonts w:asciiTheme="majorHAnsi" w:hAnsiTheme="majorHAnsi"/>
          <w:b/>
        </w:rPr>
        <w:t xml:space="preserve"> on identifying gaps in legal protections against what are likely to be an evolving set of harms from big data analytics</w:t>
      </w:r>
      <w:r w:rsidR="005F2AF0">
        <w:rPr>
          <w:rFonts w:asciiTheme="majorHAnsi" w:hAnsiTheme="majorHAnsi"/>
          <w:b/>
        </w:rPr>
        <w:t xml:space="preserve">.  </w:t>
      </w:r>
    </w:p>
    <w:p w14:paraId="3A5CA134" w14:textId="77777777" w:rsidR="00FE41FD" w:rsidRPr="0016351D" w:rsidRDefault="00FE41FD" w:rsidP="009F6B03">
      <w:pPr>
        <w:rPr>
          <w:rFonts w:asciiTheme="majorHAnsi" w:hAnsiTheme="majorHAnsi"/>
        </w:rPr>
      </w:pPr>
    </w:p>
    <w:p w14:paraId="0EA10F73" w14:textId="585C1CFB" w:rsidR="00874242" w:rsidRPr="0016351D" w:rsidRDefault="00CF4872" w:rsidP="009F6B03">
      <w:pPr>
        <w:rPr>
          <w:rFonts w:asciiTheme="majorHAnsi" w:hAnsiTheme="majorHAnsi"/>
        </w:rPr>
      </w:pPr>
      <w:r w:rsidRPr="00396FB2">
        <w:rPr>
          <w:rFonts w:asciiTheme="majorHAnsi" w:hAnsiTheme="majorHAnsi"/>
          <w:b/>
        </w:rPr>
        <w:t>Additionally</w:t>
      </w:r>
      <w:r w:rsidR="00874242" w:rsidRPr="00396FB2">
        <w:rPr>
          <w:rFonts w:asciiTheme="majorHAnsi" w:hAnsiTheme="majorHAnsi"/>
          <w:b/>
        </w:rPr>
        <w:t xml:space="preserve">, policymakers </w:t>
      </w:r>
      <w:r w:rsidR="00874242" w:rsidRPr="00396FB2">
        <w:rPr>
          <w:rFonts w:asciiTheme="majorHAnsi" w:hAnsiTheme="majorHAnsi"/>
          <w:b/>
          <w:highlight w:val="yellow"/>
        </w:rPr>
        <w:t xml:space="preserve">should </w:t>
      </w:r>
      <w:r w:rsidR="00874242" w:rsidRPr="00396FB2">
        <w:rPr>
          <w:rFonts w:asciiTheme="majorHAnsi" w:hAnsiTheme="majorHAnsi"/>
          <w:b/>
        </w:rPr>
        <w:t xml:space="preserve">adopt measures (for example, spending conditions, regulations, and guidance) that could increase transparency about actual health </w:t>
      </w:r>
      <w:r w:rsidR="00B97ADA">
        <w:rPr>
          <w:rFonts w:asciiTheme="majorHAnsi" w:hAnsiTheme="majorHAnsi"/>
          <w:b/>
        </w:rPr>
        <w:t>information</w:t>
      </w:r>
      <w:r w:rsidR="00B97ADA" w:rsidRPr="00396FB2">
        <w:rPr>
          <w:rFonts w:asciiTheme="majorHAnsi" w:hAnsiTheme="majorHAnsi"/>
          <w:b/>
        </w:rPr>
        <w:t xml:space="preserve"> </w:t>
      </w:r>
      <w:r w:rsidR="00874242" w:rsidRPr="00396FB2">
        <w:rPr>
          <w:rFonts w:asciiTheme="majorHAnsi" w:hAnsiTheme="majorHAnsi"/>
          <w:b/>
        </w:rPr>
        <w:t>uses</w:t>
      </w:r>
      <w:r w:rsidR="000628AF">
        <w:rPr>
          <w:rFonts w:asciiTheme="majorHAnsi" w:hAnsiTheme="majorHAnsi"/>
          <w:b/>
        </w:rPr>
        <w:t xml:space="preserve"> and convene multi-stakeholder work groups/hearings to help establish a consensus on </w:t>
      </w:r>
      <w:r w:rsidR="000628AF">
        <w:rPr>
          <w:rFonts w:asciiTheme="majorHAnsi" w:hAnsiTheme="majorHAnsi"/>
          <w:b/>
        </w:rPr>
        <w:lastRenderedPageBreak/>
        <w:t>privacy harms, particularly those that are likely in the era of Big Data</w:t>
      </w:r>
      <w:r w:rsidR="00996DD1">
        <w:rPr>
          <w:rFonts w:asciiTheme="majorHAnsi" w:hAnsiTheme="majorHAnsi"/>
          <w:b/>
        </w:rPr>
        <w:t xml:space="preserve">.  </w:t>
      </w:r>
      <w:r w:rsidR="00874242" w:rsidRPr="0030483D">
        <w:rPr>
          <w:rFonts w:asciiTheme="majorHAnsi" w:hAnsiTheme="majorHAnsi"/>
        </w:rPr>
        <w:t xml:space="preserve">Greater education and knowledge about actual health </w:t>
      </w:r>
      <w:r w:rsidR="00B97ADA">
        <w:rPr>
          <w:rFonts w:asciiTheme="majorHAnsi" w:hAnsiTheme="majorHAnsi"/>
        </w:rPr>
        <w:t>information</w:t>
      </w:r>
      <w:r w:rsidR="00B97ADA" w:rsidRPr="0030483D">
        <w:rPr>
          <w:rFonts w:asciiTheme="majorHAnsi" w:hAnsiTheme="majorHAnsi"/>
        </w:rPr>
        <w:t xml:space="preserve"> </w:t>
      </w:r>
      <w:r w:rsidR="00874242" w:rsidRPr="0030483D">
        <w:rPr>
          <w:rFonts w:asciiTheme="majorHAnsi" w:hAnsiTheme="majorHAnsi"/>
        </w:rPr>
        <w:t>use</w:t>
      </w:r>
      <w:r w:rsidR="000628AF">
        <w:rPr>
          <w:rFonts w:asciiTheme="majorHAnsi" w:hAnsiTheme="majorHAnsi"/>
        </w:rPr>
        <w:t xml:space="preserve"> and a convening of multi-stakeholder dialogues </w:t>
      </w:r>
      <w:r w:rsidR="00874242" w:rsidRPr="0030483D">
        <w:rPr>
          <w:rFonts w:asciiTheme="majorHAnsi" w:hAnsiTheme="majorHAnsi"/>
        </w:rPr>
        <w:t>could</w:t>
      </w:r>
      <w:r w:rsidR="00874242" w:rsidRPr="0016351D">
        <w:rPr>
          <w:rFonts w:asciiTheme="majorHAnsi" w:hAnsiTheme="majorHAnsi"/>
        </w:rPr>
        <w:t xml:space="preserve"> help spur greater public dialogue about which uses are harmful, and as a result advance a national consensus around harms and the best ways to prevent or hold entities accountable for them</w:t>
      </w:r>
      <w:r w:rsidR="000628AF">
        <w:rPr>
          <w:rFonts w:asciiTheme="majorHAnsi" w:hAnsiTheme="majorHAnsi"/>
        </w:rPr>
        <w:t>, while also identifying uses of health data that are not likely to lead to these harms</w:t>
      </w:r>
      <w:r w:rsidR="005F2AF0">
        <w:rPr>
          <w:rFonts w:asciiTheme="majorHAnsi" w:hAnsiTheme="majorHAnsi"/>
        </w:rPr>
        <w:t xml:space="preserve">.  </w:t>
      </w:r>
    </w:p>
    <w:p w14:paraId="53DA7429" w14:textId="77777777" w:rsidR="00FE41FD" w:rsidRPr="0016351D" w:rsidRDefault="00FE41FD" w:rsidP="009F6B03">
      <w:pPr>
        <w:rPr>
          <w:rFonts w:asciiTheme="majorHAnsi" w:hAnsiTheme="majorHAnsi"/>
        </w:rPr>
      </w:pPr>
    </w:p>
    <w:p w14:paraId="624E2192" w14:textId="49C993E2" w:rsidR="00874242" w:rsidRPr="0016351D" w:rsidRDefault="005D5E8B" w:rsidP="00DD72D9">
      <w:pPr>
        <w:rPr>
          <w:rFonts w:asciiTheme="majorHAnsi" w:hAnsiTheme="majorHAnsi"/>
        </w:rPr>
      </w:pPr>
      <w:r>
        <w:rPr>
          <w:rFonts w:asciiTheme="majorHAnsi" w:hAnsiTheme="majorHAnsi"/>
        </w:rPr>
        <w:t xml:space="preserve">With respect to addressing </w:t>
      </w:r>
      <w:r w:rsidR="00874242" w:rsidRPr="0016351D">
        <w:rPr>
          <w:rFonts w:asciiTheme="majorHAnsi" w:hAnsiTheme="majorHAnsi"/>
        </w:rPr>
        <w:t>distrust in big data algorithms</w:t>
      </w:r>
      <w:r>
        <w:rPr>
          <w:rFonts w:asciiTheme="majorHAnsi" w:hAnsiTheme="majorHAnsi"/>
        </w:rPr>
        <w:t xml:space="preserve">, the </w:t>
      </w:r>
      <w:r w:rsidR="00880088">
        <w:rPr>
          <w:rFonts w:asciiTheme="majorHAnsi" w:hAnsiTheme="majorHAnsi"/>
        </w:rPr>
        <w:t>W</w:t>
      </w:r>
      <w:r w:rsidR="00874242" w:rsidRPr="0016351D">
        <w:rPr>
          <w:rFonts w:asciiTheme="majorHAnsi" w:hAnsiTheme="majorHAnsi"/>
        </w:rPr>
        <w:t>orkgroup expressed a desire to have greater transparency about algorithms – for example, what data informs them, how the data are collected, how those data are weighted or used in the algorithm, and whether (and if so, how) the algorithm is evaluated with respect to the accuracy and fairness of its outcome</w:t>
      </w:r>
      <w:r w:rsidR="00396FB2">
        <w:rPr>
          <w:rFonts w:asciiTheme="majorHAnsi" w:hAnsiTheme="majorHAnsi"/>
        </w:rPr>
        <w:t xml:space="preserve">.  </w:t>
      </w:r>
      <w:r w:rsidR="00874242" w:rsidRPr="0016351D">
        <w:rPr>
          <w:rFonts w:asciiTheme="majorHAnsi" w:hAnsiTheme="majorHAnsi"/>
        </w:rPr>
        <w:t xml:space="preserve">At the same time, the </w:t>
      </w:r>
      <w:r w:rsidR="00880088">
        <w:rPr>
          <w:rFonts w:asciiTheme="majorHAnsi" w:hAnsiTheme="majorHAnsi"/>
        </w:rPr>
        <w:t>Workgroup</w:t>
      </w:r>
      <w:r w:rsidR="00874242" w:rsidRPr="0016351D">
        <w:rPr>
          <w:rFonts w:asciiTheme="majorHAnsi" w:hAnsiTheme="majorHAnsi"/>
        </w:rPr>
        <w:t xml:space="preserve"> recognizes that many algorithms are considered to be proprietary and frequently are machine-generated, so there is less than complete understanding of the inputs and the processes even among those using the algorithms</w:t>
      </w:r>
      <w:r w:rsidR="00396FB2">
        <w:rPr>
          <w:rFonts w:asciiTheme="majorHAnsi" w:hAnsiTheme="majorHAnsi"/>
        </w:rPr>
        <w:t xml:space="preserve">.  </w:t>
      </w:r>
      <w:r w:rsidR="00874242" w:rsidRPr="0016351D">
        <w:rPr>
          <w:rFonts w:asciiTheme="majorHAnsi" w:hAnsiTheme="majorHAnsi"/>
        </w:rPr>
        <w:t xml:space="preserve">Additionally, the </w:t>
      </w:r>
      <w:r w:rsidR="00880088">
        <w:rPr>
          <w:rFonts w:asciiTheme="majorHAnsi" w:hAnsiTheme="majorHAnsi"/>
        </w:rPr>
        <w:t>Workgroup</w:t>
      </w:r>
      <w:r w:rsidR="00874242" w:rsidRPr="0016351D">
        <w:rPr>
          <w:rFonts w:asciiTheme="majorHAnsi" w:hAnsiTheme="majorHAnsi"/>
        </w:rPr>
        <w:t xml:space="preserve"> recognized that detailing all of the data inputs for a given algorithm</w:t>
      </w:r>
      <w:r w:rsidR="001206CB">
        <w:rPr>
          <w:rFonts w:asciiTheme="majorHAnsi" w:hAnsiTheme="majorHAnsi"/>
        </w:rPr>
        <w:t xml:space="preserve"> </w:t>
      </w:r>
      <w:r w:rsidR="00874242" w:rsidRPr="0016351D">
        <w:rPr>
          <w:rFonts w:asciiTheme="majorHAnsi" w:hAnsiTheme="majorHAnsi"/>
        </w:rPr>
        <w:t>may, in many cases, be a near impossible task given the ephemeral nature of the data input and the volume of data utilized</w:t>
      </w:r>
      <w:r w:rsidR="00396FB2">
        <w:rPr>
          <w:rFonts w:asciiTheme="majorHAnsi" w:hAnsiTheme="majorHAnsi"/>
        </w:rPr>
        <w:t xml:space="preserve">.  </w:t>
      </w:r>
      <w:r w:rsidR="00874242" w:rsidRPr="00396FB2">
        <w:rPr>
          <w:rFonts w:asciiTheme="majorHAnsi" w:hAnsiTheme="majorHAnsi"/>
          <w:b/>
        </w:rPr>
        <w:t xml:space="preserve">Nevertheless, the </w:t>
      </w:r>
      <w:r w:rsidR="00880088" w:rsidRPr="00396FB2">
        <w:rPr>
          <w:rFonts w:asciiTheme="majorHAnsi" w:hAnsiTheme="majorHAnsi"/>
          <w:b/>
        </w:rPr>
        <w:t>Workgroup</w:t>
      </w:r>
      <w:r w:rsidR="00874242" w:rsidRPr="00396FB2">
        <w:rPr>
          <w:rFonts w:asciiTheme="majorHAnsi" w:hAnsiTheme="majorHAnsi"/>
          <w:b/>
        </w:rPr>
        <w:t xml:space="preserve"> recommends policymak</w:t>
      </w:r>
      <w:r w:rsidR="00FB31CF">
        <w:rPr>
          <w:rFonts w:asciiTheme="majorHAnsi" w:hAnsiTheme="majorHAnsi"/>
          <w:b/>
        </w:rPr>
        <w:t xml:space="preserve">ers explore how to increase transparency around </w:t>
      </w:r>
      <w:r w:rsidR="00874242" w:rsidRPr="00396FB2">
        <w:rPr>
          <w:rFonts w:asciiTheme="majorHAnsi" w:hAnsiTheme="majorHAnsi"/>
          <w:b/>
        </w:rPr>
        <w:t xml:space="preserve">use of algorithms, perhaps with an approach similar to that used in the </w:t>
      </w:r>
      <w:r w:rsidR="00F824CA" w:rsidRPr="00396FB2">
        <w:rPr>
          <w:rFonts w:asciiTheme="majorHAnsi" w:hAnsiTheme="majorHAnsi"/>
          <w:b/>
        </w:rPr>
        <w:t>FCRA</w:t>
      </w:r>
      <w:r w:rsidR="00396FB2">
        <w:rPr>
          <w:rFonts w:asciiTheme="majorHAnsi" w:hAnsiTheme="majorHAnsi"/>
        </w:rPr>
        <w:t xml:space="preserve">.  </w:t>
      </w:r>
      <w:r w:rsidR="00874242" w:rsidRPr="0016351D">
        <w:rPr>
          <w:rFonts w:asciiTheme="majorHAnsi" w:hAnsiTheme="majorHAnsi"/>
        </w:rPr>
        <w:t>The FCRA is a federal law that</w:t>
      </w:r>
      <w:r w:rsidR="00F824CA">
        <w:rPr>
          <w:rFonts w:asciiTheme="majorHAnsi" w:hAnsiTheme="majorHAnsi"/>
        </w:rPr>
        <w:t>, among other things,</w:t>
      </w:r>
      <w:r w:rsidR="00874242" w:rsidRPr="0016351D">
        <w:rPr>
          <w:rFonts w:asciiTheme="majorHAnsi" w:hAnsiTheme="majorHAnsi"/>
        </w:rPr>
        <w:t xml:space="preserve"> regulates consumer reporting agencies (CRAs) and empowers people by providing transparency about the use of consumer credit information where the credit information is used in algorithms to create a credit score</w:t>
      </w:r>
      <w:r w:rsidR="00996DD1">
        <w:rPr>
          <w:rFonts w:asciiTheme="majorHAnsi" w:hAnsiTheme="majorHAnsi"/>
        </w:rPr>
        <w:t>.</w:t>
      </w:r>
      <w:r w:rsidR="00874242" w:rsidRPr="0016351D">
        <w:rPr>
          <w:rStyle w:val="FootnoteReference"/>
          <w:rFonts w:asciiTheme="majorHAnsi" w:hAnsiTheme="majorHAnsi"/>
        </w:rPr>
        <w:footnoteReference w:id="51"/>
      </w:r>
    </w:p>
    <w:p w14:paraId="6A6AB8A0" w14:textId="77777777" w:rsidR="00FE41FD" w:rsidRPr="0016351D" w:rsidRDefault="00FE41FD" w:rsidP="009F6B03">
      <w:pPr>
        <w:rPr>
          <w:rFonts w:asciiTheme="majorHAnsi" w:hAnsiTheme="majorHAnsi"/>
        </w:rPr>
      </w:pPr>
    </w:p>
    <w:p w14:paraId="1B39C31F" w14:textId="60D09CA7" w:rsidR="00874242" w:rsidRPr="0016351D" w:rsidRDefault="00874242" w:rsidP="00743490">
      <w:pPr>
        <w:rPr>
          <w:rFonts w:asciiTheme="majorHAnsi" w:hAnsiTheme="majorHAnsi"/>
        </w:rPr>
      </w:pPr>
      <w:r w:rsidRPr="00396FB2">
        <w:rPr>
          <w:rFonts w:asciiTheme="majorHAnsi" w:hAnsiTheme="majorHAnsi"/>
          <w:b/>
        </w:rPr>
        <w:t xml:space="preserve">Any such </w:t>
      </w:r>
      <w:r w:rsidR="00342D92">
        <w:rPr>
          <w:rFonts w:asciiTheme="majorHAnsi" w:hAnsiTheme="majorHAnsi"/>
          <w:b/>
        </w:rPr>
        <w:t xml:space="preserve">policymaker action regarding </w:t>
      </w:r>
      <w:r w:rsidRPr="00396FB2">
        <w:rPr>
          <w:rFonts w:asciiTheme="majorHAnsi" w:hAnsiTheme="majorHAnsi"/>
          <w:b/>
        </w:rPr>
        <w:t>algorithms should aim to maximize transparency (to the extent possible), validity and fairness</w:t>
      </w:r>
      <w:r w:rsidR="00396FB2">
        <w:rPr>
          <w:rFonts w:asciiTheme="majorHAnsi" w:hAnsiTheme="majorHAnsi"/>
        </w:rPr>
        <w:t xml:space="preserve">.  </w:t>
      </w:r>
      <w:r w:rsidRPr="0016351D">
        <w:rPr>
          <w:rFonts w:asciiTheme="majorHAnsi" w:hAnsiTheme="majorHAnsi"/>
        </w:rPr>
        <w:t>Although this may be desirable for algorithms used in a range of contexts, it is particularly important where algorithms are used to evaluate and/or make decisions that have an impact on the health of individuals and communities</w:t>
      </w:r>
      <w:r w:rsidR="005F2AF0">
        <w:rPr>
          <w:rFonts w:asciiTheme="majorHAnsi" w:hAnsiTheme="majorHAnsi"/>
        </w:rPr>
        <w:t xml:space="preserve">.  </w:t>
      </w:r>
      <w:r w:rsidRPr="0016351D">
        <w:rPr>
          <w:rFonts w:asciiTheme="majorHAnsi" w:hAnsiTheme="majorHAnsi"/>
        </w:rPr>
        <w:t xml:space="preserve"> </w:t>
      </w:r>
    </w:p>
    <w:p w14:paraId="11FF2C72" w14:textId="77777777" w:rsidR="00874242" w:rsidRPr="0016351D" w:rsidRDefault="00874242" w:rsidP="00743490">
      <w:pPr>
        <w:pStyle w:val="Heading2"/>
      </w:pPr>
      <w:bookmarkStart w:id="27" w:name="_Toc425145080"/>
      <w:r w:rsidRPr="0016351D">
        <w:t>Address Uneven Policy Environment</w:t>
      </w:r>
      <w:bookmarkEnd w:id="27"/>
      <w:r w:rsidRPr="0016351D">
        <w:t xml:space="preserve"> </w:t>
      </w:r>
    </w:p>
    <w:p w14:paraId="0558BD07" w14:textId="7728080A" w:rsidR="00874242" w:rsidRPr="0016351D" w:rsidRDefault="00874242" w:rsidP="00743490">
      <w:pPr>
        <w:rPr>
          <w:rFonts w:asciiTheme="majorHAnsi" w:hAnsiTheme="majorHAnsi"/>
        </w:rPr>
      </w:pPr>
      <w:r w:rsidRPr="0016351D">
        <w:rPr>
          <w:rFonts w:asciiTheme="majorHAnsi" w:hAnsiTheme="majorHAnsi"/>
        </w:rPr>
        <w:t xml:space="preserve">The Health IT Policy Committee has issued previous recommendations urging that holders of health </w:t>
      </w:r>
      <w:r w:rsidR="00B97ADA">
        <w:rPr>
          <w:rFonts w:asciiTheme="majorHAnsi" w:hAnsiTheme="majorHAnsi"/>
        </w:rPr>
        <w:t>information</w:t>
      </w:r>
      <w:r w:rsidR="00B97ADA" w:rsidRPr="0016351D">
        <w:rPr>
          <w:rFonts w:asciiTheme="majorHAnsi" w:hAnsiTheme="majorHAnsi"/>
        </w:rPr>
        <w:t xml:space="preserve"> </w:t>
      </w:r>
      <w:r w:rsidRPr="0016351D">
        <w:rPr>
          <w:rFonts w:asciiTheme="majorHAnsi" w:hAnsiTheme="majorHAnsi"/>
        </w:rPr>
        <w:t xml:space="preserve">(and personal </w:t>
      </w:r>
      <w:r w:rsidR="00B97ADA">
        <w:rPr>
          <w:rFonts w:asciiTheme="majorHAnsi" w:hAnsiTheme="majorHAnsi"/>
        </w:rPr>
        <w:t>information</w:t>
      </w:r>
      <w:r w:rsidR="00B97ADA" w:rsidRPr="0016351D">
        <w:rPr>
          <w:rFonts w:asciiTheme="majorHAnsi" w:hAnsiTheme="majorHAnsi"/>
        </w:rPr>
        <w:t xml:space="preserve"> </w:t>
      </w:r>
      <w:r w:rsidRPr="0016351D">
        <w:rPr>
          <w:rFonts w:asciiTheme="majorHAnsi" w:hAnsiTheme="majorHAnsi"/>
        </w:rPr>
        <w:t xml:space="preserve">being used for health purposes) implement protections based on the Fair Information Practice Principles (FIPPs) to protect the privacy, </w:t>
      </w:r>
      <w:r w:rsidRPr="0016351D">
        <w:rPr>
          <w:rFonts w:asciiTheme="majorHAnsi" w:hAnsiTheme="majorHAnsi"/>
        </w:rPr>
        <w:lastRenderedPageBreak/>
        <w:t xml:space="preserve">confidentiality and security of that </w:t>
      </w:r>
      <w:r w:rsidR="00B97ADA">
        <w:rPr>
          <w:rFonts w:asciiTheme="majorHAnsi" w:hAnsiTheme="majorHAnsi"/>
        </w:rPr>
        <w:t>information</w:t>
      </w:r>
      <w:r w:rsidRPr="0016351D">
        <w:rPr>
          <w:rFonts w:asciiTheme="majorHAnsi" w:hAnsiTheme="majorHAnsi"/>
        </w:rPr>
        <w:t>.</w:t>
      </w:r>
      <w:r w:rsidR="003167C4">
        <w:rPr>
          <w:rStyle w:val="FootnoteReference"/>
          <w:rFonts w:asciiTheme="majorHAnsi" w:hAnsiTheme="majorHAnsi"/>
        </w:rPr>
        <w:footnoteReference w:id="52"/>
      </w:r>
      <w:r w:rsidR="009C264D">
        <w:rPr>
          <w:rFonts w:asciiTheme="majorHAnsi" w:hAnsiTheme="majorHAnsi"/>
        </w:rPr>
        <w:t xml:space="preserve">  </w:t>
      </w:r>
      <w:r w:rsidRPr="0016351D">
        <w:rPr>
          <w:rFonts w:asciiTheme="majorHAnsi" w:hAnsiTheme="majorHAnsi"/>
        </w:rPr>
        <w:t>FIPPs are principles of responsible data stewardship and obligate data holders to adopt reasonable limits and safeguards regardless of whether an individual’s consent is sought</w:t>
      </w:r>
      <w:r w:rsidR="009C264D">
        <w:rPr>
          <w:rFonts w:asciiTheme="majorHAnsi" w:hAnsiTheme="majorHAnsi"/>
        </w:rPr>
        <w:t xml:space="preserve">.  </w:t>
      </w:r>
      <w:r w:rsidR="00BD7731" w:rsidRPr="0016351D">
        <w:rPr>
          <w:rFonts w:asciiTheme="majorHAnsi" w:hAnsiTheme="majorHAnsi"/>
        </w:rPr>
        <w:t>FIPPs include provisions to enable individuals to make reasonable choices about the collection, use and disclosure of their health information – but the FIPPs do not focus just on consent as the primary mechanism</w:t>
      </w:r>
      <w:r w:rsidR="009C264D">
        <w:rPr>
          <w:rFonts w:asciiTheme="majorHAnsi" w:hAnsiTheme="majorHAnsi"/>
        </w:rPr>
        <w:t xml:space="preserve">.  </w:t>
      </w:r>
      <w:r w:rsidRPr="0016351D">
        <w:rPr>
          <w:rFonts w:asciiTheme="majorHAnsi" w:hAnsiTheme="majorHAnsi"/>
        </w:rPr>
        <w:t xml:space="preserve">HIPAA and other privacy </w:t>
      </w:r>
      <w:r w:rsidR="00BD7731">
        <w:rPr>
          <w:rFonts w:asciiTheme="majorHAnsi" w:hAnsiTheme="majorHAnsi"/>
        </w:rPr>
        <w:t>laws are based on FIPPs – but the U.S</w:t>
      </w:r>
      <w:r w:rsidR="009C264D">
        <w:rPr>
          <w:rFonts w:asciiTheme="majorHAnsi" w:hAnsiTheme="majorHAnsi"/>
        </w:rPr>
        <w:t xml:space="preserve">. </w:t>
      </w:r>
      <w:r w:rsidR="00BD7731">
        <w:rPr>
          <w:rFonts w:asciiTheme="majorHAnsi" w:hAnsiTheme="majorHAnsi"/>
        </w:rPr>
        <w:t>health care industry</w:t>
      </w:r>
      <w:r w:rsidRPr="0016351D">
        <w:rPr>
          <w:rFonts w:asciiTheme="majorHAnsi" w:hAnsiTheme="majorHAnsi"/>
        </w:rPr>
        <w:t xml:space="preserve"> lack</w:t>
      </w:r>
      <w:r w:rsidR="00BD7731">
        <w:rPr>
          <w:rFonts w:asciiTheme="majorHAnsi" w:hAnsiTheme="majorHAnsi"/>
        </w:rPr>
        <w:t>s</w:t>
      </w:r>
      <w:r w:rsidRPr="0016351D">
        <w:rPr>
          <w:rFonts w:asciiTheme="majorHAnsi" w:hAnsiTheme="majorHAnsi"/>
        </w:rPr>
        <w:t xml:space="preserve"> FIPPs-based protections for health </w:t>
      </w:r>
      <w:r w:rsidR="00A34DC7">
        <w:rPr>
          <w:rFonts w:asciiTheme="majorHAnsi" w:hAnsiTheme="majorHAnsi"/>
        </w:rPr>
        <w:t>information</w:t>
      </w:r>
      <w:r w:rsidR="00A34DC7" w:rsidRPr="0016351D">
        <w:rPr>
          <w:rFonts w:asciiTheme="majorHAnsi" w:hAnsiTheme="majorHAnsi"/>
        </w:rPr>
        <w:t xml:space="preserve"> </w:t>
      </w:r>
      <w:r w:rsidRPr="0016351D">
        <w:rPr>
          <w:rFonts w:asciiTheme="majorHAnsi" w:hAnsiTheme="majorHAnsi"/>
        </w:rPr>
        <w:t>outside of the HIPAA environment.</w:t>
      </w:r>
    </w:p>
    <w:p w14:paraId="38585E14" w14:textId="77777777" w:rsidR="00743490" w:rsidRPr="0016351D" w:rsidRDefault="00743490" w:rsidP="00743490">
      <w:pPr>
        <w:rPr>
          <w:rFonts w:asciiTheme="majorHAnsi" w:hAnsiTheme="majorHAnsi"/>
        </w:rPr>
      </w:pPr>
    </w:p>
    <w:p w14:paraId="5230ED75" w14:textId="2478EEE5" w:rsidR="00342D92" w:rsidRPr="00342D92" w:rsidRDefault="00874242" w:rsidP="00342D92">
      <w:pPr>
        <w:numPr>
          <w:ilvl w:val="1"/>
          <w:numId w:val="50"/>
        </w:numPr>
        <w:rPr>
          <w:rFonts w:asciiTheme="majorHAnsi" w:hAnsiTheme="majorHAnsi"/>
        </w:rPr>
      </w:pPr>
      <w:r w:rsidRPr="00FB31CF">
        <w:rPr>
          <w:rFonts w:asciiTheme="majorHAnsi" w:hAnsiTheme="majorHAnsi"/>
          <w:b/>
        </w:rPr>
        <w:t xml:space="preserve">Congress </w:t>
      </w:r>
      <w:r w:rsidRPr="00FB31CF">
        <w:rPr>
          <w:rFonts w:asciiTheme="majorHAnsi" w:hAnsiTheme="majorHAnsi"/>
          <w:b/>
          <w:highlight w:val="yellow"/>
        </w:rPr>
        <w:t>could</w:t>
      </w:r>
      <w:r w:rsidRPr="00FB31CF">
        <w:rPr>
          <w:rFonts w:asciiTheme="majorHAnsi" w:hAnsiTheme="majorHAnsi"/>
          <w:b/>
        </w:rPr>
        <w:t xml:space="preserve"> address this through legislation, but</w:t>
      </w:r>
      <w:r w:rsidR="00FD06AE" w:rsidRPr="00FB31CF">
        <w:rPr>
          <w:rFonts w:asciiTheme="majorHAnsi" w:hAnsiTheme="majorHAnsi"/>
          <w:b/>
        </w:rPr>
        <w:t xml:space="preserve"> the </w:t>
      </w:r>
      <w:r w:rsidR="00880088" w:rsidRPr="00FB31CF">
        <w:rPr>
          <w:rFonts w:asciiTheme="majorHAnsi" w:hAnsiTheme="majorHAnsi"/>
          <w:b/>
        </w:rPr>
        <w:t>Workgroup</w:t>
      </w:r>
      <w:r w:rsidR="00FD06AE" w:rsidRPr="00FB31CF">
        <w:rPr>
          <w:rFonts w:asciiTheme="majorHAnsi" w:hAnsiTheme="majorHAnsi"/>
          <w:b/>
        </w:rPr>
        <w:t xml:space="preserve"> believes</w:t>
      </w:r>
      <w:r w:rsidRPr="00FB31CF">
        <w:rPr>
          <w:rFonts w:asciiTheme="majorHAnsi" w:hAnsiTheme="majorHAnsi"/>
          <w:b/>
        </w:rPr>
        <w:t xml:space="preserve"> such protections could </w:t>
      </w:r>
      <w:r w:rsidR="00342D92">
        <w:rPr>
          <w:rFonts w:asciiTheme="majorHAnsi" w:hAnsiTheme="majorHAnsi"/>
          <w:b/>
        </w:rPr>
        <w:t xml:space="preserve">better </w:t>
      </w:r>
      <w:r w:rsidRPr="00FB31CF">
        <w:rPr>
          <w:rFonts w:asciiTheme="majorHAnsi" w:hAnsiTheme="majorHAnsi"/>
          <w:b/>
        </w:rPr>
        <w:t>be achieved through voluntarily adopted codes of conduct,</w:t>
      </w:r>
      <w:r w:rsidRPr="00B53955">
        <w:rPr>
          <w:rFonts w:asciiTheme="majorHAnsi" w:hAnsiTheme="majorHAnsi"/>
          <w:b/>
        </w:rPr>
        <w:t xml:space="preserve"> which can be enforced under Section 5 of the FTC Act by the FTC for entities subject to their jurisdictio</w:t>
      </w:r>
      <w:r w:rsidRPr="004B74DC">
        <w:rPr>
          <w:rFonts w:asciiTheme="majorHAnsi" w:hAnsiTheme="majorHAnsi"/>
          <w:b/>
        </w:rPr>
        <w:t>n</w:t>
      </w:r>
      <w:r w:rsidR="004B74DC" w:rsidRPr="004B74DC">
        <w:rPr>
          <w:rFonts w:asciiTheme="majorHAnsi" w:hAnsiTheme="majorHAnsi"/>
          <w:b/>
        </w:rPr>
        <w:t>.</w:t>
      </w:r>
      <w:r w:rsidRPr="004B74DC">
        <w:rPr>
          <w:rFonts w:asciiTheme="majorHAnsi" w:hAnsiTheme="majorHAnsi"/>
        </w:rPr>
        <w:t xml:space="preserve"> </w:t>
      </w:r>
      <w:r w:rsidR="009C264D" w:rsidRPr="004B74DC">
        <w:rPr>
          <w:rFonts w:asciiTheme="majorHAnsi" w:hAnsiTheme="majorHAnsi"/>
        </w:rPr>
        <w:t xml:space="preserve"> </w:t>
      </w:r>
      <w:r w:rsidR="00BC71AF" w:rsidRPr="00260015">
        <w:rPr>
          <w:rFonts w:asciiTheme="majorHAnsi" w:hAnsiTheme="majorHAnsi"/>
          <w:b/>
        </w:rPr>
        <w:t>T</w:t>
      </w:r>
      <w:r w:rsidRPr="00260015">
        <w:rPr>
          <w:rFonts w:asciiTheme="majorHAnsi" w:hAnsiTheme="majorHAnsi"/>
          <w:b/>
        </w:rPr>
        <w:t>hose efforts should be encouraged</w:t>
      </w:r>
      <w:r w:rsidR="00961293" w:rsidRPr="00260015">
        <w:rPr>
          <w:rFonts w:asciiTheme="majorHAnsi" w:hAnsiTheme="majorHAnsi"/>
          <w:b/>
        </w:rPr>
        <w:t>,</w:t>
      </w:r>
      <w:r w:rsidRPr="00260015">
        <w:rPr>
          <w:rFonts w:asciiTheme="majorHAnsi" w:hAnsiTheme="majorHAnsi"/>
          <w:b/>
        </w:rPr>
        <w:t xml:space="preserve"> and HHS, FTC</w:t>
      </w:r>
      <w:r w:rsidR="00961293" w:rsidRPr="00260015">
        <w:rPr>
          <w:rFonts w:asciiTheme="majorHAnsi" w:hAnsiTheme="majorHAnsi"/>
          <w:b/>
        </w:rPr>
        <w:t>,</w:t>
      </w:r>
      <w:r w:rsidRPr="00260015">
        <w:rPr>
          <w:rFonts w:asciiTheme="majorHAnsi" w:hAnsiTheme="majorHAnsi"/>
          <w:b/>
        </w:rPr>
        <w:t xml:space="preserve"> and other relevant federal agencies </w:t>
      </w:r>
      <w:r w:rsidRPr="004B74DC">
        <w:rPr>
          <w:rFonts w:asciiTheme="majorHAnsi" w:hAnsiTheme="majorHAnsi"/>
          <w:b/>
          <w:highlight w:val="yellow"/>
        </w:rPr>
        <w:t>should</w:t>
      </w:r>
      <w:r w:rsidRPr="00260015">
        <w:rPr>
          <w:rFonts w:asciiTheme="majorHAnsi" w:hAnsiTheme="majorHAnsi"/>
          <w:b/>
        </w:rPr>
        <w:t xml:space="preserve"> offer to review and provide suggestions for such efforts in order to </w:t>
      </w:r>
      <w:r w:rsidR="00342D92">
        <w:rPr>
          <w:rFonts w:asciiTheme="majorHAnsi" w:hAnsiTheme="majorHAnsi"/>
          <w:b/>
        </w:rPr>
        <w:t xml:space="preserve">ensure enforceability and to </w:t>
      </w:r>
      <w:r w:rsidRPr="00260015">
        <w:rPr>
          <w:rFonts w:asciiTheme="majorHAnsi" w:hAnsiTheme="majorHAnsi"/>
          <w:b/>
        </w:rPr>
        <w:t>more quickly establish dependable “rules of the road” that help build trust in the use of health big data</w:t>
      </w:r>
      <w:r w:rsidR="005F2AF0">
        <w:rPr>
          <w:rFonts w:asciiTheme="majorHAnsi" w:hAnsiTheme="majorHAnsi"/>
        </w:rPr>
        <w:t xml:space="preserve">.  </w:t>
      </w:r>
      <w:r w:rsidR="00BC71AF">
        <w:rPr>
          <w:rFonts w:asciiTheme="majorHAnsi" w:hAnsiTheme="majorHAnsi"/>
        </w:rPr>
        <w:t xml:space="preserve">(Of note: </w:t>
      </w:r>
      <w:r w:rsidRPr="0016351D">
        <w:rPr>
          <w:rFonts w:asciiTheme="majorHAnsi" w:hAnsiTheme="majorHAnsi"/>
        </w:rPr>
        <w:t xml:space="preserve">the Health IT Policy Committee has already asked the Consumer </w:t>
      </w:r>
      <w:r w:rsidR="00BD7731">
        <w:rPr>
          <w:rFonts w:asciiTheme="majorHAnsi" w:hAnsiTheme="majorHAnsi"/>
        </w:rPr>
        <w:t xml:space="preserve">Empowerment </w:t>
      </w:r>
      <w:r w:rsidR="00880088">
        <w:rPr>
          <w:rFonts w:asciiTheme="majorHAnsi" w:hAnsiTheme="majorHAnsi"/>
        </w:rPr>
        <w:t>Workgroup</w:t>
      </w:r>
      <w:r w:rsidRPr="0016351D">
        <w:rPr>
          <w:rFonts w:asciiTheme="majorHAnsi" w:hAnsiTheme="majorHAnsi"/>
        </w:rPr>
        <w:t xml:space="preserve"> to consider an evaluation effort for consumer-facing health data tools like health mobile apps.)</w:t>
      </w:r>
      <w:r w:rsidRPr="0016351D">
        <w:rPr>
          <w:rStyle w:val="FootnoteReference"/>
          <w:rFonts w:asciiTheme="majorHAnsi" w:hAnsiTheme="majorHAnsi"/>
        </w:rPr>
        <w:footnoteReference w:id="53"/>
      </w:r>
      <w:r w:rsidRPr="0016351D">
        <w:rPr>
          <w:rFonts w:asciiTheme="majorHAnsi" w:hAnsiTheme="majorHAnsi"/>
        </w:rPr>
        <w:t xml:space="preserve"> </w:t>
      </w:r>
      <w:r w:rsidR="00342D92" w:rsidRPr="00342D92">
        <w:rPr>
          <w:rFonts w:asciiTheme="majorHAnsi" w:hAnsiTheme="majorHAnsi"/>
        </w:rPr>
        <w:t>. In order to credibly meet the requirements of both protecting sensitive personal information and enabling its appropriate use, Codes</w:t>
      </w:r>
      <w:r w:rsidR="00342D92">
        <w:rPr>
          <w:rFonts w:asciiTheme="majorHAnsi" w:hAnsiTheme="majorHAnsi"/>
        </w:rPr>
        <w:t>, at a minimum,</w:t>
      </w:r>
      <w:r w:rsidR="00342D92" w:rsidRPr="00342D92">
        <w:rPr>
          <w:rFonts w:asciiTheme="majorHAnsi" w:hAnsiTheme="majorHAnsi"/>
        </w:rPr>
        <w:t xml:space="preserve"> must include transparency, individual access, accountability, and use limitations.  </w:t>
      </w:r>
    </w:p>
    <w:p w14:paraId="311E095F" w14:textId="40E206B4" w:rsidR="00874242" w:rsidRPr="0016351D" w:rsidRDefault="005F2AF0" w:rsidP="00743490">
      <w:pPr>
        <w:rPr>
          <w:rFonts w:asciiTheme="majorHAnsi" w:hAnsiTheme="majorHAnsi"/>
        </w:rPr>
      </w:pPr>
      <w:r>
        <w:rPr>
          <w:rFonts w:asciiTheme="majorHAnsi" w:hAnsiTheme="majorHAnsi"/>
        </w:rPr>
        <w:t xml:space="preserve"> </w:t>
      </w:r>
      <w:r w:rsidR="00874242" w:rsidRPr="0016351D">
        <w:rPr>
          <w:rFonts w:asciiTheme="majorHAnsi" w:hAnsiTheme="majorHAnsi"/>
        </w:rPr>
        <w:t xml:space="preserve"> They could also reward/promote the use of privacy enhancing architectures for big data analytics, such as data enclaves</w:t>
      </w:r>
      <w:r>
        <w:rPr>
          <w:rFonts w:asciiTheme="majorHAnsi" w:hAnsiTheme="majorHAnsi"/>
        </w:rPr>
        <w:t xml:space="preserve">.  </w:t>
      </w:r>
      <w:r w:rsidR="002C2C94" w:rsidRPr="0016351D">
        <w:rPr>
          <w:rFonts w:asciiTheme="majorHAnsi" w:hAnsiTheme="majorHAnsi"/>
        </w:rPr>
        <w:t>A data enclave is a controlled, secure environment in which eligible researchers can perform analyses using restricted data resources.</w:t>
      </w:r>
      <w:r w:rsidR="002C2C94" w:rsidRPr="0016351D">
        <w:rPr>
          <w:rStyle w:val="FootnoteReference"/>
          <w:rFonts w:asciiTheme="majorHAnsi" w:hAnsiTheme="majorHAnsi"/>
        </w:rPr>
        <w:footnoteReference w:id="54"/>
      </w:r>
      <w:r w:rsidR="002C2C94" w:rsidRPr="0016351D">
        <w:rPr>
          <w:rFonts w:asciiTheme="majorHAnsi" w:hAnsiTheme="majorHAnsi"/>
        </w:rPr>
        <w:t xml:space="preserve"> </w:t>
      </w:r>
      <w:r w:rsidR="00342D92">
        <w:rPr>
          <w:rFonts w:asciiTheme="majorHAnsi" w:hAnsiTheme="majorHAnsi"/>
        </w:rPr>
        <w:t>Finally, the inclusion of accountability or risk review mechanisms such as through community or risk review boards should be considered.</w:t>
      </w:r>
      <w:r w:rsidR="00950A77">
        <w:rPr>
          <w:rStyle w:val="FootnoteReference"/>
          <w:rFonts w:asciiTheme="majorHAnsi" w:hAnsiTheme="majorHAnsi"/>
        </w:rPr>
        <w:footnoteReference w:id="55"/>
      </w:r>
    </w:p>
    <w:p w14:paraId="685A4EC3" w14:textId="77777777" w:rsidR="00743490" w:rsidRPr="0016351D" w:rsidRDefault="00743490" w:rsidP="00743490">
      <w:pPr>
        <w:rPr>
          <w:rFonts w:asciiTheme="majorHAnsi" w:hAnsiTheme="majorHAnsi"/>
        </w:rPr>
      </w:pPr>
    </w:p>
    <w:p w14:paraId="5068B25E" w14:textId="0820EB89" w:rsidR="00874242" w:rsidRPr="0016351D" w:rsidRDefault="001C0DBB" w:rsidP="00743490">
      <w:pPr>
        <w:rPr>
          <w:rFonts w:asciiTheme="majorHAnsi" w:hAnsiTheme="majorHAnsi"/>
        </w:rPr>
      </w:pPr>
      <w:r w:rsidRPr="00260015">
        <w:rPr>
          <w:rFonts w:asciiTheme="majorHAnsi" w:hAnsiTheme="majorHAnsi"/>
          <w:b/>
        </w:rPr>
        <w:t xml:space="preserve">Policymakers also should </w:t>
      </w:r>
      <w:r w:rsidR="00874242" w:rsidRPr="00260015">
        <w:rPr>
          <w:rFonts w:asciiTheme="majorHAnsi" w:hAnsiTheme="majorHAnsi"/>
          <w:b/>
        </w:rPr>
        <w:t xml:space="preserve">evaluate existing </w:t>
      </w:r>
      <w:r w:rsidR="00EB48DC" w:rsidRPr="00260015">
        <w:rPr>
          <w:rFonts w:asciiTheme="majorHAnsi" w:hAnsiTheme="majorHAnsi"/>
          <w:b/>
        </w:rPr>
        <w:t>laws, regulations, and policies (</w:t>
      </w:r>
      <w:r w:rsidR="00874242" w:rsidRPr="00260015">
        <w:rPr>
          <w:rFonts w:asciiTheme="majorHAnsi" w:hAnsiTheme="majorHAnsi"/>
          <w:b/>
        </w:rPr>
        <w:t>rules</w:t>
      </w:r>
      <w:r w:rsidR="00EB48DC" w:rsidRPr="00260015">
        <w:rPr>
          <w:rFonts w:asciiTheme="majorHAnsi" w:hAnsiTheme="majorHAnsi"/>
          <w:b/>
        </w:rPr>
        <w:t>)</w:t>
      </w:r>
      <w:r w:rsidR="00874242" w:rsidRPr="00260015">
        <w:rPr>
          <w:rFonts w:asciiTheme="majorHAnsi" w:hAnsiTheme="majorHAnsi"/>
          <w:b/>
        </w:rPr>
        <w:t xml:space="preserve"> governing uses of data that could contribute to a </w:t>
      </w:r>
      <w:r w:rsidR="00FD06AE" w:rsidRPr="00260015">
        <w:rPr>
          <w:rFonts w:asciiTheme="majorHAnsi" w:hAnsiTheme="majorHAnsi"/>
          <w:b/>
        </w:rPr>
        <w:t>LHS</w:t>
      </w:r>
      <w:r w:rsidR="00874242" w:rsidRPr="00260015">
        <w:rPr>
          <w:rFonts w:asciiTheme="majorHAnsi" w:hAnsiTheme="majorHAnsi"/>
          <w:b/>
        </w:rPr>
        <w:t xml:space="preserve"> to assure those rules promote the responsible re-use of data to contribute to generalizable knowledge</w:t>
      </w:r>
      <w:r w:rsidR="00996DD1">
        <w:rPr>
          <w:rFonts w:asciiTheme="majorHAnsi" w:hAnsiTheme="majorHAnsi"/>
        </w:rPr>
        <w:t xml:space="preserve">.  </w:t>
      </w:r>
      <w:r w:rsidR="00874242" w:rsidRPr="0016351D">
        <w:rPr>
          <w:rFonts w:asciiTheme="majorHAnsi" w:hAnsiTheme="majorHAnsi"/>
        </w:rPr>
        <w:t xml:space="preserve">The </w:t>
      </w:r>
      <w:r w:rsidR="00FD06AE">
        <w:rPr>
          <w:rFonts w:asciiTheme="majorHAnsi" w:hAnsiTheme="majorHAnsi"/>
        </w:rPr>
        <w:t xml:space="preserve">HITPC </w:t>
      </w:r>
      <w:r w:rsidR="00874242" w:rsidRPr="0016351D">
        <w:rPr>
          <w:rFonts w:asciiTheme="majorHAnsi" w:hAnsiTheme="majorHAnsi"/>
        </w:rPr>
        <w:t xml:space="preserve">had previously recommended treating certain research uses of data conducted under the management and </w:t>
      </w:r>
      <w:r w:rsidR="00874242" w:rsidRPr="0016351D">
        <w:rPr>
          <w:rFonts w:asciiTheme="majorHAnsi" w:hAnsiTheme="majorHAnsi"/>
        </w:rPr>
        <w:lastRenderedPageBreak/>
        <w:t xml:space="preserve">control of a HIPAA covered entity as operations (not requiring consent or IRB review), and </w:t>
      </w:r>
      <w:r w:rsidR="005508E5">
        <w:rPr>
          <w:rFonts w:asciiTheme="majorHAnsi" w:hAnsiTheme="majorHAnsi"/>
        </w:rPr>
        <w:t xml:space="preserve">the </w:t>
      </w:r>
      <w:r w:rsidR="00FD06AE">
        <w:rPr>
          <w:rFonts w:asciiTheme="majorHAnsi" w:hAnsiTheme="majorHAnsi"/>
        </w:rPr>
        <w:t xml:space="preserve">PSWG </w:t>
      </w:r>
      <w:r w:rsidR="00874242" w:rsidRPr="0016351D">
        <w:rPr>
          <w:rFonts w:asciiTheme="majorHAnsi" w:hAnsiTheme="majorHAnsi"/>
        </w:rPr>
        <w:t>reiterate</w:t>
      </w:r>
      <w:r w:rsidR="005508E5">
        <w:rPr>
          <w:rFonts w:asciiTheme="majorHAnsi" w:hAnsiTheme="majorHAnsi"/>
        </w:rPr>
        <w:t xml:space="preserve">s </w:t>
      </w:r>
      <w:r w:rsidR="00874242" w:rsidRPr="0016351D">
        <w:rPr>
          <w:rFonts w:asciiTheme="majorHAnsi" w:hAnsiTheme="majorHAnsi"/>
        </w:rPr>
        <w:t>that recommendation.</w:t>
      </w:r>
      <w:r w:rsidR="00363E6E">
        <w:rPr>
          <w:rStyle w:val="FootnoteReference"/>
          <w:rFonts w:asciiTheme="majorHAnsi" w:hAnsiTheme="majorHAnsi"/>
        </w:rPr>
        <w:footnoteReference w:id="56"/>
      </w:r>
      <w:r w:rsidR="00FD06AE">
        <w:rPr>
          <w:rFonts w:asciiTheme="majorHAnsi" w:hAnsiTheme="majorHAnsi"/>
        </w:rPr>
        <w:t xml:space="preserve"> </w:t>
      </w:r>
      <w:r w:rsidR="009C264D">
        <w:rPr>
          <w:rFonts w:asciiTheme="majorHAnsi" w:hAnsiTheme="majorHAnsi"/>
        </w:rPr>
        <w:t xml:space="preserve"> </w:t>
      </w:r>
      <w:r w:rsidR="00874242" w:rsidRPr="00260015">
        <w:rPr>
          <w:rFonts w:asciiTheme="majorHAnsi" w:hAnsiTheme="majorHAnsi"/>
          <w:b/>
        </w:rPr>
        <w:t xml:space="preserve">Policymakers also </w:t>
      </w:r>
      <w:r w:rsidR="00874242" w:rsidRPr="00260015">
        <w:rPr>
          <w:rFonts w:asciiTheme="majorHAnsi" w:hAnsiTheme="majorHAnsi"/>
          <w:b/>
          <w:highlight w:val="yellow"/>
        </w:rPr>
        <w:t xml:space="preserve">should </w:t>
      </w:r>
      <w:r w:rsidR="00874242" w:rsidRPr="00260015">
        <w:rPr>
          <w:rFonts w:asciiTheme="majorHAnsi" w:hAnsiTheme="majorHAnsi"/>
          <w:b/>
        </w:rPr>
        <w:t>modify rules around research uses of data so that they provide incentives for entities to use more privacy protecting architectures</w:t>
      </w:r>
      <w:r w:rsidR="00874242" w:rsidRPr="00260015">
        <w:rPr>
          <w:rFonts w:asciiTheme="majorHAnsi" w:hAnsiTheme="majorHAnsi"/>
          <w:u w:val="single"/>
        </w:rPr>
        <w:t xml:space="preserve"> </w:t>
      </w:r>
      <w:r w:rsidR="00874242" w:rsidRPr="0016351D">
        <w:rPr>
          <w:rFonts w:asciiTheme="majorHAnsi" w:hAnsiTheme="majorHAnsi"/>
        </w:rPr>
        <w:t>(for example, entities using secure data enclaves for research would not need to undertake as significant a level of de-identification)</w:t>
      </w:r>
      <w:r w:rsidR="005F2AF0">
        <w:rPr>
          <w:rFonts w:asciiTheme="majorHAnsi" w:hAnsiTheme="majorHAnsi"/>
        </w:rPr>
        <w:t xml:space="preserve">.  </w:t>
      </w:r>
      <w:r w:rsidR="00874242" w:rsidRPr="0016351D">
        <w:rPr>
          <w:rFonts w:asciiTheme="majorHAnsi" w:hAnsiTheme="majorHAnsi"/>
        </w:rPr>
        <w:t xml:space="preserve">  </w:t>
      </w:r>
    </w:p>
    <w:p w14:paraId="5B8FA30D" w14:textId="77777777" w:rsidR="00AC04B0" w:rsidRPr="0016351D" w:rsidRDefault="00AC04B0" w:rsidP="00743490">
      <w:pPr>
        <w:rPr>
          <w:rFonts w:asciiTheme="majorHAnsi" w:hAnsiTheme="majorHAnsi"/>
        </w:rPr>
      </w:pPr>
    </w:p>
    <w:p w14:paraId="324F4A4A" w14:textId="6B4BD01A" w:rsidR="00961293" w:rsidRPr="00260015" w:rsidRDefault="00961293" w:rsidP="00961293">
      <w:pPr>
        <w:rPr>
          <w:rFonts w:asciiTheme="majorHAnsi" w:hAnsiTheme="majorHAnsi"/>
          <w:u w:val="single"/>
        </w:rPr>
      </w:pPr>
      <w:r>
        <w:rPr>
          <w:rFonts w:asciiTheme="majorHAnsi" w:hAnsiTheme="majorHAnsi"/>
        </w:rPr>
        <w:t xml:space="preserve">Individuals should have strong access rights to their health information, sufficient to enable </w:t>
      </w:r>
      <w:r w:rsidRPr="00561B66">
        <w:rPr>
          <w:rFonts w:asciiTheme="majorHAnsi" w:hAnsiTheme="majorHAnsi"/>
        </w:rPr>
        <w:t>individuals</w:t>
      </w:r>
      <w:r>
        <w:rPr>
          <w:rFonts w:asciiTheme="majorHAnsi" w:hAnsiTheme="majorHAnsi"/>
        </w:rPr>
        <w:t xml:space="preserve"> to</w:t>
      </w:r>
      <w:r w:rsidRPr="00561B66">
        <w:rPr>
          <w:rFonts w:asciiTheme="majorHAnsi" w:hAnsiTheme="majorHAnsi"/>
        </w:rPr>
        <w:t xml:space="preserve"> access, download, and transmit their health information as easily as they can access their financial information, for their own use or to facilitate research into </w:t>
      </w:r>
      <w:r w:rsidR="00EB48DC">
        <w:rPr>
          <w:rFonts w:asciiTheme="majorHAnsi" w:hAnsiTheme="majorHAnsi"/>
        </w:rPr>
        <w:t>conditions/</w:t>
      </w:r>
      <w:r w:rsidRPr="00561B66">
        <w:rPr>
          <w:rFonts w:asciiTheme="majorHAnsi" w:hAnsiTheme="majorHAnsi"/>
        </w:rPr>
        <w:t>diseases that impact them or in any area of learning that they seek to support</w:t>
      </w:r>
      <w:r w:rsidR="009C264D">
        <w:rPr>
          <w:rFonts w:asciiTheme="majorHAnsi" w:hAnsiTheme="majorHAnsi"/>
        </w:rPr>
        <w:t xml:space="preserve">.  </w:t>
      </w:r>
      <w:r>
        <w:rPr>
          <w:rFonts w:asciiTheme="majorHAnsi" w:hAnsiTheme="majorHAnsi"/>
        </w:rPr>
        <w:t xml:space="preserve">This will require </w:t>
      </w:r>
      <w:r w:rsidRPr="00260015">
        <w:rPr>
          <w:rFonts w:asciiTheme="majorHAnsi" w:hAnsiTheme="majorHAnsi"/>
          <w:b/>
        </w:rPr>
        <w:t>creating a “right of access” in entities not covered by HIPAA as part of the voluntary codes of conduct referred to earlier; it also will require strengthening HIPAA over time to bring it into the digital age</w:t>
      </w:r>
      <w:r w:rsidRPr="00483A98">
        <w:rPr>
          <w:rFonts w:asciiTheme="majorHAnsi" w:hAnsiTheme="majorHAnsi"/>
        </w:rPr>
        <w:t>.</w:t>
      </w:r>
    </w:p>
    <w:p w14:paraId="26E1CE14" w14:textId="77777777" w:rsidR="00874242" w:rsidRPr="0016351D" w:rsidRDefault="00874242" w:rsidP="00743490">
      <w:pPr>
        <w:rPr>
          <w:rFonts w:asciiTheme="majorHAnsi" w:hAnsiTheme="majorHAnsi"/>
        </w:rPr>
      </w:pPr>
    </w:p>
    <w:p w14:paraId="3FAB9CE6" w14:textId="696B143D" w:rsidR="00874242" w:rsidRPr="0016351D" w:rsidRDefault="00874242" w:rsidP="00743490">
      <w:pPr>
        <w:rPr>
          <w:rFonts w:asciiTheme="majorHAnsi" w:hAnsiTheme="majorHAnsi"/>
        </w:rPr>
      </w:pPr>
      <w:r w:rsidRPr="0016351D">
        <w:rPr>
          <w:rFonts w:asciiTheme="majorHAnsi" w:hAnsiTheme="majorHAnsi"/>
        </w:rPr>
        <w:t xml:space="preserve">In the meantime, </w:t>
      </w:r>
      <w:r w:rsidRPr="00260015">
        <w:rPr>
          <w:rFonts w:asciiTheme="majorHAnsi" w:hAnsiTheme="majorHAnsi"/>
          <w:b/>
        </w:rPr>
        <w:t xml:space="preserve">education of </w:t>
      </w:r>
      <w:r w:rsidR="00EB48DC" w:rsidRPr="00260015">
        <w:rPr>
          <w:rFonts w:asciiTheme="majorHAnsi" w:hAnsiTheme="majorHAnsi"/>
          <w:b/>
        </w:rPr>
        <w:t>individuals</w:t>
      </w:r>
      <w:r w:rsidRPr="00260015">
        <w:rPr>
          <w:rFonts w:asciiTheme="majorHAnsi" w:hAnsiTheme="majorHAnsi"/>
          <w:b/>
        </w:rPr>
        <w:t xml:space="preserve">, health care providers, technology vendors and other stakeholders about the limits of legal protections, and about best practices to protect the privacy, confidentiality and security of health information </w:t>
      </w:r>
      <w:r w:rsidRPr="00B53955">
        <w:rPr>
          <w:rFonts w:asciiTheme="majorHAnsi" w:hAnsiTheme="majorHAnsi"/>
          <w:b/>
        </w:rPr>
        <w:t>is critical</w:t>
      </w:r>
      <w:r w:rsidRPr="0016351D">
        <w:rPr>
          <w:rFonts w:asciiTheme="majorHAnsi" w:hAnsiTheme="majorHAnsi"/>
        </w:rPr>
        <w:t>, particularly given the patchwork of regulation and the lack of comprehensively adopted, robust codes of conduct</w:t>
      </w:r>
      <w:r w:rsidR="009C264D">
        <w:rPr>
          <w:rFonts w:asciiTheme="majorHAnsi" w:hAnsiTheme="majorHAnsi"/>
        </w:rPr>
        <w:t xml:space="preserve">.  </w:t>
      </w:r>
      <w:r w:rsidRPr="0016351D">
        <w:rPr>
          <w:rFonts w:asciiTheme="majorHAnsi" w:hAnsiTheme="majorHAnsi"/>
        </w:rPr>
        <w:t xml:space="preserve">The Health IT Policy Committee recently endorsed recommendations from this </w:t>
      </w:r>
      <w:r w:rsidR="00880088">
        <w:rPr>
          <w:rFonts w:asciiTheme="majorHAnsi" w:hAnsiTheme="majorHAnsi"/>
        </w:rPr>
        <w:t>Workgroup</w:t>
      </w:r>
      <w:r w:rsidRPr="0016351D">
        <w:rPr>
          <w:rFonts w:asciiTheme="majorHAnsi" w:hAnsiTheme="majorHAnsi"/>
        </w:rPr>
        <w:t xml:space="preserve"> with respect to providing guidance and educating stakeholders on these topics; we reinforce those recommendations again.</w:t>
      </w:r>
      <w:r w:rsidRPr="0016351D">
        <w:rPr>
          <w:rStyle w:val="FootnoteReference"/>
          <w:rFonts w:asciiTheme="majorHAnsi" w:hAnsiTheme="majorHAnsi"/>
        </w:rPr>
        <w:footnoteReference w:id="57"/>
      </w:r>
      <w:r w:rsidRPr="0016351D">
        <w:rPr>
          <w:rFonts w:asciiTheme="majorHAnsi" w:hAnsiTheme="majorHAnsi"/>
        </w:rPr>
        <w:t xml:space="preserve"> </w:t>
      </w:r>
    </w:p>
    <w:p w14:paraId="35AEEFE8" w14:textId="57F49ADD" w:rsidR="00874242" w:rsidRPr="0016351D" w:rsidRDefault="00874242" w:rsidP="00AC04B0">
      <w:pPr>
        <w:pStyle w:val="Heading2"/>
      </w:pPr>
      <w:bookmarkStart w:id="28" w:name="_Toc425145081"/>
      <w:r w:rsidRPr="0016351D">
        <w:t>Protect Health Inform</w:t>
      </w:r>
      <w:r w:rsidR="005A4DA5">
        <w:t>ation by Improving Trust in De-I</w:t>
      </w:r>
      <w:r w:rsidRPr="0016351D">
        <w:t>dentification Methodologi</w:t>
      </w:r>
      <w:r w:rsidR="005A4DA5">
        <w:t>es and Reducing the Risk of Re-I</w:t>
      </w:r>
      <w:r w:rsidRPr="0016351D">
        <w:t>dentification</w:t>
      </w:r>
      <w:bookmarkEnd w:id="28"/>
      <w:r w:rsidRPr="0016351D">
        <w:t xml:space="preserve"> </w:t>
      </w:r>
    </w:p>
    <w:p w14:paraId="133674A5" w14:textId="292F7026" w:rsidR="004A46C3" w:rsidRPr="00561B66" w:rsidRDefault="004A46C3" w:rsidP="004A46C3">
      <w:pPr>
        <w:rPr>
          <w:rFonts w:asciiTheme="majorHAnsi" w:hAnsiTheme="majorHAnsi"/>
        </w:rPr>
      </w:pPr>
      <w:r w:rsidRPr="00260015">
        <w:rPr>
          <w:rFonts w:asciiTheme="majorHAnsi" w:hAnsiTheme="majorHAnsi"/>
          <w:b/>
        </w:rPr>
        <w:t xml:space="preserve">OCR </w:t>
      </w:r>
      <w:r w:rsidR="00CB5C06" w:rsidRPr="004B74DC">
        <w:rPr>
          <w:rFonts w:asciiTheme="majorHAnsi" w:hAnsiTheme="majorHAnsi"/>
          <w:b/>
          <w:highlight w:val="yellow"/>
        </w:rPr>
        <w:t>should</w:t>
      </w:r>
      <w:r w:rsidR="00CB5C06" w:rsidRPr="00260015">
        <w:rPr>
          <w:rFonts w:asciiTheme="majorHAnsi" w:hAnsiTheme="majorHAnsi"/>
          <w:b/>
        </w:rPr>
        <w:t xml:space="preserve"> </w:t>
      </w:r>
      <w:r w:rsidRPr="00260015">
        <w:rPr>
          <w:rFonts w:asciiTheme="majorHAnsi" w:hAnsiTheme="majorHAnsi"/>
          <w:b/>
        </w:rPr>
        <w:t>be a more active “steward” of HIPAA de-identification standards and conduct ongoing review of the methodologies to determine robustness and recommend updates to the methodologies and policies</w:t>
      </w:r>
      <w:r w:rsidR="005F2AF0">
        <w:rPr>
          <w:rFonts w:asciiTheme="majorHAnsi" w:hAnsiTheme="majorHAnsi"/>
          <w:b/>
        </w:rPr>
        <w:t xml:space="preserve">.  </w:t>
      </w:r>
      <w:r w:rsidRPr="00260015">
        <w:rPr>
          <w:rFonts w:asciiTheme="majorHAnsi" w:hAnsiTheme="majorHAnsi"/>
          <w:b/>
        </w:rPr>
        <w:t>The analysis could be performed by an outside expert, such as NIST, but would be vetted and ultimately endorsed by OCR.</w:t>
      </w:r>
      <w:r w:rsidRPr="00561B66">
        <w:rPr>
          <w:rFonts w:asciiTheme="majorHAnsi" w:hAnsiTheme="majorHAnsi"/>
        </w:rPr>
        <w:t xml:space="preserve"> </w:t>
      </w:r>
      <w:r w:rsidR="00DD273B">
        <w:rPr>
          <w:rFonts w:asciiTheme="majorHAnsi" w:hAnsiTheme="majorHAnsi"/>
        </w:rPr>
        <w:t xml:space="preserve"> </w:t>
      </w:r>
      <w:r>
        <w:rPr>
          <w:rFonts w:asciiTheme="majorHAnsi" w:hAnsiTheme="majorHAnsi"/>
        </w:rPr>
        <w:t xml:space="preserve">In particular, the </w:t>
      </w:r>
      <w:r w:rsidR="00880088">
        <w:rPr>
          <w:rFonts w:asciiTheme="majorHAnsi" w:hAnsiTheme="majorHAnsi"/>
        </w:rPr>
        <w:t>Workgroup</w:t>
      </w:r>
      <w:r>
        <w:rPr>
          <w:rFonts w:asciiTheme="majorHAnsi" w:hAnsiTheme="majorHAnsi"/>
        </w:rPr>
        <w:t xml:space="preserve"> recommends the development of initiatives or programs to objectively evaluate statistical methodologies to vet their capacity for reducing the risk of re-identification to “very low” in particular contexts</w:t>
      </w:r>
      <w:r w:rsidR="005F2AF0">
        <w:rPr>
          <w:rFonts w:asciiTheme="majorHAnsi" w:hAnsiTheme="majorHAnsi"/>
        </w:rPr>
        <w:t xml:space="preserve">.  </w:t>
      </w:r>
      <w:r w:rsidRPr="00260015">
        <w:rPr>
          <w:rFonts w:asciiTheme="majorHAnsi" w:hAnsiTheme="majorHAnsi"/>
          <w:b/>
        </w:rPr>
        <w:t xml:space="preserve">OCR </w:t>
      </w:r>
      <w:r w:rsidR="00CB5C06" w:rsidRPr="004B74DC">
        <w:rPr>
          <w:rFonts w:asciiTheme="majorHAnsi" w:hAnsiTheme="majorHAnsi"/>
          <w:b/>
          <w:highlight w:val="yellow"/>
        </w:rPr>
        <w:t>should also</w:t>
      </w:r>
      <w:r w:rsidR="00CB5C06" w:rsidRPr="00260015">
        <w:rPr>
          <w:rFonts w:asciiTheme="majorHAnsi" w:hAnsiTheme="majorHAnsi"/>
          <w:b/>
        </w:rPr>
        <w:t xml:space="preserve"> </w:t>
      </w:r>
      <w:r w:rsidRPr="00260015">
        <w:rPr>
          <w:rFonts w:asciiTheme="majorHAnsi" w:hAnsiTheme="majorHAnsi"/>
          <w:b/>
        </w:rPr>
        <w:t>grant safe harbor status to those methodologies that are proven to be effective at de-identification in certain contexts, in order to encourage the use of proven methodologies</w:t>
      </w:r>
      <w:r w:rsidR="005F2AF0">
        <w:rPr>
          <w:rFonts w:asciiTheme="majorHAnsi" w:hAnsiTheme="majorHAnsi"/>
        </w:rPr>
        <w:t>.</w:t>
      </w:r>
      <w:r w:rsidR="005B509F">
        <w:rPr>
          <w:rStyle w:val="FootnoteReference"/>
          <w:rFonts w:asciiTheme="majorHAnsi" w:hAnsiTheme="majorHAnsi"/>
        </w:rPr>
        <w:footnoteReference w:id="58"/>
      </w:r>
      <w:r w:rsidR="005F2AF0">
        <w:rPr>
          <w:rFonts w:asciiTheme="majorHAnsi" w:hAnsiTheme="majorHAnsi"/>
        </w:rPr>
        <w:t xml:space="preserve">  </w:t>
      </w:r>
      <w:r>
        <w:rPr>
          <w:rFonts w:asciiTheme="majorHAnsi" w:hAnsiTheme="majorHAnsi"/>
        </w:rPr>
        <w:t xml:space="preserve"> </w:t>
      </w:r>
    </w:p>
    <w:p w14:paraId="2929A6C4" w14:textId="393EC51E" w:rsidR="00E27F1B" w:rsidRDefault="004A46C3" w:rsidP="00E27F1B">
      <w:pPr>
        <w:rPr>
          <w:rFonts w:asciiTheme="majorHAnsi" w:hAnsiTheme="majorHAnsi"/>
        </w:rPr>
      </w:pPr>
      <w:r w:rsidRPr="00260015">
        <w:rPr>
          <w:rFonts w:asciiTheme="majorHAnsi" w:hAnsiTheme="majorHAnsi"/>
          <w:b/>
        </w:rPr>
        <w:t xml:space="preserve">Finally, </w:t>
      </w:r>
      <w:r w:rsidRPr="004B74DC">
        <w:rPr>
          <w:rFonts w:asciiTheme="majorHAnsi" w:hAnsiTheme="majorHAnsi"/>
          <w:b/>
        </w:rPr>
        <w:t xml:space="preserve">OCR </w:t>
      </w:r>
      <w:r w:rsidR="00EC07E4" w:rsidRPr="004B74DC">
        <w:rPr>
          <w:rFonts w:asciiTheme="majorHAnsi" w:hAnsiTheme="majorHAnsi"/>
          <w:b/>
          <w:highlight w:val="yellow"/>
        </w:rPr>
        <w:t>should</w:t>
      </w:r>
      <w:r w:rsidRPr="00260015">
        <w:rPr>
          <w:rFonts w:asciiTheme="majorHAnsi" w:hAnsiTheme="majorHAnsi"/>
          <w:b/>
        </w:rPr>
        <w:t xml:space="preserve"> establish risk-based de-identification requirements in circumstances where re-identification risk has been lowered</w:t>
      </w:r>
      <w:r>
        <w:rPr>
          <w:rFonts w:asciiTheme="majorHAnsi" w:hAnsiTheme="majorHAnsi"/>
        </w:rPr>
        <w:t xml:space="preserve"> (through mechanisms other than just treatment </w:t>
      </w:r>
      <w:r>
        <w:rPr>
          <w:rFonts w:asciiTheme="majorHAnsi" w:hAnsiTheme="majorHAnsi"/>
        </w:rPr>
        <w:lastRenderedPageBreak/>
        <w:t xml:space="preserve">of the data), such as </w:t>
      </w:r>
      <w:r w:rsidRPr="00561B66">
        <w:rPr>
          <w:rFonts w:asciiTheme="majorHAnsi" w:hAnsiTheme="majorHAnsi"/>
        </w:rPr>
        <w:t>when</w:t>
      </w:r>
      <w:r>
        <w:rPr>
          <w:rFonts w:asciiTheme="majorHAnsi" w:hAnsiTheme="majorHAnsi"/>
        </w:rPr>
        <w:t xml:space="preserve"> access to data is limited through the use of secure data enclaves or </w:t>
      </w:r>
      <w:r w:rsidR="00CB0D6C">
        <w:rPr>
          <w:rFonts w:asciiTheme="majorHAnsi" w:hAnsiTheme="majorHAnsi"/>
        </w:rPr>
        <w:t>“</w:t>
      </w:r>
      <w:r>
        <w:rPr>
          <w:rFonts w:asciiTheme="majorHAnsi" w:hAnsiTheme="majorHAnsi"/>
        </w:rPr>
        <w:t>data havens,</w:t>
      </w:r>
      <w:r w:rsidR="00CB0D6C">
        <w:rPr>
          <w:rFonts w:asciiTheme="majorHAnsi" w:hAnsiTheme="majorHAnsi"/>
        </w:rPr>
        <w:t>”</w:t>
      </w:r>
      <w:r>
        <w:rPr>
          <w:rFonts w:asciiTheme="majorHAnsi" w:hAnsiTheme="majorHAnsi"/>
        </w:rPr>
        <w:t xml:space="preserve"> where those accessing or holding the data have low-to-no motivation for re-identifying and are prohibited from doing so in an environment where there are strong measures of accountability</w:t>
      </w:r>
      <w:r w:rsidR="005F2AF0">
        <w:rPr>
          <w:rFonts w:asciiTheme="majorHAnsi" w:hAnsiTheme="majorHAnsi"/>
        </w:rPr>
        <w:t xml:space="preserve">.  </w:t>
      </w:r>
    </w:p>
    <w:p w14:paraId="2EADBB4F" w14:textId="77777777" w:rsidR="004A46C3" w:rsidRPr="00561B66" w:rsidRDefault="004A46C3" w:rsidP="004A46C3">
      <w:pPr>
        <w:rPr>
          <w:rFonts w:asciiTheme="majorHAnsi" w:hAnsiTheme="majorHAnsi"/>
        </w:rPr>
      </w:pPr>
    </w:p>
    <w:p w14:paraId="59F78B88" w14:textId="2E876536" w:rsidR="00874242" w:rsidRPr="0016351D" w:rsidRDefault="004A46C3" w:rsidP="00AC04B0">
      <w:pPr>
        <w:rPr>
          <w:rFonts w:asciiTheme="majorHAnsi" w:hAnsiTheme="majorHAnsi"/>
        </w:rPr>
      </w:pPr>
      <w:r w:rsidRPr="00561B66">
        <w:rPr>
          <w:rFonts w:asciiTheme="majorHAnsi" w:hAnsiTheme="majorHAnsi"/>
        </w:rPr>
        <w:t xml:space="preserve">Establishing accountability for re-identification or negligent de-identification also was of interest to the </w:t>
      </w:r>
      <w:r w:rsidR="00880088">
        <w:rPr>
          <w:rFonts w:asciiTheme="majorHAnsi" w:hAnsiTheme="majorHAnsi"/>
        </w:rPr>
        <w:t>Workgroup</w:t>
      </w:r>
      <w:r w:rsidR="009C264D">
        <w:rPr>
          <w:rFonts w:asciiTheme="majorHAnsi" w:hAnsiTheme="majorHAnsi"/>
        </w:rPr>
        <w:t>.</w:t>
      </w:r>
      <w:r w:rsidR="005F2AF0">
        <w:rPr>
          <w:rFonts w:asciiTheme="majorHAnsi" w:hAnsiTheme="majorHAnsi"/>
        </w:rPr>
        <w:t xml:space="preserve"> </w:t>
      </w:r>
      <w:r w:rsidRPr="00561B66">
        <w:rPr>
          <w:rFonts w:asciiTheme="majorHAnsi" w:hAnsiTheme="majorHAnsi"/>
        </w:rPr>
        <w:t xml:space="preserve"> This is another issue that Congress could address</w:t>
      </w:r>
      <w:r w:rsidR="0084280B">
        <w:rPr>
          <w:rFonts w:asciiTheme="majorHAnsi" w:hAnsiTheme="majorHAnsi"/>
        </w:rPr>
        <w:t xml:space="preserve">; </w:t>
      </w:r>
      <w:r w:rsidR="00472D8A">
        <w:rPr>
          <w:rFonts w:asciiTheme="majorHAnsi" w:hAnsiTheme="majorHAnsi"/>
        </w:rPr>
        <w:t xml:space="preserve">however, the </w:t>
      </w:r>
      <w:r w:rsidR="00880088">
        <w:rPr>
          <w:rFonts w:asciiTheme="majorHAnsi" w:hAnsiTheme="majorHAnsi"/>
        </w:rPr>
        <w:t>Workgroup</w:t>
      </w:r>
      <w:r w:rsidR="00472D8A">
        <w:rPr>
          <w:rFonts w:asciiTheme="majorHAnsi" w:hAnsiTheme="majorHAnsi"/>
        </w:rPr>
        <w:t xml:space="preserve"> does</w:t>
      </w:r>
      <w:r w:rsidRPr="00561B66">
        <w:rPr>
          <w:rFonts w:asciiTheme="majorHAnsi" w:hAnsiTheme="majorHAnsi"/>
        </w:rPr>
        <w:t xml:space="preserve"> not believe specifically asking Congress to address this </w:t>
      </w:r>
      <w:r w:rsidR="00472D8A">
        <w:rPr>
          <w:rFonts w:asciiTheme="majorHAnsi" w:hAnsiTheme="majorHAnsi"/>
        </w:rPr>
        <w:t>is</w:t>
      </w:r>
      <w:r w:rsidRPr="00561B66">
        <w:rPr>
          <w:rFonts w:asciiTheme="majorHAnsi" w:hAnsiTheme="majorHAnsi"/>
        </w:rPr>
        <w:t xml:space="preserve"> advisable</w:t>
      </w:r>
      <w:r w:rsidR="00A86C42">
        <w:rPr>
          <w:rFonts w:asciiTheme="majorHAnsi" w:hAnsiTheme="majorHAnsi"/>
        </w:rPr>
        <w:t xml:space="preserve"> </w:t>
      </w:r>
      <w:r w:rsidR="00A86C42" w:rsidRPr="00561B66">
        <w:rPr>
          <w:rFonts w:asciiTheme="majorHAnsi" w:hAnsiTheme="majorHAnsi"/>
        </w:rPr>
        <w:t>at this time</w:t>
      </w:r>
      <w:r w:rsidRPr="00561B66">
        <w:rPr>
          <w:rFonts w:asciiTheme="majorHAnsi" w:hAnsiTheme="majorHAnsi"/>
        </w:rPr>
        <w:t>.</w:t>
      </w:r>
    </w:p>
    <w:p w14:paraId="08B0C557" w14:textId="26BDCAF7" w:rsidR="00874242" w:rsidRPr="0016351D" w:rsidRDefault="005A4DA5" w:rsidP="001F2C58">
      <w:pPr>
        <w:pStyle w:val="Heading2"/>
        <w:rPr>
          <w:sz w:val="22"/>
          <w:szCs w:val="22"/>
        </w:rPr>
      </w:pPr>
      <w:bookmarkStart w:id="29" w:name="_Toc425145082"/>
      <w:r>
        <w:t>Support</w:t>
      </w:r>
      <w:r w:rsidR="00874242" w:rsidRPr="0016351D">
        <w:t xml:space="preserve"> Secure Use of Data for Learning</w:t>
      </w:r>
      <w:bookmarkEnd w:id="29"/>
      <w:r w:rsidR="00874242" w:rsidRPr="0016351D">
        <w:t xml:space="preserve"> </w:t>
      </w:r>
      <w:r w:rsidR="00874242" w:rsidRPr="0016351D">
        <w:rPr>
          <w:sz w:val="22"/>
          <w:szCs w:val="22"/>
        </w:rPr>
        <w:t xml:space="preserve"> </w:t>
      </w:r>
    </w:p>
    <w:p w14:paraId="008F416C" w14:textId="6B06CB1F" w:rsidR="00874242" w:rsidRPr="0016351D" w:rsidRDefault="001C0DBB" w:rsidP="001F2C58">
      <w:pPr>
        <w:rPr>
          <w:rFonts w:asciiTheme="majorHAnsi" w:hAnsiTheme="majorHAnsi"/>
        </w:rPr>
      </w:pPr>
      <w:r>
        <w:rPr>
          <w:rFonts w:asciiTheme="majorHAnsi" w:hAnsiTheme="majorHAnsi"/>
        </w:rPr>
        <w:t xml:space="preserve">The PSWG seeks a widely-accepted security framework that assures </w:t>
      </w:r>
      <w:r w:rsidR="00874242" w:rsidRPr="0016351D">
        <w:rPr>
          <w:rFonts w:asciiTheme="majorHAnsi" w:hAnsiTheme="majorHAnsi"/>
        </w:rPr>
        <w:t>accountability for security at all endpoints</w:t>
      </w:r>
      <w:r w:rsidR="005F2AF0">
        <w:rPr>
          <w:rFonts w:asciiTheme="majorHAnsi" w:hAnsiTheme="majorHAnsi"/>
        </w:rPr>
        <w:t xml:space="preserve">.  </w:t>
      </w:r>
      <w:r w:rsidR="000A05D6" w:rsidRPr="00260015">
        <w:rPr>
          <w:rFonts w:asciiTheme="majorHAnsi" w:hAnsiTheme="majorHAnsi"/>
          <w:b/>
        </w:rPr>
        <w:t>Although</w:t>
      </w:r>
      <w:r w:rsidR="00B057B3" w:rsidRPr="00260015">
        <w:rPr>
          <w:rFonts w:asciiTheme="majorHAnsi" w:hAnsiTheme="majorHAnsi"/>
          <w:b/>
        </w:rPr>
        <w:t xml:space="preserve"> the </w:t>
      </w:r>
      <w:r w:rsidR="00880088" w:rsidRPr="00260015">
        <w:rPr>
          <w:rFonts w:asciiTheme="majorHAnsi" w:hAnsiTheme="majorHAnsi"/>
          <w:b/>
        </w:rPr>
        <w:t>Workgroup</w:t>
      </w:r>
      <w:r w:rsidR="00B057B3" w:rsidRPr="00260015">
        <w:rPr>
          <w:rFonts w:asciiTheme="majorHAnsi" w:hAnsiTheme="majorHAnsi"/>
          <w:b/>
        </w:rPr>
        <w:t xml:space="preserve"> </w:t>
      </w:r>
      <w:r w:rsidR="00015D7D" w:rsidRPr="00260015">
        <w:rPr>
          <w:rFonts w:asciiTheme="majorHAnsi" w:hAnsiTheme="majorHAnsi"/>
          <w:b/>
        </w:rPr>
        <w:t xml:space="preserve">believes </w:t>
      </w:r>
      <w:r w:rsidR="00874242" w:rsidRPr="00260015">
        <w:rPr>
          <w:rFonts w:asciiTheme="majorHAnsi" w:hAnsiTheme="majorHAnsi"/>
          <w:b/>
        </w:rPr>
        <w:t>Congress could address</w:t>
      </w:r>
      <w:r w:rsidR="00015D7D" w:rsidRPr="00260015">
        <w:rPr>
          <w:rFonts w:asciiTheme="majorHAnsi" w:hAnsiTheme="majorHAnsi"/>
          <w:b/>
        </w:rPr>
        <w:t xml:space="preserve"> this issue</w:t>
      </w:r>
      <w:r w:rsidR="00B057B3" w:rsidRPr="00260015">
        <w:rPr>
          <w:rFonts w:asciiTheme="majorHAnsi" w:hAnsiTheme="majorHAnsi"/>
          <w:b/>
        </w:rPr>
        <w:t>,</w:t>
      </w:r>
      <w:r w:rsidR="006C402D" w:rsidRPr="0016351D">
        <w:rPr>
          <w:rStyle w:val="FootnoteReference"/>
          <w:rFonts w:asciiTheme="majorHAnsi" w:hAnsiTheme="majorHAnsi"/>
        </w:rPr>
        <w:footnoteReference w:id="59"/>
      </w:r>
      <w:r w:rsidR="00B057B3" w:rsidRPr="00260015">
        <w:rPr>
          <w:rFonts w:asciiTheme="majorHAnsi" w:hAnsiTheme="majorHAnsi"/>
          <w:b/>
        </w:rPr>
        <w:t xml:space="preserve"> consistent with </w:t>
      </w:r>
      <w:r w:rsidR="000A05D6" w:rsidRPr="00260015">
        <w:rPr>
          <w:rFonts w:asciiTheme="majorHAnsi" w:hAnsiTheme="majorHAnsi"/>
          <w:b/>
        </w:rPr>
        <w:t xml:space="preserve">its </w:t>
      </w:r>
      <w:r w:rsidR="00874242" w:rsidRPr="00260015">
        <w:rPr>
          <w:rFonts w:asciiTheme="majorHAnsi" w:hAnsiTheme="majorHAnsi"/>
          <w:b/>
        </w:rPr>
        <w:t>recommendation</w:t>
      </w:r>
      <w:r w:rsidR="006F6645" w:rsidRPr="00260015">
        <w:rPr>
          <w:rFonts w:asciiTheme="majorHAnsi" w:hAnsiTheme="majorHAnsi"/>
          <w:b/>
        </w:rPr>
        <w:t>s in S</w:t>
      </w:r>
      <w:r w:rsidR="002A4C57" w:rsidRPr="00260015">
        <w:rPr>
          <w:rFonts w:asciiTheme="majorHAnsi" w:hAnsiTheme="majorHAnsi"/>
          <w:b/>
        </w:rPr>
        <w:t>ection 6.2</w:t>
      </w:r>
      <w:r w:rsidR="00874242" w:rsidRPr="00260015">
        <w:rPr>
          <w:rFonts w:asciiTheme="majorHAnsi" w:hAnsiTheme="majorHAnsi"/>
          <w:b/>
        </w:rPr>
        <w:t xml:space="preserve"> </w:t>
      </w:r>
      <w:r w:rsidR="00015D7D" w:rsidRPr="00260015">
        <w:rPr>
          <w:rFonts w:asciiTheme="majorHAnsi" w:hAnsiTheme="majorHAnsi"/>
          <w:b/>
        </w:rPr>
        <w:t>the PSWG</w:t>
      </w:r>
      <w:r w:rsidR="00B057B3" w:rsidRPr="00260015">
        <w:rPr>
          <w:rFonts w:asciiTheme="majorHAnsi" w:hAnsiTheme="majorHAnsi"/>
          <w:b/>
        </w:rPr>
        <w:t xml:space="preserve"> </w:t>
      </w:r>
      <w:r w:rsidR="0052632E" w:rsidRPr="00260015">
        <w:rPr>
          <w:rFonts w:asciiTheme="majorHAnsi" w:hAnsiTheme="majorHAnsi"/>
          <w:b/>
        </w:rPr>
        <w:t xml:space="preserve">instead </w:t>
      </w:r>
      <w:r w:rsidR="00874242" w:rsidRPr="00260015">
        <w:rPr>
          <w:rFonts w:asciiTheme="majorHAnsi" w:hAnsiTheme="majorHAnsi"/>
          <w:b/>
        </w:rPr>
        <w:t xml:space="preserve">urges the development of voluntary codes of conduct that also address robust security </w:t>
      </w:r>
      <w:proofErr w:type="gramStart"/>
      <w:r w:rsidR="00874242" w:rsidRPr="00260015">
        <w:rPr>
          <w:rFonts w:asciiTheme="majorHAnsi" w:hAnsiTheme="majorHAnsi"/>
          <w:b/>
        </w:rPr>
        <w:t>provisions</w:t>
      </w:r>
      <w:r w:rsidR="005F2AF0">
        <w:rPr>
          <w:rFonts w:asciiTheme="majorHAnsi" w:hAnsiTheme="majorHAnsi"/>
          <w:b/>
        </w:rPr>
        <w:t>.</w:t>
      </w:r>
      <w:proofErr w:type="gramEnd"/>
      <w:r w:rsidR="005F2AF0">
        <w:rPr>
          <w:rFonts w:asciiTheme="majorHAnsi" w:hAnsiTheme="majorHAnsi"/>
          <w:b/>
        </w:rPr>
        <w:t xml:space="preserve">  </w:t>
      </w:r>
      <w:r w:rsidR="00874242" w:rsidRPr="0016351D">
        <w:rPr>
          <w:rFonts w:asciiTheme="majorHAnsi" w:hAnsiTheme="majorHAnsi"/>
        </w:rPr>
        <w:t>In addition, education of stakeholders about cybersecurity risks and recommended precautions is critical, and both the public and private sectors have a role to play in this effort</w:t>
      </w:r>
      <w:r w:rsidR="005F2AF0">
        <w:rPr>
          <w:rFonts w:asciiTheme="majorHAnsi" w:hAnsiTheme="majorHAnsi"/>
        </w:rPr>
        <w:t xml:space="preserve">.  </w:t>
      </w:r>
      <w:r w:rsidR="00874242" w:rsidRPr="0016351D">
        <w:rPr>
          <w:rFonts w:asciiTheme="majorHAnsi" w:hAnsiTheme="majorHAnsi"/>
        </w:rPr>
        <w:t xml:space="preserve"> </w:t>
      </w:r>
    </w:p>
    <w:p w14:paraId="12CD8329" w14:textId="77777777" w:rsidR="001F2C58" w:rsidRPr="0016351D" w:rsidRDefault="001F2C58" w:rsidP="001F2C58">
      <w:pPr>
        <w:rPr>
          <w:rFonts w:asciiTheme="majorHAnsi" w:hAnsiTheme="majorHAnsi"/>
        </w:rPr>
      </w:pPr>
    </w:p>
    <w:p w14:paraId="712D74D7" w14:textId="77777777" w:rsidR="00874242" w:rsidRPr="0016351D" w:rsidRDefault="00874242" w:rsidP="001F2C58">
      <w:pPr>
        <w:rPr>
          <w:rFonts w:asciiTheme="majorHAnsi" w:hAnsiTheme="majorHAnsi"/>
        </w:rPr>
      </w:pPr>
      <w:r w:rsidRPr="00260015">
        <w:rPr>
          <w:rFonts w:asciiTheme="majorHAnsi" w:hAnsiTheme="majorHAnsi"/>
          <w:b/>
        </w:rPr>
        <w:t>Federal policymakers, through regulations, spending conditions, and guidance, should provide incentives for entities to use privacy-enhancing technologies and privacy-protecting technical architectures</w:t>
      </w:r>
      <w:r w:rsidRPr="0016351D">
        <w:rPr>
          <w:rFonts w:asciiTheme="majorHAnsi" w:hAnsiTheme="majorHAnsi"/>
        </w:rPr>
        <w:t>, such as secure data enclaves, secure distributed data systems, and distributed computation.</w:t>
      </w:r>
    </w:p>
    <w:p w14:paraId="77E8433E" w14:textId="77777777" w:rsidR="001F2C58" w:rsidRPr="0016351D" w:rsidRDefault="001F2C58" w:rsidP="001F2C58">
      <w:pPr>
        <w:rPr>
          <w:rFonts w:asciiTheme="majorHAnsi" w:hAnsiTheme="majorHAnsi"/>
        </w:rPr>
      </w:pPr>
    </w:p>
    <w:p w14:paraId="24688FBF" w14:textId="20E196C7" w:rsidR="00874242" w:rsidRPr="0016351D" w:rsidRDefault="00CB4A0A" w:rsidP="001F2C58">
      <w:pPr>
        <w:rPr>
          <w:rFonts w:asciiTheme="majorHAnsi" w:hAnsiTheme="majorHAnsi"/>
        </w:rPr>
      </w:pPr>
      <w:r w:rsidRPr="00260015">
        <w:rPr>
          <w:rFonts w:asciiTheme="majorHAnsi" w:hAnsiTheme="majorHAnsi"/>
          <w:b/>
        </w:rPr>
        <w:t xml:space="preserve">The </w:t>
      </w:r>
      <w:r w:rsidR="00880088" w:rsidRPr="00260015">
        <w:rPr>
          <w:rFonts w:asciiTheme="majorHAnsi" w:hAnsiTheme="majorHAnsi"/>
          <w:b/>
        </w:rPr>
        <w:t>Workgroup</w:t>
      </w:r>
      <w:r w:rsidR="00874242" w:rsidRPr="00260015">
        <w:rPr>
          <w:rFonts w:asciiTheme="majorHAnsi" w:hAnsiTheme="majorHAnsi"/>
          <w:b/>
        </w:rPr>
        <w:t xml:space="preserve"> also reiterates recommendations made by the </w:t>
      </w:r>
      <w:r w:rsidR="00B057B3" w:rsidRPr="00260015">
        <w:rPr>
          <w:rFonts w:asciiTheme="majorHAnsi" w:hAnsiTheme="majorHAnsi"/>
          <w:b/>
        </w:rPr>
        <w:t xml:space="preserve">Privacy </w:t>
      </w:r>
      <w:r w:rsidR="0035439F" w:rsidRPr="00260015">
        <w:rPr>
          <w:rFonts w:asciiTheme="majorHAnsi" w:hAnsiTheme="majorHAnsi"/>
          <w:b/>
        </w:rPr>
        <w:t xml:space="preserve">and Security </w:t>
      </w:r>
      <w:r w:rsidR="00874242" w:rsidRPr="00260015">
        <w:rPr>
          <w:rFonts w:asciiTheme="majorHAnsi" w:hAnsiTheme="majorHAnsi"/>
          <w:b/>
        </w:rPr>
        <w:t xml:space="preserve">Tiger Team and endorsed by the </w:t>
      </w:r>
      <w:r w:rsidR="00B057B3" w:rsidRPr="00260015">
        <w:rPr>
          <w:rFonts w:asciiTheme="majorHAnsi" w:hAnsiTheme="majorHAnsi"/>
          <w:b/>
        </w:rPr>
        <w:t xml:space="preserve">HITPC </w:t>
      </w:r>
      <w:r w:rsidR="00874242" w:rsidRPr="00260015">
        <w:rPr>
          <w:rFonts w:asciiTheme="majorHAnsi" w:hAnsiTheme="majorHAnsi"/>
          <w:b/>
        </w:rPr>
        <w:t>in 2011</w:t>
      </w:r>
      <w:r w:rsidR="00874242" w:rsidRPr="00260015">
        <w:rPr>
          <w:rStyle w:val="FootnoteReference"/>
          <w:rFonts w:asciiTheme="majorHAnsi" w:hAnsiTheme="majorHAnsi"/>
          <w:b/>
        </w:rPr>
        <w:footnoteReference w:id="60"/>
      </w:r>
      <w:r w:rsidR="00874242" w:rsidRPr="00260015">
        <w:rPr>
          <w:rFonts w:asciiTheme="majorHAnsi" w:hAnsiTheme="majorHAnsi"/>
          <w:b/>
        </w:rPr>
        <w:t xml:space="preserve"> with respect to the HIPAA Security Rule</w:t>
      </w:r>
      <w:r w:rsidR="00996DD1">
        <w:rPr>
          <w:rFonts w:asciiTheme="majorHAnsi" w:hAnsiTheme="majorHAnsi"/>
        </w:rPr>
        <w:t xml:space="preserve">.  </w:t>
      </w:r>
      <w:r w:rsidR="00874242" w:rsidRPr="0016351D">
        <w:rPr>
          <w:rFonts w:asciiTheme="majorHAnsi" w:hAnsiTheme="majorHAnsi"/>
        </w:rPr>
        <w:t>Specifically:</w:t>
      </w:r>
    </w:p>
    <w:p w14:paraId="5A5F4D5B" w14:textId="77777777" w:rsidR="00874242" w:rsidRPr="0016351D" w:rsidRDefault="00874242" w:rsidP="001F2C58">
      <w:pPr>
        <w:pStyle w:val="ListParagraph"/>
        <w:numPr>
          <w:ilvl w:val="0"/>
          <w:numId w:val="33"/>
        </w:numPr>
        <w:rPr>
          <w:rFonts w:asciiTheme="majorHAnsi" w:hAnsiTheme="majorHAnsi"/>
        </w:rPr>
      </w:pPr>
      <w:r w:rsidRPr="0016351D">
        <w:rPr>
          <w:rFonts w:asciiTheme="majorHAnsi" w:hAnsiTheme="majorHAnsi"/>
        </w:rPr>
        <w:t>Security policies for entities collecting, storing and sharing electronic health information needs to be responsive to innovation and changes in the marketplace.</w:t>
      </w:r>
    </w:p>
    <w:p w14:paraId="15277407" w14:textId="73D5156B" w:rsidR="00874242" w:rsidRPr="0016351D" w:rsidRDefault="00D54E45" w:rsidP="001F2C58">
      <w:pPr>
        <w:pStyle w:val="ListParagraph"/>
        <w:numPr>
          <w:ilvl w:val="0"/>
          <w:numId w:val="33"/>
        </w:numPr>
        <w:rPr>
          <w:rFonts w:asciiTheme="majorHAnsi" w:hAnsiTheme="majorHAnsi"/>
        </w:rPr>
      </w:pPr>
      <w:r>
        <w:rPr>
          <w:rFonts w:asciiTheme="majorHAnsi" w:hAnsiTheme="majorHAnsi"/>
        </w:rPr>
        <w:t xml:space="preserve">Security policies </w:t>
      </w:r>
      <w:r w:rsidR="00874242" w:rsidRPr="0016351D">
        <w:rPr>
          <w:rFonts w:asciiTheme="majorHAnsi" w:hAnsiTheme="majorHAnsi"/>
        </w:rPr>
        <w:t>also need to be flexible and scalable to reflect differences in size and resources; at the same time a solid baseline of security policies needs to be established and consistently implemented across all entities.</w:t>
      </w:r>
    </w:p>
    <w:p w14:paraId="259AED76" w14:textId="77777777" w:rsidR="00ED558B" w:rsidRDefault="00874242" w:rsidP="001F2C58">
      <w:pPr>
        <w:pStyle w:val="ListParagraph"/>
        <w:numPr>
          <w:ilvl w:val="0"/>
          <w:numId w:val="33"/>
        </w:numPr>
        <w:rPr>
          <w:rFonts w:asciiTheme="majorHAnsi" w:hAnsiTheme="majorHAnsi"/>
        </w:rPr>
      </w:pPr>
      <w:r w:rsidRPr="0016351D">
        <w:rPr>
          <w:rFonts w:asciiTheme="majorHAnsi" w:hAnsiTheme="majorHAnsi"/>
        </w:rPr>
        <w:t>Providers will continue to need education and specific guidance on how to comply with the security rule.</w:t>
      </w:r>
    </w:p>
    <w:p w14:paraId="43949531" w14:textId="68B35F75" w:rsidR="00874242" w:rsidRPr="00ED558B" w:rsidRDefault="00874242" w:rsidP="001F2C58">
      <w:pPr>
        <w:pStyle w:val="ListParagraph"/>
        <w:numPr>
          <w:ilvl w:val="0"/>
          <w:numId w:val="33"/>
        </w:numPr>
        <w:rPr>
          <w:rFonts w:asciiTheme="majorHAnsi" w:hAnsiTheme="majorHAnsi"/>
        </w:rPr>
      </w:pPr>
      <w:r w:rsidRPr="00ED558B">
        <w:rPr>
          <w:rFonts w:asciiTheme="majorHAnsi" w:hAnsiTheme="majorHAnsi"/>
          <w:bCs/>
        </w:rPr>
        <w:t>HHS should have a consistent and dynamic process for updating security policies and the rapid dissemination of new rules and guidance to all affected</w:t>
      </w:r>
      <w:r w:rsidR="009C264D">
        <w:rPr>
          <w:rFonts w:asciiTheme="majorHAnsi" w:hAnsiTheme="majorHAnsi"/>
          <w:bCs/>
        </w:rPr>
        <w:t xml:space="preserve">.  </w:t>
      </w:r>
      <w:r w:rsidRPr="00ED558B">
        <w:rPr>
          <w:rFonts w:asciiTheme="majorHAnsi" w:hAnsiTheme="majorHAnsi"/>
          <w:bCs/>
        </w:rPr>
        <w:t xml:space="preserve">As part of this process, </w:t>
      </w:r>
      <w:r w:rsidRPr="00ED558B">
        <w:rPr>
          <w:rFonts w:asciiTheme="majorHAnsi" w:hAnsiTheme="majorHAnsi"/>
          <w:bCs/>
        </w:rPr>
        <w:lastRenderedPageBreak/>
        <w:t>HHS should look to other security frameworks to assure the Security Rule keeps up with the latest threats and innovations in security protections</w:t>
      </w:r>
      <w:r w:rsidR="005F2AF0">
        <w:rPr>
          <w:rFonts w:asciiTheme="majorHAnsi" w:hAnsiTheme="majorHAnsi"/>
          <w:bCs/>
        </w:rPr>
        <w:t xml:space="preserve">.  </w:t>
      </w:r>
      <w:r w:rsidRPr="00ED558B">
        <w:rPr>
          <w:rFonts w:asciiTheme="majorHAnsi" w:hAnsiTheme="majorHAnsi"/>
        </w:rPr>
        <w:t>NIST had previously issued guidance on HIPAA security compliance that many entities have found helpful; NIST should continue to update this guidance and keep it current and relevant for a changing risk environment.</w:t>
      </w:r>
      <w:r w:rsidR="00D378A5">
        <w:rPr>
          <w:rFonts w:asciiTheme="majorHAnsi" w:hAnsiTheme="majorHAnsi"/>
        </w:rPr>
        <w:t xml:space="preserve">  </w:t>
      </w:r>
    </w:p>
    <w:p w14:paraId="362C6406" w14:textId="77777777" w:rsidR="00874242" w:rsidRPr="0016351D" w:rsidRDefault="00874242" w:rsidP="001F2C58">
      <w:pPr>
        <w:rPr>
          <w:rFonts w:asciiTheme="majorHAnsi" w:eastAsiaTheme="majorEastAsia" w:hAnsiTheme="majorHAnsi" w:cstheme="majorBidi"/>
          <w:bCs/>
          <w:color w:val="345A8A" w:themeColor="accent1" w:themeShade="B5"/>
          <w:sz w:val="32"/>
          <w:szCs w:val="32"/>
        </w:rPr>
      </w:pPr>
    </w:p>
    <w:p w14:paraId="6006113F" w14:textId="77777777" w:rsidR="00AC3D01" w:rsidRPr="0016351D" w:rsidRDefault="00AC3D01" w:rsidP="001F2C58">
      <w:pPr>
        <w:rPr>
          <w:rFonts w:asciiTheme="majorHAnsi" w:hAnsiTheme="majorHAnsi"/>
        </w:rPr>
      </w:pPr>
    </w:p>
    <w:p w14:paraId="63D07A45" w14:textId="77777777" w:rsidR="00F5153C" w:rsidRPr="0016351D" w:rsidRDefault="00F5153C">
      <w:pPr>
        <w:rPr>
          <w:rFonts w:asciiTheme="majorHAnsi" w:hAnsiTheme="majorHAnsi"/>
        </w:rPr>
        <w:sectPr w:rsidR="00F5153C" w:rsidRPr="0016351D" w:rsidSect="00090959">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pgNumType w:start="0"/>
          <w:cols w:space="720"/>
          <w:titlePg/>
          <w:docGrid w:linePitch="360"/>
        </w:sectPr>
      </w:pPr>
    </w:p>
    <w:p w14:paraId="4FEFA7D8" w14:textId="77777777" w:rsidR="00F1068C" w:rsidRPr="0016351D" w:rsidRDefault="00965CA6" w:rsidP="00965CA6">
      <w:pPr>
        <w:pStyle w:val="Heading1"/>
      </w:pPr>
      <w:bookmarkStart w:id="30" w:name="_Toc425145083"/>
      <w:r w:rsidRPr="0016351D">
        <w:lastRenderedPageBreak/>
        <w:t>Bibliography</w:t>
      </w:r>
      <w:bookmarkEnd w:id="30"/>
    </w:p>
    <w:p w14:paraId="3806F032" w14:textId="77777777" w:rsidR="00965CA6" w:rsidRPr="0016351D" w:rsidRDefault="00965CA6">
      <w:pPr>
        <w:rPr>
          <w:rFonts w:asciiTheme="majorHAnsi" w:hAnsiTheme="majorHAnsi"/>
        </w:rPr>
      </w:pPr>
    </w:p>
    <w:p w14:paraId="234E7E19" w14:textId="7E9F2C34" w:rsidR="00307957" w:rsidRPr="00B52CB7" w:rsidRDefault="00307957" w:rsidP="00307957">
      <w:pPr>
        <w:pStyle w:val="ListParagraph"/>
        <w:numPr>
          <w:ilvl w:val="0"/>
          <w:numId w:val="46"/>
        </w:numPr>
        <w:rPr>
          <w:rFonts w:asciiTheme="majorHAnsi" w:hAnsiTheme="majorHAnsi"/>
        </w:rPr>
      </w:pPr>
      <w:r w:rsidRPr="00B52CB7">
        <w:rPr>
          <w:rFonts w:asciiTheme="majorHAnsi" w:hAnsiTheme="majorHAnsi"/>
        </w:rPr>
        <w:t xml:space="preserve">A Summary of Your Rights </w:t>
      </w:r>
      <w:proofErr w:type="gramStart"/>
      <w:r w:rsidRPr="00B52CB7">
        <w:rPr>
          <w:rFonts w:asciiTheme="majorHAnsi" w:hAnsiTheme="majorHAnsi"/>
        </w:rPr>
        <w:t>Under</w:t>
      </w:r>
      <w:proofErr w:type="gramEnd"/>
      <w:r w:rsidRPr="00B52CB7">
        <w:rPr>
          <w:rFonts w:asciiTheme="majorHAnsi" w:hAnsiTheme="majorHAnsi"/>
        </w:rPr>
        <w:t xml:space="preserve"> the Fair Credit Reporting Act, </w:t>
      </w:r>
      <w:hyperlink r:id="rId16" w:history="1">
        <w:r w:rsidRPr="00B52CB7">
          <w:rPr>
            <w:rStyle w:val="Hyperlink"/>
            <w:rFonts w:asciiTheme="majorHAnsi" w:hAnsiTheme="majorHAnsi"/>
          </w:rPr>
          <w:t>https://www.consumer.ftc.gov/articles/pdf-0096-fair-credit-reporting-act.pdf</w:t>
        </w:r>
      </w:hyperlink>
      <w:r w:rsidR="005F2AF0">
        <w:rPr>
          <w:rFonts w:asciiTheme="majorHAnsi" w:hAnsiTheme="majorHAnsi"/>
        </w:rPr>
        <w:t xml:space="preserve">.  </w:t>
      </w:r>
    </w:p>
    <w:p w14:paraId="0F71163A" w14:textId="77777777" w:rsidR="00690C7D" w:rsidRPr="00636DDA" w:rsidRDefault="00690C7D" w:rsidP="00B41595">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Big Data and Privacy: A Technological Perspective, May 2014, </w:t>
      </w:r>
      <w:hyperlink r:id="rId17" w:history="1">
        <w:r w:rsidRPr="00636DDA">
          <w:rPr>
            <w:rStyle w:val="Hyperlink"/>
            <w:rFonts w:asciiTheme="majorHAnsi" w:hAnsiTheme="majorHAnsi"/>
          </w:rPr>
          <w:t>https://www.whitehouse.gov/sites/default/files/microsites/ostp/PCAST/pcast_big_data_and_privacy_-_may_2014.pdf</w:t>
        </w:r>
      </w:hyperlink>
    </w:p>
    <w:p w14:paraId="10DC3E89" w14:textId="006E55BD" w:rsidR="00B41595" w:rsidRPr="00B41595" w:rsidRDefault="00B41595" w:rsidP="00B41595">
      <w:pPr>
        <w:pStyle w:val="ListParagraph"/>
        <w:numPr>
          <w:ilvl w:val="0"/>
          <w:numId w:val="46"/>
        </w:numPr>
        <w:rPr>
          <w:rFonts w:asciiTheme="majorHAnsi" w:hAnsiTheme="majorHAnsi"/>
        </w:rPr>
      </w:pPr>
      <w:r w:rsidRPr="00B52CB7">
        <w:rPr>
          <w:rFonts w:asciiTheme="majorHAnsi" w:hAnsiTheme="majorHAnsi"/>
        </w:rPr>
        <w:t>Big Data: A Tool for Inclusion</w:t>
      </w:r>
      <w:r w:rsidRPr="00B41595">
        <w:rPr>
          <w:rFonts w:asciiTheme="majorHAnsi" w:hAnsiTheme="majorHAnsi"/>
        </w:rPr>
        <w:t xml:space="preserve"> or Exclusion</w:t>
      </w:r>
      <w:proofErr w:type="gramStart"/>
      <w:r w:rsidRPr="00B41595">
        <w:rPr>
          <w:rFonts w:asciiTheme="majorHAnsi" w:hAnsiTheme="majorHAnsi"/>
        </w:rPr>
        <w:t>?,</w:t>
      </w:r>
      <w:proofErr w:type="gramEnd"/>
      <w:r w:rsidRPr="00B41595">
        <w:rPr>
          <w:rFonts w:asciiTheme="majorHAnsi" w:hAnsiTheme="majorHAnsi"/>
        </w:rPr>
        <w:t xml:space="preserve"> </w:t>
      </w:r>
      <w:hyperlink r:id="rId18" w:history="1">
        <w:r w:rsidRPr="00B41595">
          <w:rPr>
            <w:rStyle w:val="Hyperlink"/>
            <w:rFonts w:asciiTheme="majorHAnsi" w:hAnsiTheme="majorHAnsi"/>
          </w:rPr>
          <w:t>https://www.ftc.gov/news-events/events-calendar/2014/09/big-data-tool-inclusion-or-exclusion</w:t>
        </w:r>
      </w:hyperlink>
      <w:r w:rsidRPr="00B41595">
        <w:rPr>
          <w:rFonts w:asciiTheme="majorHAnsi" w:hAnsiTheme="majorHAnsi"/>
        </w:rPr>
        <w:t>.</w:t>
      </w:r>
    </w:p>
    <w:p w14:paraId="2BEB9001" w14:textId="77777777" w:rsidR="00690C7D" w:rsidRPr="00B61466" w:rsidRDefault="00690C7D" w:rsidP="00690C7D">
      <w:pPr>
        <w:pStyle w:val="ListParagraph"/>
        <w:numPr>
          <w:ilvl w:val="0"/>
          <w:numId w:val="46"/>
        </w:numPr>
        <w:rPr>
          <w:rStyle w:val="Hyperlink"/>
          <w:rFonts w:asciiTheme="majorHAnsi" w:hAnsiTheme="majorHAnsi"/>
          <w:color w:val="auto"/>
          <w:u w:val="none"/>
        </w:rPr>
      </w:pPr>
      <w:r w:rsidRPr="00B52CB7">
        <w:rPr>
          <w:rFonts w:asciiTheme="majorHAnsi" w:hAnsiTheme="majorHAnsi"/>
        </w:rPr>
        <w:t xml:space="preserve">Big Data: Seizing Opportunities, Preserving Values, May 2014, </w:t>
      </w:r>
      <w:hyperlink r:id="rId19" w:history="1">
        <w:r w:rsidRPr="00B52CB7">
          <w:rPr>
            <w:rStyle w:val="Hyperlink"/>
            <w:rFonts w:asciiTheme="majorHAnsi" w:hAnsiTheme="majorHAnsi"/>
          </w:rPr>
          <w:t>https://www.whitehouse.gov/sites/default/files/docs/big_data_privacy_report_may_1_2014.pdf</w:t>
        </w:r>
      </w:hyperlink>
      <w:r w:rsidRPr="00B52CB7">
        <w:rPr>
          <w:rStyle w:val="Hyperlink"/>
          <w:rFonts w:asciiTheme="majorHAnsi" w:hAnsiTheme="majorHAnsi"/>
        </w:rPr>
        <w:t>.</w:t>
      </w:r>
    </w:p>
    <w:p w14:paraId="7079C66B" w14:textId="49585F80" w:rsidR="00B61466" w:rsidRPr="00D87B91" w:rsidRDefault="00B61466" w:rsidP="00690C7D">
      <w:pPr>
        <w:pStyle w:val="ListParagraph"/>
        <w:numPr>
          <w:ilvl w:val="0"/>
          <w:numId w:val="46"/>
        </w:numPr>
        <w:rPr>
          <w:rStyle w:val="Hyperlink"/>
          <w:rFonts w:asciiTheme="majorHAnsi" w:hAnsiTheme="majorHAnsi"/>
          <w:color w:val="auto"/>
          <w:u w:val="none"/>
        </w:rPr>
      </w:pPr>
      <w:r w:rsidRPr="00636DDA">
        <w:rPr>
          <w:rFonts w:asciiTheme="majorHAnsi" w:hAnsiTheme="majorHAnsi"/>
        </w:rPr>
        <w:t>Community-Campus Partnership for Health, http</w:t>
      </w:r>
      <w:proofErr w:type="gramStart"/>
      <w:r w:rsidRPr="00636DDA">
        <w:rPr>
          <w:rFonts w:asciiTheme="majorHAnsi" w:hAnsiTheme="majorHAnsi"/>
        </w:rPr>
        <w:t>;/</w:t>
      </w:r>
      <w:proofErr w:type="gramEnd"/>
      <w:r w:rsidRPr="00636DDA">
        <w:rPr>
          <w:rFonts w:asciiTheme="majorHAnsi" w:hAnsiTheme="majorHAnsi"/>
        </w:rPr>
        <w:t>/</w:t>
      </w:r>
      <w:hyperlink r:id="rId20" w:history="1">
        <w:r w:rsidRPr="00636DDA">
          <w:rPr>
            <w:rStyle w:val="Hyperlink"/>
            <w:rFonts w:asciiTheme="majorHAnsi" w:hAnsiTheme="majorHAnsi"/>
          </w:rPr>
          <w:t>www.ccph.info</w:t>
        </w:r>
      </w:hyperlink>
      <w:r w:rsidR="005F2AF0">
        <w:rPr>
          <w:rStyle w:val="Hyperlink"/>
          <w:rFonts w:asciiTheme="majorHAnsi" w:hAnsiTheme="majorHAnsi"/>
        </w:rPr>
        <w:t xml:space="preserve">.  </w:t>
      </w:r>
    </w:p>
    <w:p w14:paraId="6C57C6F0" w14:textId="77777777" w:rsidR="0081212B" w:rsidRPr="00B41595" w:rsidRDefault="0081212B" w:rsidP="00DA107E">
      <w:pPr>
        <w:pStyle w:val="ListParagraph"/>
        <w:numPr>
          <w:ilvl w:val="0"/>
          <w:numId w:val="46"/>
        </w:numPr>
        <w:rPr>
          <w:rStyle w:val="Hyperlink"/>
          <w:rFonts w:asciiTheme="majorHAnsi" w:hAnsiTheme="majorHAnsi"/>
          <w:color w:val="auto"/>
          <w:u w:val="none"/>
        </w:rPr>
      </w:pPr>
      <w:r w:rsidRPr="00B41595">
        <w:rPr>
          <w:rFonts w:asciiTheme="majorHAnsi" w:hAnsiTheme="majorHAnsi"/>
        </w:rPr>
        <w:t>Connecting Health and Care for the Nation: A Shared Nationwide Interoperabil</w:t>
      </w:r>
      <w:r w:rsidR="001A3F4E">
        <w:rPr>
          <w:rFonts w:asciiTheme="majorHAnsi" w:hAnsiTheme="majorHAnsi"/>
        </w:rPr>
        <w:t>ity Roadmap, Draft Version 1.0</w:t>
      </w:r>
      <w:r w:rsidRPr="00B41595">
        <w:rPr>
          <w:rFonts w:asciiTheme="majorHAnsi" w:hAnsiTheme="majorHAnsi"/>
        </w:rPr>
        <w:t xml:space="preserve">, </w:t>
      </w:r>
      <w:hyperlink r:id="rId21" w:history="1">
        <w:r w:rsidRPr="00B41595">
          <w:rPr>
            <w:rStyle w:val="Hyperlink"/>
            <w:rFonts w:asciiTheme="majorHAnsi" w:hAnsiTheme="majorHAnsi"/>
          </w:rPr>
          <w:t>http://www.healthit.gov/sites/default/files/nationwide-interoperability-roadmap-draft-version-1.0.pdf</w:t>
        </w:r>
      </w:hyperlink>
      <w:r w:rsidR="001A3F4E">
        <w:rPr>
          <w:rStyle w:val="Hyperlink"/>
          <w:rFonts w:asciiTheme="majorHAnsi" w:hAnsiTheme="majorHAnsi"/>
        </w:rPr>
        <w:t>.</w:t>
      </w:r>
    </w:p>
    <w:p w14:paraId="65F9A17C" w14:textId="36EF583C" w:rsidR="00BE41C3" w:rsidRPr="00636DDA" w:rsidRDefault="00BE41C3" w:rsidP="00DA107E">
      <w:pPr>
        <w:pStyle w:val="ListParagraph"/>
        <w:numPr>
          <w:ilvl w:val="0"/>
          <w:numId w:val="46"/>
        </w:numPr>
        <w:rPr>
          <w:rFonts w:asciiTheme="majorHAnsi" w:hAnsiTheme="majorHAnsi"/>
        </w:rPr>
      </w:pPr>
      <w:r w:rsidRPr="00636DDA">
        <w:rPr>
          <w:rFonts w:asciiTheme="majorHAnsi" w:hAnsiTheme="majorHAnsi"/>
        </w:rPr>
        <w:t>Data for Health: Learning What Works, Robert Wood Johnson Foundation, April 2, 2015,</w:t>
      </w:r>
      <w:r w:rsidRPr="00BE41C3">
        <w:rPr>
          <w:rFonts w:asciiTheme="majorHAnsi" w:hAnsiTheme="majorHAnsi"/>
        </w:rPr>
        <w:t xml:space="preserve"> </w:t>
      </w:r>
      <w:hyperlink r:id="rId22" w:history="1">
        <w:r w:rsidRPr="00636DDA">
          <w:rPr>
            <w:rStyle w:val="Hyperlink"/>
            <w:rFonts w:asciiTheme="majorHAnsi" w:hAnsiTheme="majorHAnsi"/>
          </w:rPr>
          <w:t>http://www.rwjf.org/content/dam/farm/reports/reports/2015/rwjf418628</w:t>
        </w:r>
      </w:hyperlink>
    </w:p>
    <w:p w14:paraId="7E77D5BA" w14:textId="2A09A373" w:rsidR="00DA107E" w:rsidRDefault="00DA107E" w:rsidP="00DA107E">
      <w:pPr>
        <w:pStyle w:val="ListParagraph"/>
        <w:numPr>
          <w:ilvl w:val="0"/>
          <w:numId w:val="46"/>
        </w:numPr>
        <w:rPr>
          <w:rFonts w:asciiTheme="majorHAnsi" w:hAnsiTheme="majorHAnsi"/>
        </w:rPr>
      </w:pPr>
      <w:r w:rsidRPr="00B41595">
        <w:rPr>
          <w:rFonts w:asciiTheme="majorHAnsi" w:hAnsiTheme="majorHAnsi"/>
        </w:rPr>
        <w:t xml:space="preserve">Deven McGraw &amp; Alice Leiter, </w:t>
      </w:r>
      <w:r w:rsidRPr="00B41595">
        <w:rPr>
          <w:rFonts w:asciiTheme="majorHAnsi" w:hAnsiTheme="majorHAnsi"/>
          <w:i/>
        </w:rPr>
        <w:t>Risk-Based Regulation of Clinical Health Data Analytics</w:t>
      </w:r>
      <w:r w:rsidR="00B41595">
        <w:rPr>
          <w:rFonts w:asciiTheme="majorHAnsi" w:hAnsiTheme="majorHAnsi"/>
        </w:rPr>
        <w:t>, Colo</w:t>
      </w:r>
      <w:r w:rsidR="005F2AF0">
        <w:rPr>
          <w:rFonts w:asciiTheme="majorHAnsi" w:hAnsiTheme="majorHAnsi"/>
        </w:rPr>
        <w:t xml:space="preserve">.  </w:t>
      </w:r>
      <w:r w:rsidR="00B41595">
        <w:rPr>
          <w:rFonts w:asciiTheme="majorHAnsi" w:hAnsiTheme="majorHAnsi"/>
        </w:rPr>
        <w:t>Tech</w:t>
      </w:r>
      <w:r w:rsidR="00996DD1">
        <w:rPr>
          <w:rFonts w:asciiTheme="majorHAnsi" w:hAnsiTheme="majorHAnsi"/>
        </w:rPr>
        <w:t>.</w:t>
      </w:r>
      <w:r w:rsidR="005F2AF0">
        <w:rPr>
          <w:rFonts w:asciiTheme="majorHAnsi" w:hAnsiTheme="majorHAnsi"/>
        </w:rPr>
        <w:t xml:space="preserve"> </w:t>
      </w:r>
      <w:r w:rsidR="00B41595">
        <w:rPr>
          <w:rFonts w:asciiTheme="majorHAnsi" w:hAnsiTheme="majorHAnsi"/>
        </w:rPr>
        <w:t>L</w:t>
      </w:r>
      <w:r w:rsidR="00996DD1">
        <w:rPr>
          <w:rFonts w:asciiTheme="majorHAnsi" w:hAnsiTheme="majorHAnsi"/>
        </w:rPr>
        <w:t xml:space="preserve">. </w:t>
      </w:r>
      <w:r w:rsidR="00B41595">
        <w:rPr>
          <w:rFonts w:asciiTheme="majorHAnsi" w:hAnsiTheme="majorHAnsi"/>
        </w:rPr>
        <w:t>J., Vol</w:t>
      </w:r>
      <w:r w:rsidR="00996DD1">
        <w:rPr>
          <w:rFonts w:asciiTheme="majorHAnsi" w:hAnsiTheme="majorHAnsi"/>
        </w:rPr>
        <w:t xml:space="preserve">. </w:t>
      </w:r>
      <w:r w:rsidR="00B41595">
        <w:rPr>
          <w:rFonts w:asciiTheme="majorHAnsi" w:hAnsiTheme="majorHAnsi"/>
        </w:rPr>
        <w:t>12.2.</w:t>
      </w:r>
    </w:p>
    <w:p w14:paraId="4325242E" w14:textId="3B0BE38B" w:rsidR="00B5356D" w:rsidRPr="00B5356D" w:rsidRDefault="00B5356D" w:rsidP="00DA107E">
      <w:pPr>
        <w:pStyle w:val="ListParagraph"/>
        <w:numPr>
          <w:ilvl w:val="0"/>
          <w:numId w:val="46"/>
        </w:numPr>
        <w:rPr>
          <w:rFonts w:asciiTheme="majorHAnsi" w:hAnsiTheme="majorHAnsi"/>
        </w:rPr>
      </w:pPr>
      <w:r w:rsidRPr="00636DDA">
        <w:rPr>
          <w:rFonts w:asciiTheme="majorHAnsi" w:hAnsiTheme="majorHAnsi"/>
        </w:rPr>
        <w:t xml:space="preserve">DRAFT NISTIR 8053, De-Identification of Personally Identifiable Information, April 2015, </w:t>
      </w:r>
      <w:hyperlink r:id="rId23" w:history="1">
        <w:r w:rsidRPr="00636DDA">
          <w:rPr>
            <w:rStyle w:val="Hyperlink"/>
            <w:rFonts w:asciiTheme="majorHAnsi" w:hAnsiTheme="majorHAnsi"/>
          </w:rPr>
          <w:t>http://csrc.nist.gov/publications/drafts/nistir-8053/nistir_8053_draft.pdf</w:t>
        </w:r>
      </w:hyperlink>
      <w:r w:rsidR="005F2AF0">
        <w:rPr>
          <w:rStyle w:val="Hyperlink"/>
          <w:rFonts w:asciiTheme="majorHAnsi" w:hAnsiTheme="majorHAnsi"/>
        </w:rPr>
        <w:t xml:space="preserve">.  </w:t>
      </w:r>
    </w:p>
    <w:p w14:paraId="564F3A2E" w14:textId="77C55283" w:rsidR="0081212B" w:rsidRPr="001E0C8F" w:rsidRDefault="0081212B" w:rsidP="00DA107E">
      <w:pPr>
        <w:pStyle w:val="ListParagraph"/>
        <w:numPr>
          <w:ilvl w:val="0"/>
          <w:numId w:val="46"/>
        </w:numPr>
        <w:rPr>
          <w:rStyle w:val="Hyperlink"/>
          <w:rFonts w:asciiTheme="majorHAnsi" w:hAnsiTheme="majorHAnsi"/>
          <w:color w:val="auto"/>
          <w:u w:val="none"/>
        </w:rPr>
      </w:pPr>
      <w:r w:rsidRPr="00B41595">
        <w:rPr>
          <w:rFonts w:asciiTheme="majorHAnsi" w:hAnsiTheme="majorHAnsi"/>
        </w:rPr>
        <w:t>FACT SHEET: Announcing New U.S</w:t>
      </w:r>
      <w:r w:rsidR="005F2AF0">
        <w:rPr>
          <w:rFonts w:asciiTheme="majorHAnsi" w:hAnsiTheme="majorHAnsi"/>
        </w:rPr>
        <w:t xml:space="preserve">.  </w:t>
      </w:r>
      <w:r w:rsidRPr="00B41595">
        <w:rPr>
          <w:rFonts w:asciiTheme="majorHAnsi" w:hAnsiTheme="majorHAnsi"/>
        </w:rPr>
        <w:t xml:space="preserve">Open Government Commitments on the </w:t>
      </w:r>
      <w:r w:rsidRPr="001E0C8F">
        <w:rPr>
          <w:rFonts w:asciiTheme="majorHAnsi" w:hAnsiTheme="majorHAnsi"/>
        </w:rPr>
        <w:t xml:space="preserve">Third Anniversary of the Open Government Partnership, </w:t>
      </w:r>
      <w:hyperlink r:id="rId24" w:history="1">
        <w:r w:rsidRPr="001E0C8F">
          <w:rPr>
            <w:rStyle w:val="Hyperlink"/>
            <w:rFonts w:asciiTheme="majorHAnsi" w:hAnsiTheme="majorHAnsi"/>
          </w:rPr>
          <w:t>https://www.whitehouse.gov/the-press-office/2014/09/24/fact-sheet-announcing-new-us-open-government-commitments-third-anniversa</w:t>
        </w:r>
      </w:hyperlink>
      <w:r w:rsidRPr="001E0C8F">
        <w:rPr>
          <w:rStyle w:val="Hyperlink"/>
          <w:rFonts w:asciiTheme="majorHAnsi" w:hAnsiTheme="majorHAnsi"/>
        </w:rPr>
        <w:t>.</w:t>
      </w:r>
    </w:p>
    <w:p w14:paraId="25721015" w14:textId="53CB05DE" w:rsidR="00AC2072" w:rsidRDefault="00A32319" w:rsidP="00A32319">
      <w:pPr>
        <w:pStyle w:val="ListParagraph"/>
        <w:numPr>
          <w:ilvl w:val="0"/>
          <w:numId w:val="46"/>
        </w:numPr>
        <w:rPr>
          <w:rFonts w:asciiTheme="majorHAnsi" w:hAnsiTheme="majorHAnsi"/>
        </w:rPr>
      </w:pPr>
      <w:r>
        <w:rPr>
          <w:rFonts w:asciiTheme="majorHAnsi" w:hAnsiTheme="majorHAnsi"/>
        </w:rPr>
        <w:t>For Covered Entities and Business Associates, U.S</w:t>
      </w:r>
      <w:r w:rsidR="00996DD1">
        <w:rPr>
          <w:rFonts w:asciiTheme="majorHAnsi" w:hAnsiTheme="majorHAnsi"/>
        </w:rPr>
        <w:t xml:space="preserve">. </w:t>
      </w:r>
      <w:r>
        <w:rPr>
          <w:rFonts w:asciiTheme="majorHAnsi" w:hAnsiTheme="majorHAnsi"/>
        </w:rPr>
        <w:t xml:space="preserve">Department of Health and Human Services, </w:t>
      </w:r>
    </w:p>
    <w:p w14:paraId="2E4AD2A7" w14:textId="77777777" w:rsidR="00AC2072" w:rsidRPr="00636DDA" w:rsidRDefault="00AC2072" w:rsidP="00A32319">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Guidance Regarding Methods for De-Identification of Protected Health Information, </w:t>
      </w:r>
      <w:hyperlink r:id="rId25" w:history="1">
        <w:r w:rsidRPr="00636DDA">
          <w:rPr>
            <w:rStyle w:val="Hyperlink"/>
            <w:rFonts w:asciiTheme="majorHAnsi" w:hAnsiTheme="majorHAnsi"/>
          </w:rPr>
          <w:t>http://www.hhs.gov/ocr/privacy/hipaa/understanding/coveredentities/De-identification/guidance.html</w:t>
        </w:r>
      </w:hyperlink>
    </w:p>
    <w:p w14:paraId="30966F19" w14:textId="41D04B7B" w:rsidR="00A32319" w:rsidRDefault="006E7D3A" w:rsidP="00A32319">
      <w:pPr>
        <w:pStyle w:val="ListParagraph"/>
        <w:numPr>
          <w:ilvl w:val="0"/>
          <w:numId w:val="46"/>
        </w:numPr>
        <w:rPr>
          <w:rFonts w:asciiTheme="majorHAnsi" w:hAnsiTheme="majorHAnsi"/>
        </w:rPr>
      </w:pPr>
      <w:hyperlink r:id="rId26" w:history="1">
        <w:r w:rsidR="00A32319" w:rsidRPr="008C7BF4">
          <w:rPr>
            <w:rStyle w:val="Hyperlink"/>
            <w:rFonts w:asciiTheme="majorHAnsi" w:hAnsiTheme="majorHAnsi"/>
          </w:rPr>
          <w:t>http://www.hhs.gov/ocr/privacy/hipaa/understanding/coveredentities/</w:t>
        </w:r>
      </w:hyperlink>
      <w:r w:rsidR="005F2AF0">
        <w:rPr>
          <w:rFonts w:asciiTheme="majorHAnsi" w:hAnsiTheme="majorHAnsi"/>
        </w:rPr>
        <w:t xml:space="preserve">.  </w:t>
      </w:r>
    </w:p>
    <w:p w14:paraId="0644B712" w14:textId="0051F14D" w:rsidR="008D6FE5" w:rsidRDefault="008D6FE5" w:rsidP="00DA107E">
      <w:pPr>
        <w:pStyle w:val="ListParagraph"/>
        <w:numPr>
          <w:ilvl w:val="0"/>
          <w:numId w:val="46"/>
        </w:numPr>
        <w:rPr>
          <w:rFonts w:asciiTheme="majorHAnsi" w:hAnsiTheme="majorHAnsi"/>
        </w:rPr>
      </w:pPr>
      <w:r>
        <w:rPr>
          <w:rFonts w:asciiTheme="majorHAnsi" w:hAnsiTheme="majorHAnsi"/>
        </w:rPr>
        <w:t xml:space="preserve">HITPC Meeting, March 10, 2015, </w:t>
      </w:r>
      <w:hyperlink r:id="rId27" w:history="1">
        <w:r w:rsidR="00976314" w:rsidRPr="008C7BF4">
          <w:rPr>
            <w:rStyle w:val="Hyperlink"/>
            <w:rFonts w:asciiTheme="majorHAnsi" w:hAnsiTheme="majorHAnsi"/>
          </w:rPr>
          <w:t>http://www.healthit.gov/FACAS/calendar/2015/03/10/hit-policy-committee</w:t>
        </w:r>
      </w:hyperlink>
      <w:r w:rsidR="005F2AF0">
        <w:rPr>
          <w:rFonts w:asciiTheme="majorHAnsi" w:hAnsiTheme="majorHAnsi"/>
        </w:rPr>
        <w:t xml:space="preserve">.  </w:t>
      </w:r>
    </w:p>
    <w:p w14:paraId="3877C90F" w14:textId="17800F02" w:rsidR="001E0C8F" w:rsidRPr="001E0C8F" w:rsidRDefault="001E0C8F" w:rsidP="00DA107E">
      <w:pPr>
        <w:pStyle w:val="ListParagraph"/>
        <w:numPr>
          <w:ilvl w:val="0"/>
          <w:numId w:val="46"/>
        </w:numPr>
        <w:rPr>
          <w:rStyle w:val="Hyperlink"/>
          <w:rFonts w:asciiTheme="majorHAnsi" w:hAnsiTheme="majorHAnsi"/>
          <w:color w:val="auto"/>
          <w:u w:val="none"/>
        </w:rPr>
      </w:pPr>
      <w:r w:rsidRPr="001E0C8F">
        <w:rPr>
          <w:rFonts w:asciiTheme="majorHAnsi" w:hAnsiTheme="majorHAnsi"/>
        </w:rPr>
        <w:t xml:space="preserve">HITPC Meeting, May 22, 2015, </w:t>
      </w:r>
      <w:hyperlink r:id="rId28" w:history="1">
        <w:r w:rsidRPr="001E0C8F">
          <w:rPr>
            <w:rStyle w:val="Hyperlink"/>
            <w:rFonts w:asciiTheme="majorHAnsi" w:hAnsiTheme="majorHAnsi"/>
          </w:rPr>
          <w:t>http://www.healthit.gov/facas/sites/faca/files/HITPC_PSWG_Meeting_Slides_2015-05-22_Final.pdf</w:t>
        </w:r>
      </w:hyperlink>
      <w:r w:rsidR="005F2AF0">
        <w:rPr>
          <w:rStyle w:val="Hyperlink"/>
          <w:rFonts w:asciiTheme="majorHAnsi" w:hAnsiTheme="majorHAnsi"/>
        </w:rPr>
        <w:t xml:space="preserve">.  </w:t>
      </w:r>
    </w:p>
    <w:p w14:paraId="66690FD3" w14:textId="77777777" w:rsidR="00296678" w:rsidRPr="00B41595" w:rsidRDefault="00296678" w:rsidP="00DA107E">
      <w:pPr>
        <w:pStyle w:val="ListParagraph"/>
        <w:numPr>
          <w:ilvl w:val="0"/>
          <w:numId w:val="46"/>
        </w:numPr>
        <w:rPr>
          <w:rStyle w:val="Hyperlink"/>
          <w:rFonts w:asciiTheme="majorHAnsi" w:hAnsiTheme="majorHAnsi"/>
          <w:color w:val="auto"/>
          <w:u w:val="none"/>
        </w:rPr>
      </w:pPr>
      <w:r w:rsidRPr="001E0C8F">
        <w:rPr>
          <w:rFonts w:asciiTheme="majorHAnsi" w:hAnsiTheme="majorHAnsi"/>
        </w:rPr>
        <w:t>HITPC Transmittal</w:t>
      </w:r>
      <w:r w:rsidRPr="00B41595">
        <w:rPr>
          <w:rFonts w:asciiTheme="majorHAnsi" w:hAnsiTheme="majorHAnsi"/>
        </w:rPr>
        <w:t xml:space="preserve"> Letter, August 16, 2011, </w:t>
      </w:r>
      <w:hyperlink r:id="rId29" w:history="1">
        <w:r w:rsidRPr="00B41595">
          <w:rPr>
            <w:rStyle w:val="Hyperlink"/>
            <w:rFonts w:asciiTheme="majorHAnsi" w:hAnsiTheme="majorHAnsi"/>
          </w:rPr>
          <w:t>http://www.healthit.gov/sites/faca/files/HITPC_PSTT_Transmit_8162011.pdf</w:t>
        </w:r>
      </w:hyperlink>
      <w:r w:rsidRPr="00B41595">
        <w:rPr>
          <w:rStyle w:val="Hyperlink"/>
          <w:rFonts w:asciiTheme="majorHAnsi" w:hAnsiTheme="majorHAnsi"/>
        </w:rPr>
        <w:t>.</w:t>
      </w:r>
    </w:p>
    <w:p w14:paraId="67910783" w14:textId="77777777" w:rsidR="003963C6" w:rsidRPr="009D6DAD" w:rsidRDefault="003963C6" w:rsidP="00DA107E">
      <w:pPr>
        <w:pStyle w:val="ListParagraph"/>
        <w:numPr>
          <w:ilvl w:val="0"/>
          <w:numId w:val="46"/>
        </w:numPr>
        <w:rPr>
          <w:rStyle w:val="Hyperlink"/>
          <w:rFonts w:asciiTheme="majorHAnsi" w:hAnsiTheme="majorHAnsi"/>
          <w:color w:val="auto"/>
          <w:u w:val="none"/>
        </w:rPr>
      </w:pPr>
      <w:r w:rsidRPr="005668C9">
        <w:rPr>
          <w:rFonts w:asciiTheme="majorHAnsi" w:hAnsiTheme="majorHAnsi"/>
        </w:rPr>
        <w:lastRenderedPageBreak/>
        <w:t xml:space="preserve">HITPC </w:t>
      </w:r>
      <w:r w:rsidRPr="009D6DAD">
        <w:rPr>
          <w:rFonts w:asciiTheme="majorHAnsi" w:hAnsiTheme="majorHAnsi"/>
        </w:rPr>
        <w:t xml:space="preserve">Transmittal Letter, October 18, 2011, </w:t>
      </w:r>
      <w:hyperlink r:id="rId30" w:history="1">
        <w:r w:rsidRPr="009D6DAD">
          <w:rPr>
            <w:rStyle w:val="Hyperlink"/>
            <w:rFonts w:asciiTheme="majorHAnsi" w:hAnsiTheme="majorHAnsi"/>
          </w:rPr>
          <w:t>http://www.healthit.gov/sites/default/files/pdf/HITPC_Privacy_and_Security_Transmittal_Letter_10_18_11.pdf</w:t>
        </w:r>
      </w:hyperlink>
      <w:r w:rsidRPr="009D6DAD">
        <w:rPr>
          <w:rStyle w:val="Hyperlink"/>
          <w:rFonts w:asciiTheme="majorHAnsi" w:hAnsiTheme="majorHAnsi"/>
        </w:rPr>
        <w:t>.</w:t>
      </w:r>
    </w:p>
    <w:p w14:paraId="41DA2214" w14:textId="77777777" w:rsidR="009D6DAD" w:rsidRPr="005668C9" w:rsidRDefault="009D6DAD" w:rsidP="00DA107E">
      <w:pPr>
        <w:pStyle w:val="ListParagraph"/>
        <w:numPr>
          <w:ilvl w:val="0"/>
          <w:numId w:val="46"/>
        </w:numPr>
        <w:rPr>
          <w:rStyle w:val="Hyperlink"/>
          <w:rFonts w:asciiTheme="majorHAnsi" w:hAnsiTheme="majorHAnsi"/>
          <w:color w:val="auto"/>
          <w:u w:val="none"/>
        </w:rPr>
      </w:pPr>
      <w:r w:rsidRPr="009D6DAD">
        <w:rPr>
          <w:rFonts w:asciiTheme="majorHAnsi" w:hAnsiTheme="majorHAnsi"/>
        </w:rPr>
        <w:t xml:space="preserve">HITPC Transmittal Letter, September 1, 2010, </w:t>
      </w:r>
      <w:hyperlink r:id="rId31" w:history="1">
        <w:r w:rsidRPr="009D6DAD">
          <w:rPr>
            <w:rStyle w:val="Hyperlink"/>
            <w:rFonts w:asciiTheme="majorHAnsi" w:hAnsiTheme="majorHAnsi"/>
          </w:rPr>
          <w:t>http://www.healthit.gov/sites/faca/files/hitpc_transmittal_p_s_tt_9_1_10_0.pdf</w:t>
        </w:r>
      </w:hyperlink>
    </w:p>
    <w:p w14:paraId="2DE64165" w14:textId="77777777" w:rsidR="00B61466" w:rsidRPr="00636DDA" w:rsidRDefault="00B61466" w:rsidP="00DA107E">
      <w:pPr>
        <w:pStyle w:val="ListParagraph"/>
        <w:numPr>
          <w:ilvl w:val="0"/>
          <w:numId w:val="46"/>
        </w:numPr>
        <w:rPr>
          <w:rFonts w:asciiTheme="majorHAnsi" w:hAnsiTheme="majorHAnsi"/>
        </w:rPr>
      </w:pPr>
      <w:proofErr w:type="spellStart"/>
      <w:r w:rsidRPr="00636DDA">
        <w:rPr>
          <w:rFonts w:asciiTheme="majorHAnsi" w:hAnsiTheme="majorHAnsi"/>
        </w:rPr>
        <w:t>HealtheWay</w:t>
      </w:r>
      <w:proofErr w:type="spellEnd"/>
      <w:r w:rsidRPr="00636DDA">
        <w:rPr>
          <w:rFonts w:asciiTheme="majorHAnsi" w:hAnsiTheme="majorHAnsi"/>
        </w:rPr>
        <w:t xml:space="preserve">/Sequoia Project, </w:t>
      </w:r>
      <w:hyperlink r:id="rId32" w:history="1">
        <w:r w:rsidRPr="00636DDA">
          <w:rPr>
            <w:rStyle w:val="Hyperlink"/>
            <w:rFonts w:asciiTheme="majorHAnsi" w:hAnsiTheme="majorHAnsi"/>
          </w:rPr>
          <w:t>http://sequoiaproject.org/</w:t>
        </w:r>
      </w:hyperlink>
    </w:p>
    <w:p w14:paraId="685A2BE9" w14:textId="75679C00" w:rsidR="00296678" w:rsidRPr="0010127E" w:rsidRDefault="00B833F6" w:rsidP="00DA107E">
      <w:pPr>
        <w:pStyle w:val="ListParagraph"/>
        <w:numPr>
          <w:ilvl w:val="0"/>
          <w:numId w:val="46"/>
        </w:numPr>
        <w:rPr>
          <w:rFonts w:asciiTheme="majorHAnsi" w:hAnsiTheme="majorHAnsi"/>
        </w:rPr>
      </w:pPr>
      <w:r>
        <w:rPr>
          <w:rFonts w:asciiTheme="majorHAnsi" w:hAnsiTheme="majorHAnsi"/>
        </w:rPr>
        <w:t>Internet of T</w:t>
      </w:r>
      <w:r w:rsidR="00296678" w:rsidRPr="005668C9">
        <w:rPr>
          <w:rFonts w:asciiTheme="majorHAnsi" w:hAnsiTheme="majorHAnsi"/>
        </w:rPr>
        <w:t>hings: Privacy &amp; Security in a Connected World, FTC St</w:t>
      </w:r>
      <w:r w:rsidR="001A3F4E" w:rsidRPr="005668C9">
        <w:rPr>
          <w:rFonts w:asciiTheme="majorHAnsi" w:hAnsiTheme="majorHAnsi"/>
        </w:rPr>
        <w:t xml:space="preserve">aff Report, </w:t>
      </w:r>
      <w:r w:rsidR="001A3F4E" w:rsidRPr="0010127E">
        <w:rPr>
          <w:rFonts w:asciiTheme="majorHAnsi" w:hAnsiTheme="majorHAnsi"/>
        </w:rPr>
        <w:t>January 2015,</w:t>
      </w:r>
      <w:r w:rsidR="00296678" w:rsidRPr="0010127E">
        <w:rPr>
          <w:rFonts w:asciiTheme="majorHAnsi" w:hAnsiTheme="majorHAnsi"/>
        </w:rPr>
        <w:t xml:space="preserve"> </w:t>
      </w:r>
      <w:hyperlink r:id="rId33" w:history="1">
        <w:r w:rsidR="00296678" w:rsidRPr="0010127E">
          <w:rPr>
            <w:rStyle w:val="Hyperlink"/>
            <w:rFonts w:asciiTheme="majorHAnsi" w:hAnsiTheme="majorHAnsi"/>
          </w:rPr>
          <w:t>https://www.ftc.gov/system/files/documents/reports/federal-trade-commission-staff-report-november-2013-workshop-entitled-internet-things-privacy/150127iotrpt.pdf</w:t>
        </w:r>
      </w:hyperlink>
      <w:r w:rsidR="00296678" w:rsidRPr="0010127E">
        <w:rPr>
          <w:rFonts w:asciiTheme="majorHAnsi" w:hAnsiTheme="majorHAnsi"/>
        </w:rPr>
        <w:t>.</w:t>
      </w:r>
    </w:p>
    <w:p w14:paraId="665370E5" w14:textId="39D42D9F" w:rsidR="0010127E" w:rsidRPr="0010127E" w:rsidRDefault="00275074" w:rsidP="00DA107E">
      <w:pPr>
        <w:pStyle w:val="ListParagraph"/>
        <w:numPr>
          <w:ilvl w:val="0"/>
          <w:numId w:val="46"/>
        </w:numPr>
        <w:rPr>
          <w:rFonts w:asciiTheme="majorHAnsi" w:hAnsiTheme="majorHAnsi"/>
        </w:rPr>
      </w:pPr>
      <w:r w:rsidRPr="00636DDA">
        <w:rPr>
          <w:rFonts w:asciiTheme="majorHAnsi" w:hAnsiTheme="majorHAnsi"/>
        </w:rPr>
        <w:t xml:space="preserve">Kirk </w:t>
      </w:r>
      <w:proofErr w:type="spellStart"/>
      <w:r w:rsidRPr="00636DDA">
        <w:rPr>
          <w:rFonts w:asciiTheme="majorHAnsi" w:hAnsiTheme="majorHAnsi"/>
        </w:rPr>
        <w:t>Nahra</w:t>
      </w:r>
      <w:proofErr w:type="spellEnd"/>
      <w:r w:rsidRPr="00636DDA">
        <w:rPr>
          <w:rFonts w:asciiTheme="majorHAnsi" w:hAnsiTheme="majorHAnsi"/>
        </w:rPr>
        <w:t xml:space="preserve">, Moving Toward a New Health Care Privacy Paradigm, Wiley Rein LLP, November 2014, </w:t>
      </w:r>
      <w:r w:rsidR="0010127E" w:rsidRPr="00275074">
        <w:rPr>
          <w:rFonts w:asciiTheme="majorHAnsi" w:hAnsiTheme="majorHAnsi"/>
        </w:rPr>
        <w:t xml:space="preserve"> </w:t>
      </w:r>
      <w:hyperlink r:id="rId34" w:history="1">
        <w:r w:rsidR="0010127E" w:rsidRPr="0010127E">
          <w:rPr>
            <w:rStyle w:val="Hyperlink"/>
            <w:rFonts w:asciiTheme="majorHAnsi" w:hAnsiTheme="majorHAnsi"/>
          </w:rPr>
          <w:t>http://www.healthit.gov/facas/sites/faca/files/PSWG_Background_Kirk_Nahra_Health_Care_Privacy_Paradigm_2014-12-08.pdf</w:t>
        </w:r>
      </w:hyperlink>
      <w:r w:rsidR="005F2AF0">
        <w:rPr>
          <w:rFonts w:asciiTheme="majorHAnsi" w:hAnsiTheme="majorHAnsi"/>
        </w:rPr>
        <w:t xml:space="preserve">.  </w:t>
      </w:r>
    </w:p>
    <w:p w14:paraId="153C1FA5" w14:textId="7FAC373A" w:rsidR="00D223A4" w:rsidRPr="004E3E47" w:rsidRDefault="00977912" w:rsidP="00DA107E">
      <w:pPr>
        <w:pStyle w:val="ListParagraph"/>
        <w:numPr>
          <w:ilvl w:val="0"/>
          <w:numId w:val="46"/>
        </w:numPr>
        <w:rPr>
          <w:rStyle w:val="Hyperlink"/>
          <w:rFonts w:asciiTheme="majorHAnsi" w:hAnsiTheme="majorHAnsi"/>
          <w:color w:val="auto"/>
          <w:u w:val="none"/>
        </w:rPr>
      </w:pPr>
      <w:proofErr w:type="spellStart"/>
      <w:r w:rsidRPr="00636DDA">
        <w:rPr>
          <w:rFonts w:asciiTheme="majorHAnsi" w:hAnsiTheme="majorHAnsi"/>
        </w:rPr>
        <w:t>Markle</w:t>
      </w:r>
      <w:proofErr w:type="spellEnd"/>
      <w:r w:rsidRPr="00636DDA">
        <w:rPr>
          <w:rFonts w:asciiTheme="majorHAnsi" w:hAnsiTheme="majorHAnsi"/>
        </w:rPr>
        <w:t xml:space="preserve"> Connecting for Health Common Framework, </w:t>
      </w:r>
      <w:hyperlink r:id="rId35" w:history="1">
        <w:r w:rsidRPr="00636DDA">
          <w:rPr>
            <w:rStyle w:val="Hyperlink"/>
            <w:rFonts w:asciiTheme="majorHAnsi" w:hAnsiTheme="majorHAnsi"/>
          </w:rPr>
          <w:t>http://www.markle.org/sites/default/files/CF-Consumers-Full.pdf</w:t>
        </w:r>
      </w:hyperlink>
      <w:r w:rsidR="005F2AF0">
        <w:rPr>
          <w:rStyle w:val="Hyperlink"/>
          <w:rFonts w:asciiTheme="majorHAnsi" w:hAnsiTheme="majorHAnsi"/>
        </w:rPr>
        <w:t xml:space="preserve">.  </w:t>
      </w:r>
    </w:p>
    <w:p w14:paraId="54028C85" w14:textId="1405A2B7" w:rsidR="004E3E47" w:rsidRPr="00636DDA" w:rsidRDefault="004E3E47" w:rsidP="00DA107E">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NIH Data Sharing Policy and Implementation Guidance, </w:t>
      </w:r>
      <w:hyperlink r:id="rId36" w:anchor="enclave" w:history="1">
        <w:r w:rsidRPr="00636DDA">
          <w:rPr>
            <w:rStyle w:val="Hyperlink"/>
            <w:rFonts w:asciiTheme="majorHAnsi" w:eastAsia="Times New Roman" w:hAnsiTheme="majorHAnsi"/>
          </w:rPr>
          <w:t>http://grants.nih.gov/grants/policy/data_sharing/data_sharing_guidance.htm#enclave</w:t>
        </w:r>
      </w:hyperlink>
      <w:r w:rsidR="005F2AF0">
        <w:rPr>
          <w:rStyle w:val="Hyperlink"/>
          <w:rFonts w:asciiTheme="majorHAnsi" w:eastAsia="Times New Roman" w:hAnsiTheme="majorHAnsi"/>
        </w:rPr>
        <w:t xml:space="preserve">.  </w:t>
      </w:r>
    </w:p>
    <w:p w14:paraId="65CB503E" w14:textId="3089ADF5" w:rsidR="00D223A4" w:rsidRPr="00636DDA" w:rsidRDefault="00D223A4" w:rsidP="00DA107E">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NIST National Strategy for Trusted Identities in Cyberspace, </w:t>
      </w:r>
      <w:hyperlink r:id="rId37" w:history="1">
        <w:r w:rsidRPr="00636DDA">
          <w:rPr>
            <w:rStyle w:val="Hyperlink"/>
            <w:rFonts w:asciiTheme="majorHAnsi" w:hAnsiTheme="majorHAnsi"/>
          </w:rPr>
          <w:t>http://www.nist.gov/nstic/NSTIC-FIPPs.pdf</w:t>
        </w:r>
      </w:hyperlink>
      <w:r w:rsidR="005F2AF0">
        <w:rPr>
          <w:rStyle w:val="Hyperlink"/>
          <w:rFonts w:asciiTheme="majorHAnsi" w:hAnsiTheme="majorHAnsi"/>
        </w:rPr>
        <w:t xml:space="preserve">.  </w:t>
      </w:r>
    </w:p>
    <w:p w14:paraId="4DF34FE9" w14:textId="27A32035" w:rsidR="00977912" w:rsidRPr="00277508" w:rsidRDefault="00977912" w:rsidP="00DA107E">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OECD Guidelines on the Protection of Privacy, </w:t>
      </w:r>
      <w:hyperlink r:id="rId38" w:history="1">
        <w:r w:rsidRPr="00636DDA">
          <w:rPr>
            <w:rStyle w:val="Hyperlink"/>
            <w:rFonts w:asciiTheme="majorHAnsi" w:hAnsiTheme="majorHAnsi"/>
          </w:rPr>
          <w:t>http://www.oecd.org/sti/ieconomy/oecdguidelinesontheprotectionofprivacyandtransborderflowsofpersonaldata.htm</w:t>
        </w:r>
      </w:hyperlink>
      <w:r w:rsidR="005F2AF0">
        <w:rPr>
          <w:rStyle w:val="Hyperlink"/>
          <w:rFonts w:asciiTheme="majorHAnsi" w:hAnsiTheme="majorHAnsi"/>
        </w:rPr>
        <w:t xml:space="preserve">.  </w:t>
      </w:r>
    </w:p>
    <w:p w14:paraId="2B6A9CB7" w14:textId="5BEECBD1" w:rsidR="00306B9A" w:rsidRPr="00636DDA" w:rsidRDefault="00306B9A" w:rsidP="00636DDA">
      <w:pPr>
        <w:pStyle w:val="FootnoteText"/>
        <w:numPr>
          <w:ilvl w:val="0"/>
          <w:numId w:val="46"/>
        </w:numPr>
        <w:rPr>
          <w:rStyle w:val="Hyperlink"/>
          <w:rFonts w:asciiTheme="majorHAnsi" w:hAnsiTheme="majorHAnsi"/>
          <w:color w:val="auto"/>
          <w:u w:val="none"/>
        </w:rPr>
      </w:pPr>
      <w:r w:rsidRPr="00636DDA">
        <w:rPr>
          <w:rFonts w:asciiTheme="majorHAnsi" w:hAnsiTheme="majorHAnsi"/>
        </w:rPr>
        <w:t xml:space="preserve">Office of Management and Budget, </w:t>
      </w:r>
      <w:r w:rsidRPr="00636DDA">
        <w:rPr>
          <w:rFonts w:asciiTheme="majorHAnsi" w:hAnsiTheme="majorHAnsi"/>
          <w:color w:val="181818"/>
        </w:rPr>
        <w:t xml:space="preserve">M-13-13, </w:t>
      </w:r>
      <w:r w:rsidRPr="00636DDA">
        <w:rPr>
          <w:rFonts w:asciiTheme="majorHAnsi" w:hAnsiTheme="majorHAnsi"/>
        </w:rPr>
        <w:t xml:space="preserve">Open Data Policy – Managing Information as an Asset, </w:t>
      </w:r>
      <w:hyperlink r:id="rId39" w:history="1">
        <w:r w:rsidR="00996DD1" w:rsidRPr="00636DDA">
          <w:rPr>
            <w:rStyle w:val="Hyperlink"/>
            <w:rFonts w:asciiTheme="majorHAnsi" w:hAnsiTheme="majorHAnsi"/>
          </w:rPr>
          <w:t>https://www.whitehouse.gov/sites/default/files/omb/memoranda/2013/m-13-13.pdf</w:t>
        </w:r>
      </w:hyperlink>
    </w:p>
    <w:p w14:paraId="655DFDB6" w14:textId="7412B94B" w:rsidR="00277508" w:rsidRPr="00636DDA" w:rsidRDefault="00277508" w:rsidP="00636DDA">
      <w:pPr>
        <w:pStyle w:val="FootnoteText"/>
        <w:numPr>
          <w:ilvl w:val="0"/>
          <w:numId w:val="46"/>
        </w:numPr>
        <w:rPr>
          <w:rFonts w:asciiTheme="majorHAnsi" w:hAnsiTheme="majorHAnsi"/>
        </w:rPr>
      </w:pPr>
      <w:r w:rsidRPr="00636DDA">
        <w:rPr>
          <w:rFonts w:asciiTheme="majorHAnsi" w:hAnsiTheme="majorHAnsi"/>
        </w:rPr>
        <w:t xml:space="preserve">Open Government Partnership, </w:t>
      </w:r>
      <w:hyperlink r:id="rId40" w:history="1">
        <w:r w:rsidRPr="00636DDA">
          <w:rPr>
            <w:rStyle w:val="Hyperlink"/>
            <w:rFonts w:asciiTheme="majorHAnsi" w:hAnsiTheme="majorHAnsi"/>
          </w:rPr>
          <w:t>http://www.opengovpartnership.org</w:t>
        </w:r>
      </w:hyperlink>
      <w:r w:rsidR="005F2AF0">
        <w:rPr>
          <w:rFonts w:asciiTheme="majorHAnsi" w:hAnsiTheme="majorHAnsi"/>
        </w:rPr>
        <w:t xml:space="preserve">.  </w:t>
      </w:r>
    </w:p>
    <w:p w14:paraId="73933D0F" w14:textId="096A8A48" w:rsidR="001B5F79" w:rsidRPr="00636DDA" w:rsidRDefault="001B5F79" w:rsidP="00DA107E">
      <w:pPr>
        <w:pStyle w:val="ListParagraph"/>
        <w:numPr>
          <w:ilvl w:val="0"/>
          <w:numId w:val="46"/>
        </w:numPr>
        <w:rPr>
          <w:rStyle w:val="Hyperlink"/>
          <w:rFonts w:asciiTheme="majorHAnsi" w:hAnsiTheme="majorHAnsi"/>
          <w:color w:val="auto"/>
          <w:u w:val="none"/>
        </w:rPr>
      </w:pPr>
      <w:proofErr w:type="spellStart"/>
      <w:r w:rsidRPr="00636DDA">
        <w:rPr>
          <w:rStyle w:val="Hyperlink"/>
          <w:rFonts w:asciiTheme="majorHAnsi" w:hAnsiTheme="majorHAnsi"/>
        </w:rPr>
        <w:t>PCORnet</w:t>
      </w:r>
      <w:proofErr w:type="spellEnd"/>
      <w:r w:rsidRPr="00636DDA">
        <w:rPr>
          <w:rStyle w:val="Hyperlink"/>
          <w:rFonts w:asciiTheme="majorHAnsi" w:hAnsiTheme="majorHAnsi"/>
        </w:rPr>
        <w:t xml:space="preserve">, </w:t>
      </w:r>
      <w:hyperlink r:id="rId41" w:history="1">
        <w:r w:rsidRPr="00636DDA">
          <w:rPr>
            <w:rStyle w:val="Hyperlink"/>
            <w:rFonts w:asciiTheme="majorHAnsi" w:hAnsiTheme="majorHAnsi"/>
          </w:rPr>
          <w:t>http://www.pcori.org/research-results/pcornet-national-patient-centered-clinical-research-network</w:t>
        </w:r>
      </w:hyperlink>
      <w:r w:rsidR="005F2AF0">
        <w:rPr>
          <w:rStyle w:val="Hyperlink"/>
          <w:rFonts w:asciiTheme="majorHAnsi" w:hAnsiTheme="majorHAnsi"/>
        </w:rPr>
        <w:t xml:space="preserve">.  </w:t>
      </w:r>
    </w:p>
    <w:p w14:paraId="493FAFEA" w14:textId="736A6882" w:rsidR="004872BB" w:rsidRDefault="004872BB" w:rsidP="00DA107E">
      <w:pPr>
        <w:pStyle w:val="ListParagraph"/>
        <w:numPr>
          <w:ilvl w:val="0"/>
          <w:numId w:val="46"/>
        </w:numPr>
        <w:rPr>
          <w:rFonts w:asciiTheme="majorHAnsi" w:hAnsiTheme="majorHAnsi"/>
        </w:rPr>
      </w:pPr>
      <w:r>
        <w:rPr>
          <w:rFonts w:asciiTheme="majorHAnsi" w:hAnsiTheme="majorHAnsi"/>
        </w:rPr>
        <w:t xml:space="preserve">Policy: Privacy and Security Workgroup, February 9, 2015, </w:t>
      </w:r>
      <w:hyperlink r:id="rId42" w:history="1">
        <w:r w:rsidRPr="008C7BF4">
          <w:rPr>
            <w:rStyle w:val="Hyperlink"/>
            <w:rFonts w:asciiTheme="majorHAnsi" w:hAnsiTheme="majorHAnsi"/>
          </w:rPr>
          <w:t>http://www.healthit.gov/facas/calendar/2015/02/09/policy-privacy-security-workgroup</w:t>
        </w:r>
      </w:hyperlink>
      <w:r w:rsidR="005F2AF0">
        <w:rPr>
          <w:rFonts w:asciiTheme="majorHAnsi" w:hAnsiTheme="majorHAnsi"/>
        </w:rPr>
        <w:t xml:space="preserve">.  </w:t>
      </w:r>
    </w:p>
    <w:p w14:paraId="7D2165A8" w14:textId="0EA1F793" w:rsidR="0007198A" w:rsidRDefault="0007198A" w:rsidP="00DA107E">
      <w:pPr>
        <w:pStyle w:val="ListParagraph"/>
        <w:numPr>
          <w:ilvl w:val="0"/>
          <w:numId w:val="46"/>
        </w:numPr>
        <w:rPr>
          <w:rFonts w:asciiTheme="majorHAnsi" w:hAnsiTheme="majorHAnsi"/>
        </w:rPr>
      </w:pPr>
      <w:r>
        <w:rPr>
          <w:rFonts w:asciiTheme="majorHAnsi" w:hAnsiTheme="majorHAnsi"/>
        </w:rPr>
        <w:t xml:space="preserve">Policy: Privacy and Security Workgroup Virtual Hearing, December 5, 2014, </w:t>
      </w:r>
      <w:hyperlink r:id="rId43" w:history="1">
        <w:r w:rsidRPr="008C7BF4">
          <w:rPr>
            <w:rStyle w:val="Hyperlink"/>
            <w:rFonts w:asciiTheme="majorHAnsi" w:hAnsiTheme="majorHAnsi"/>
          </w:rPr>
          <w:t>http://www.healthit.gov/facas/calendar/2014/12/05/policy-privacy-security-workgroup-virtual-hearing</w:t>
        </w:r>
      </w:hyperlink>
      <w:r w:rsidR="005F2AF0">
        <w:rPr>
          <w:rFonts w:asciiTheme="majorHAnsi" w:hAnsiTheme="majorHAnsi"/>
        </w:rPr>
        <w:t xml:space="preserve">.  </w:t>
      </w:r>
    </w:p>
    <w:p w14:paraId="2C02AB16" w14:textId="78BA213A" w:rsidR="0007198A" w:rsidRDefault="0007198A" w:rsidP="00DA107E">
      <w:pPr>
        <w:pStyle w:val="ListParagraph"/>
        <w:numPr>
          <w:ilvl w:val="0"/>
          <w:numId w:val="46"/>
        </w:numPr>
        <w:rPr>
          <w:rFonts w:asciiTheme="majorHAnsi" w:hAnsiTheme="majorHAnsi"/>
        </w:rPr>
      </w:pPr>
      <w:r>
        <w:rPr>
          <w:rFonts w:asciiTheme="majorHAnsi" w:hAnsiTheme="majorHAnsi"/>
        </w:rPr>
        <w:t xml:space="preserve">Policy: Privacy and Security Workgroup Virtual Hearing, December 8, 2014, </w:t>
      </w:r>
      <w:hyperlink r:id="rId44" w:history="1">
        <w:r w:rsidR="00216600" w:rsidRPr="008C7BF4">
          <w:rPr>
            <w:rStyle w:val="Hyperlink"/>
            <w:rFonts w:asciiTheme="majorHAnsi" w:hAnsiTheme="majorHAnsi"/>
          </w:rPr>
          <w:t>http://www.healthit.gov/facas/calendar/2014/12/08/policy-privacy-security-workgroup-virtual-hearing</w:t>
        </w:r>
      </w:hyperlink>
      <w:r w:rsidR="005F2AF0">
        <w:rPr>
          <w:rFonts w:asciiTheme="majorHAnsi" w:hAnsiTheme="majorHAnsi"/>
        </w:rPr>
        <w:t xml:space="preserve">.  </w:t>
      </w:r>
    </w:p>
    <w:p w14:paraId="2A1EE692" w14:textId="7A166F55" w:rsidR="006F7E26" w:rsidRPr="005668C9" w:rsidRDefault="00880088" w:rsidP="00DA107E">
      <w:pPr>
        <w:pStyle w:val="ListParagraph"/>
        <w:numPr>
          <w:ilvl w:val="0"/>
          <w:numId w:val="46"/>
        </w:numPr>
        <w:rPr>
          <w:rFonts w:asciiTheme="majorHAnsi" w:hAnsiTheme="majorHAnsi"/>
        </w:rPr>
      </w:pPr>
      <w:r>
        <w:rPr>
          <w:rFonts w:asciiTheme="majorHAnsi" w:hAnsiTheme="majorHAnsi"/>
        </w:rPr>
        <w:t>Privacy and Security Workgroup</w:t>
      </w:r>
      <w:r w:rsidR="006F7E26" w:rsidRPr="005668C9">
        <w:rPr>
          <w:rFonts w:asciiTheme="majorHAnsi" w:hAnsiTheme="majorHAnsi"/>
        </w:rPr>
        <w:t xml:space="preserve"> Transcript, December 5, 2014, </w:t>
      </w:r>
      <w:hyperlink r:id="rId45" w:history="1">
        <w:r w:rsidR="00D35527" w:rsidRPr="005A1132">
          <w:rPr>
            <w:rStyle w:val="Hyperlink"/>
            <w:rFonts w:asciiTheme="majorHAnsi" w:hAnsiTheme="majorHAnsi"/>
          </w:rPr>
          <w:t>http://www.healthit.gov/facas/sites/faca/files/PSWG_Transcript_Final_2014-12-05.pdf</w:t>
        </w:r>
      </w:hyperlink>
      <w:r w:rsidR="005F2AF0">
        <w:rPr>
          <w:rFonts w:asciiTheme="majorHAnsi" w:hAnsiTheme="majorHAnsi"/>
        </w:rPr>
        <w:t xml:space="preserve">.  </w:t>
      </w:r>
    </w:p>
    <w:p w14:paraId="7E803FA9" w14:textId="031E9AC3" w:rsidR="006F7E26" w:rsidRPr="005668C9" w:rsidRDefault="00880088" w:rsidP="006F7E26">
      <w:pPr>
        <w:pStyle w:val="ListParagraph"/>
        <w:numPr>
          <w:ilvl w:val="0"/>
          <w:numId w:val="46"/>
        </w:numPr>
        <w:rPr>
          <w:rFonts w:asciiTheme="majorHAnsi" w:hAnsiTheme="majorHAnsi"/>
        </w:rPr>
      </w:pPr>
      <w:r>
        <w:rPr>
          <w:rFonts w:asciiTheme="majorHAnsi" w:hAnsiTheme="majorHAnsi"/>
        </w:rPr>
        <w:lastRenderedPageBreak/>
        <w:t>Privacy and Security Workgroup</w:t>
      </w:r>
      <w:r w:rsidR="006F7E26" w:rsidRPr="005668C9">
        <w:rPr>
          <w:rFonts w:asciiTheme="majorHAnsi" w:hAnsiTheme="majorHAnsi"/>
        </w:rPr>
        <w:t xml:space="preserve"> Transcript, December 8, 2014, </w:t>
      </w:r>
      <w:hyperlink r:id="rId46" w:history="1">
        <w:r w:rsidR="00D35527" w:rsidRPr="005A1132">
          <w:rPr>
            <w:rStyle w:val="Hyperlink"/>
            <w:rFonts w:asciiTheme="majorHAnsi" w:hAnsiTheme="majorHAnsi"/>
          </w:rPr>
          <w:t>http://www.healthit.gov/facas/sites/faca/files/PSWG_Transcript_Final_2014-12-08.pdf</w:t>
        </w:r>
      </w:hyperlink>
      <w:r w:rsidR="005F2AF0">
        <w:rPr>
          <w:rFonts w:asciiTheme="majorHAnsi" w:hAnsiTheme="majorHAnsi"/>
        </w:rPr>
        <w:t xml:space="preserve">.  </w:t>
      </w:r>
    </w:p>
    <w:p w14:paraId="19172152" w14:textId="209957AF" w:rsidR="006F7E26" w:rsidRPr="005668C9" w:rsidRDefault="00880088" w:rsidP="006F7E26">
      <w:pPr>
        <w:pStyle w:val="ListParagraph"/>
        <w:numPr>
          <w:ilvl w:val="0"/>
          <w:numId w:val="46"/>
        </w:numPr>
        <w:rPr>
          <w:rFonts w:asciiTheme="majorHAnsi" w:hAnsiTheme="majorHAnsi"/>
        </w:rPr>
      </w:pPr>
      <w:r>
        <w:rPr>
          <w:rFonts w:asciiTheme="majorHAnsi" w:hAnsiTheme="majorHAnsi"/>
        </w:rPr>
        <w:t>Privacy and Security Workgroup</w:t>
      </w:r>
      <w:r w:rsidR="006F7E26" w:rsidRPr="005668C9">
        <w:rPr>
          <w:rFonts w:asciiTheme="majorHAnsi" w:hAnsiTheme="majorHAnsi"/>
        </w:rPr>
        <w:t xml:space="preserve"> Transcript, February 9, 2015, </w:t>
      </w:r>
      <w:hyperlink r:id="rId47" w:history="1">
        <w:r w:rsidR="00D35527" w:rsidRPr="005A1132">
          <w:rPr>
            <w:rStyle w:val="Hyperlink"/>
            <w:rFonts w:asciiTheme="majorHAnsi" w:hAnsiTheme="majorHAnsi"/>
          </w:rPr>
          <w:t>http://www.healthit.gov/facas/sites/faca/files/PSWG_Transcript_Final_2015-02-09.pdf</w:t>
        </w:r>
      </w:hyperlink>
      <w:r w:rsidR="005F2AF0">
        <w:rPr>
          <w:rFonts w:asciiTheme="majorHAnsi" w:hAnsiTheme="majorHAnsi"/>
        </w:rPr>
        <w:t xml:space="preserve">.  </w:t>
      </w:r>
    </w:p>
    <w:p w14:paraId="2766020F" w14:textId="77777777" w:rsidR="008060EB" w:rsidRPr="005668C9" w:rsidRDefault="00B41595" w:rsidP="00DA107E">
      <w:pPr>
        <w:pStyle w:val="ListParagraph"/>
        <w:numPr>
          <w:ilvl w:val="0"/>
          <w:numId w:val="46"/>
        </w:numPr>
        <w:rPr>
          <w:rStyle w:val="Hyperlink"/>
          <w:rFonts w:asciiTheme="majorHAnsi" w:hAnsiTheme="majorHAnsi"/>
          <w:color w:val="auto"/>
          <w:u w:val="none"/>
        </w:rPr>
      </w:pPr>
      <w:r w:rsidRPr="005668C9">
        <w:rPr>
          <w:rFonts w:asciiTheme="majorHAnsi" w:hAnsiTheme="majorHAnsi"/>
        </w:rPr>
        <w:t>Public Hearing Responses of Richard Platt,</w:t>
      </w:r>
      <w:r w:rsidR="001A3F4E" w:rsidRPr="005668C9">
        <w:rPr>
          <w:rFonts w:asciiTheme="majorHAnsi" w:hAnsiTheme="majorHAnsi"/>
        </w:rPr>
        <w:t xml:space="preserve"> </w:t>
      </w:r>
      <w:hyperlink r:id="rId48" w:history="1">
        <w:r w:rsidRPr="005668C9">
          <w:rPr>
            <w:rStyle w:val="Hyperlink"/>
            <w:rFonts w:asciiTheme="majorHAnsi" w:hAnsiTheme="majorHAnsi"/>
          </w:rPr>
          <w:t>http://www.healthit.gov/facas/sites/faca/files/PSWG_Background_Richard_Platt_Reply_to_Questions_for_Panelists_2014-12-05.pdf</w:t>
        </w:r>
      </w:hyperlink>
      <w:r w:rsidR="005668C9" w:rsidRPr="005668C9">
        <w:rPr>
          <w:rStyle w:val="Hyperlink"/>
          <w:rFonts w:asciiTheme="majorHAnsi" w:hAnsiTheme="majorHAnsi"/>
        </w:rPr>
        <w:t>.</w:t>
      </w:r>
    </w:p>
    <w:p w14:paraId="0F69C6EE" w14:textId="6A511F6B" w:rsidR="005668C9" w:rsidRPr="00A63FF9" w:rsidRDefault="005668C9" w:rsidP="00DA107E">
      <w:pPr>
        <w:pStyle w:val="ListParagraph"/>
        <w:numPr>
          <w:ilvl w:val="0"/>
          <w:numId w:val="46"/>
        </w:numPr>
        <w:rPr>
          <w:rStyle w:val="Hyperlink"/>
          <w:rFonts w:asciiTheme="majorHAnsi" w:hAnsiTheme="majorHAnsi"/>
          <w:color w:val="auto"/>
          <w:u w:val="none"/>
        </w:rPr>
      </w:pPr>
      <w:r w:rsidRPr="005668C9">
        <w:rPr>
          <w:rFonts w:asciiTheme="majorHAnsi" w:hAnsiTheme="majorHAnsi"/>
        </w:rPr>
        <w:t xml:space="preserve">Testimony of CDT for the HIT </w:t>
      </w:r>
      <w:r w:rsidR="00880088">
        <w:rPr>
          <w:rFonts w:asciiTheme="majorHAnsi" w:hAnsiTheme="majorHAnsi"/>
        </w:rPr>
        <w:t>Privacy and Security Workgroup</w:t>
      </w:r>
      <w:r w:rsidRPr="005668C9">
        <w:rPr>
          <w:rFonts w:asciiTheme="majorHAnsi" w:hAnsiTheme="majorHAnsi"/>
        </w:rPr>
        <w:t xml:space="preserve"> Virtua</w:t>
      </w:r>
      <w:r w:rsidR="00331599">
        <w:rPr>
          <w:rFonts w:asciiTheme="majorHAnsi" w:hAnsiTheme="majorHAnsi"/>
        </w:rPr>
        <w:t xml:space="preserve">l Hearing, December 5, 2014, </w:t>
      </w:r>
      <w:hyperlink r:id="rId49" w:history="1">
        <w:r w:rsidRPr="005668C9">
          <w:rPr>
            <w:rStyle w:val="Hyperlink"/>
            <w:rFonts w:asciiTheme="majorHAnsi" w:hAnsiTheme="majorHAnsi"/>
          </w:rPr>
          <w:t>http://www.healthit.gov/facas/sites/faca/files/PSWG_Testimony_Michelle_DeMooy_CDT_2014-12-05_0.pdf</w:t>
        </w:r>
      </w:hyperlink>
      <w:r w:rsidRPr="005668C9">
        <w:rPr>
          <w:rStyle w:val="Hyperlink"/>
          <w:rFonts w:asciiTheme="majorHAnsi" w:hAnsiTheme="majorHAnsi"/>
        </w:rPr>
        <w:t>.</w:t>
      </w:r>
    </w:p>
    <w:p w14:paraId="04EEFC9F" w14:textId="77E416AA" w:rsidR="00A63FF9" w:rsidRPr="00A63FF9" w:rsidRDefault="00A63FF9" w:rsidP="00DA107E">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Toolkit for Communities Using Health Data: How to collect, use, protect, and share data responsibly, NCVHS, Draft 8: November 6, 2014, </w:t>
      </w:r>
      <w:hyperlink r:id="rId50" w:history="1">
        <w:r w:rsidR="009C3BBE" w:rsidRPr="008C7BF4">
          <w:rPr>
            <w:rStyle w:val="Hyperlink"/>
            <w:rFonts w:asciiTheme="majorHAnsi" w:hAnsiTheme="majorHAnsi"/>
          </w:rPr>
          <w:t>http://www.healthit.gov/facas/sites/faca/files/PSWG_Background_Leslie_Francis_NCVHS_Toolkit_2014-12-08.pdf</w:t>
        </w:r>
      </w:hyperlink>
      <w:r w:rsidR="005F2AF0">
        <w:rPr>
          <w:rFonts w:asciiTheme="majorHAnsi" w:hAnsiTheme="majorHAnsi"/>
        </w:rPr>
        <w:t xml:space="preserve">.  </w:t>
      </w:r>
    </w:p>
    <w:p w14:paraId="05C6631B" w14:textId="1E1EADFF" w:rsidR="00F01189" w:rsidRPr="00D223A4" w:rsidRDefault="00F01189" w:rsidP="00DA107E">
      <w:pPr>
        <w:pStyle w:val="ListParagraph"/>
        <w:numPr>
          <w:ilvl w:val="0"/>
          <w:numId w:val="46"/>
        </w:numPr>
        <w:rPr>
          <w:rStyle w:val="Hyperlink"/>
          <w:rFonts w:asciiTheme="majorHAnsi" w:hAnsiTheme="majorHAnsi"/>
          <w:color w:val="auto"/>
          <w:u w:val="none"/>
        </w:rPr>
      </w:pPr>
      <w:r>
        <w:rPr>
          <w:rFonts w:asciiTheme="majorHAnsi" w:hAnsiTheme="majorHAnsi"/>
        </w:rPr>
        <w:t>Virtual HITPC Meeting, June 30, 2015</w:t>
      </w:r>
      <w:r w:rsidR="000C6808">
        <w:rPr>
          <w:rFonts w:asciiTheme="majorHAnsi" w:hAnsiTheme="majorHAnsi"/>
        </w:rPr>
        <w:t xml:space="preserve">, </w:t>
      </w:r>
      <w:hyperlink r:id="rId51" w:history="1">
        <w:r w:rsidR="000C6808" w:rsidRPr="008C7BF4">
          <w:rPr>
            <w:rStyle w:val="Hyperlink"/>
            <w:rFonts w:asciiTheme="majorHAnsi" w:hAnsiTheme="majorHAnsi"/>
          </w:rPr>
          <w:t>http://www.healthit.gov/FACAS/calendar/2015/06/30/virtual-hit-policy-committee</w:t>
        </w:r>
      </w:hyperlink>
      <w:r w:rsidR="005F2AF0">
        <w:rPr>
          <w:rFonts w:asciiTheme="majorHAnsi" w:hAnsiTheme="majorHAnsi"/>
        </w:rPr>
        <w:t xml:space="preserve">.  </w:t>
      </w:r>
    </w:p>
    <w:p w14:paraId="1566E063" w14:textId="6C5CC736" w:rsidR="00D223A4" w:rsidRPr="00307957" w:rsidRDefault="00D223A4" w:rsidP="00DA107E">
      <w:pPr>
        <w:pStyle w:val="ListParagraph"/>
        <w:numPr>
          <w:ilvl w:val="0"/>
          <w:numId w:val="46"/>
        </w:numPr>
        <w:rPr>
          <w:rStyle w:val="Hyperlink"/>
          <w:rFonts w:asciiTheme="majorHAnsi" w:hAnsiTheme="majorHAnsi"/>
          <w:color w:val="auto"/>
          <w:u w:val="none"/>
        </w:rPr>
      </w:pPr>
      <w:r w:rsidRPr="00636DDA">
        <w:rPr>
          <w:rFonts w:asciiTheme="majorHAnsi" w:hAnsiTheme="majorHAnsi"/>
        </w:rPr>
        <w:t xml:space="preserve">White House’s 2012 Consumer Bill of Rights, </w:t>
      </w:r>
      <w:hyperlink r:id="rId52" w:history="1">
        <w:r w:rsidRPr="00636DDA">
          <w:rPr>
            <w:rStyle w:val="Hyperlink"/>
            <w:rFonts w:asciiTheme="majorHAnsi" w:hAnsiTheme="majorHAnsi"/>
          </w:rPr>
          <w:t>https://www.whitehouse.gov/sites/default/files/privacy-final.pdf</w:t>
        </w:r>
      </w:hyperlink>
      <w:r w:rsidR="005F2AF0">
        <w:rPr>
          <w:rStyle w:val="Hyperlink"/>
          <w:rFonts w:asciiTheme="majorHAnsi" w:hAnsiTheme="majorHAnsi"/>
          <w:sz w:val="20"/>
          <w:szCs w:val="20"/>
        </w:rPr>
        <w:t xml:space="preserve">.  </w:t>
      </w:r>
    </w:p>
    <w:p w14:paraId="680144E4" w14:textId="77777777" w:rsidR="00965CA6" w:rsidRPr="00DA107E" w:rsidRDefault="00965CA6" w:rsidP="00777245">
      <w:pPr>
        <w:rPr>
          <w:rFonts w:asciiTheme="majorHAnsi" w:hAnsiTheme="majorHAnsi"/>
        </w:rPr>
      </w:pPr>
    </w:p>
    <w:p w14:paraId="13BCD405" w14:textId="77777777" w:rsidR="00DA107E" w:rsidRPr="00DA107E" w:rsidRDefault="00DA107E" w:rsidP="00777245">
      <w:pPr>
        <w:rPr>
          <w:rFonts w:asciiTheme="majorHAnsi" w:hAnsiTheme="majorHAnsi"/>
        </w:rPr>
      </w:pPr>
    </w:p>
    <w:p w14:paraId="4E1E7A97" w14:textId="77777777" w:rsidR="00DA107E" w:rsidRPr="0016351D" w:rsidRDefault="00DA107E" w:rsidP="00777245">
      <w:pPr>
        <w:rPr>
          <w:rFonts w:asciiTheme="majorHAnsi" w:hAnsiTheme="majorHAnsi"/>
        </w:rPr>
        <w:sectPr w:rsidR="00DA107E" w:rsidRPr="0016351D" w:rsidSect="003A224A">
          <w:pgSz w:w="12240" w:h="15840"/>
          <w:pgMar w:top="1440" w:right="1800" w:bottom="1440" w:left="1800" w:header="720" w:footer="720" w:gutter="0"/>
          <w:cols w:space="720"/>
          <w:titlePg/>
          <w:docGrid w:linePitch="360"/>
        </w:sectPr>
      </w:pPr>
    </w:p>
    <w:p w14:paraId="0251C43B" w14:textId="77777777" w:rsidR="00F5153C" w:rsidRPr="0016351D" w:rsidRDefault="00F5153C" w:rsidP="00F5153C">
      <w:pPr>
        <w:pStyle w:val="Heading1"/>
      </w:pPr>
      <w:bookmarkStart w:id="31" w:name="_Toc293847369"/>
      <w:bookmarkStart w:id="32" w:name="_Toc425145084"/>
      <w:r w:rsidRPr="0016351D">
        <w:lastRenderedPageBreak/>
        <w:t>Appendix A – Health Big Data Public Hearing Topics and Speakers</w:t>
      </w:r>
      <w:bookmarkEnd w:id="31"/>
      <w:bookmarkEnd w:id="32"/>
    </w:p>
    <w:p w14:paraId="11E6F0FE" w14:textId="77777777" w:rsidR="00F5153C" w:rsidRPr="0016351D" w:rsidRDefault="00F5153C" w:rsidP="00F5153C">
      <w:pPr>
        <w:pStyle w:val="Heading2"/>
      </w:pPr>
      <w:bookmarkStart w:id="33" w:name="_Toc293847370"/>
      <w:bookmarkStart w:id="34" w:name="_Toc425145085"/>
      <w:r w:rsidRPr="0016351D">
        <w:t>Health Big Data Public Hearings, December 5 and 8, 2014</w:t>
      </w:r>
      <w:bookmarkEnd w:id="33"/>
      <w:bookmarkEnd w:id="34"/>
    </w:p>
    <w:p w14:paraId="63B7FB2A" w14:textId="77777777" w:rsidR="00F5153C" w:rsidRPr="0016351D" w:rsidRDefault="00F5153C" w:rsidP="00F5153C">
      <w:pPr>
        <w:rPr>
          <w:rFonts w:asciiTheme="majorHAnsi" w:hAnsiTheme="majorHAnsi"/>
        </w:rPr>
      </w:pPr>
    </w:p>
    <w:tbl>
      <w:tblPr>
        <w:tblStyle w:val="LightList-Accent1"/>
        <w:tblW w:w="8900" w:type="dxa"/>
        <w:tblLook w:val="04A0" w:firstRow="1" w:lastRow="0" w:firstColumn="1" w:lastColumn="0" w:noHBand="0" w:noVBand="1"/>
      </w:tblPr>
      <w:tblGrid>
        <w:gridCol w:w="4306"/>
        <w:gridCol w:w="4594"/>
      </w:tblGrid>
      <w:tr w:rsidR="00F5153C" w:rsidRPr="0016351D" w14:paraId="2CF6026D" w14:textId="77777777" w:rsidTr="00636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Pr>
          <w:p w14:paraId="242B719F" w14:textId="77777777" w:rsidR="00F5153C" w:rsidRPr="0016351D" w:rsidRDefault="00F5153C" w:rsidP="00F5153C">
            <w:pPr>
              <w:rPr>
                <w:rFonts w:asciiTheme="majorHAnsi" w:hAnsiTheme="majorHAnsi"/>
              </w:rPr>
            </w:pPr>
            <w:r w:rsidRPr="0016351D">
              <w:rPr>
                <w:rFonts w:asciiTheme="majorHAnsi" w:hAnsiTheme="majorHAnsi"/>
              </w:rPr>
              <w:t>Day 1 – Friday, December 5, 2014</w:t>
            </w:r>
          </w:p>
        </w:tc>
        <w:tc>
          <w:tcPr>
            <w:tcW w:w="4594" w:type="dxa"/>
          </w:tcPr>
          <w:p w14:paraId="31B2A1CD" w14:textId="77777777" w:rsidR="00F5153C" w:rsidRPr="0016351D" w:rsidRDefault="00F5153C" w:rsidP="00F5153C">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Day 2 – Monday, December 8, 2014</w:t>
            </w:r>
          </w:p>
        </w:tc>
      </w:tr>
      <w:tr w:rsidR="00F5153C" w:rsidRPr="0016351D" w14:paraId="1A9C255D" w14:textId="77777777" w:rsidTr="0063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Pr>
          <w:p w14:paraId="74C7D7FA" w14:textId="77777777" w:rsidR="00F5153C" w:rsidRPr="0016351D" w:rsidRDefault="00F5153C" w:rsidP="00F5153C">
            <w:pPr>
              <w:rPr>
                <w:rFonts w:asciiTheme="majorHAnsi" w:hAnsiTheme="majorHAnsi"/>
              </w:rPr>
            </w:pPr>
            <w:r w:rsidRPr="0016351D">
              <w:rPr>
                <w:rFonts w:asciiTheme="majorHAnsi" w:hAnsiTheme="majorHAnsi"/>
              </w:rPr>
              <w:t>Panel 1: Health Big Data Opportunities and the Learning Health System (LHS)</w:t>
            </w:r>
          </w:p>
        </w:tc>
        <w:tc>
          <w:tcPr>
            <w:tcW w:w="4594" w:type="dxa"/>
          </w:tcPr>
          <w:p w14:paraId="31B57D7E"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1: Current Law</w:t>
            </w:r>
          </w:p>
        </w:tc>
      </w:tr>
      <w:tr w:rsidR="00F5153C" w:rsidRPr="0016351D" w14:paraId="243B5636" w14:textId="77777777" w:rsidTr="00636DDA">
        <w:tc>
          <w:tcPr>
            <w:cnfStyle w:val="001000000000" w:firstRow="0" w:lastRow="0" w:firstColumn="1" w:lastColumn="0" w:oddVBand="0" w:evenVBand="0" w:oddHBand="0" w:evenHBand="0" w:firstRowFirstColumn="0" w:firstRowLastColumn="0" w:lastRowFirstColumn="0" w:lastRowLastColumn="0"/>
            <w:tcW w:w="4306" w:type="dxa"/>
          </w:tcPr>
          <w:p w14:paraId="73522B69" w14:textId="77777777" w:rsidR="00F5153C" w:rsidRPr="0016351D" w:rsidRDefault="00F5153C" w:rsidP="00B83484">
            <w:pPr>
              <w:numPr>
                <w:ilvl w:val="0"/>
                <w:numId w:val="13"/>
              </w:numPr>
              <w:tabs>
                <w:tab w:val="num" w:pos="720"/>
              </w:tabs>
              <w:rPr>
                <w:rFonts w:asciiTheme="majorHAnsi" w:hAnsiTheme="majorHAnsi"/>
                <w:b w:val="0"/>
              </w:rPr>
            </w:pPr>
            <w:r w:rsidRPr="0016351D">
              <w:rPr>
                <w:rFonts w:asciiTheme="majorHAnsi" w:hAnsiTheme="majorHAnsi"/>
                <w:b w:val="0"/>
              </w:rPr>
              <w:t>Steve Downs, RWJF</w:t>
            </w:r>
          </w:p>
          <w:p w14:paraId="3258580D" w14:textId="77777777" w:rsidR="00F5153C" w:rsidRPr="0016351D" w:rsidRDefault="00F5153C" w:rsidP="00B83484">
            <w:pPr>
              <w:numPr>
                <w:ilvl w:val="0"/>
                <w:numId w:val="13"/>
              </w:numPr>
              <w:tabs>
                <w:tab w:val="num" w:pos="720"/>
              </w:tabs>
              <w:rPr>
                <w:rFonts w:asciiTheme="majorHAnsi" w:hAnsiTheme="majorHAnsi"/>
                <w:b w:val="0"/>
              </w:rPr>
            </w:pPr>
            <w:r w:rsidRPr="0016351D">
              <w:rPr>
                <w:rFonts w:asciiTheme="majorHAnsi" w:hAnsiTheme="majorHAnsi"/>
                <w:b w:val="0"/>
              </w:rPr>
              <w:t>Richard Platt, Harvard Pilgrim</w:t>
            </w:r>
          </w:p>
          <w:p w14:paraId="0236BCC6" w14:textId="1EC6C1CD" w:rsidR="00F5153C" w:rsidRPr="0016351D" w:rsidRDefault="00F5153C" w:rsidP="00B83484">
            <w:pPr>
              <w:numPr>
                <w:ilvl w:val="0"/>
                <w:numId w:val="13"/>
              </w:numPr>
              <w:rPr>
                <w:rFonts w:asciiTheme="majorHAnsi" w:hAnsiTheme="majorHAnsi"/>
              </w:rPr>
            </w:pPr>
            <w:r w:rsidRPr="0016351D">
              <w:rPr>
                <w:rFonts w:asciiTheme="majorHAnsi" w:hAnsiTheme="majorHAnsi"/>
                <w:b w:val="0"/>
              </w:rPr>
              <w:t>Patricia Brennan, U</w:t>
            </w:r>
            <w:r w:rsidR="003F583A">
              <w:rPr>
                <w:rFonts w:asciiTheme="majorHAnsi" w:hAnsiTheme="majorHAnsi"/>
                <w:b w:val="0"/>
              </w:rPr>
              <w:t>niversity of</w:t>
            </w:r>
            <w:r w:rsidR="005F2AF0">
              <w:rPr>
                <w:rFonts w:asciiTheme="majorHAnsi" w:hAnsiTheme="majorHAnsi"/>
                <w:b w:val="0"/>
              </w:rPr>
              <w:t xml:space="preserve"> </w:t>
            </w:r>
            <w:r w:rsidRPr="0016351D">
              <w:rPr>
                <w:rFonts w:asciiTheme="majorHAnsi" w:hAnsiTheme="majorHAnsi"/>
                <w:b w:val="0"/>
              </w:rPr>
              <w:t>Wisconsin</w:t>
            </w:r>
          </w:p>
        </w:tc>
        <w:tc>
          <w:tcPr>
            <w:tcW w:w="4594" w:type="dxa"/>
          </w:tcPr>
          <w:p w14:paraId="08F4A770" w14:textId="77777777" w:rsidR="00F5153C" w:rsidRPr="0016351D" w:rsidRDefault="00F5153C" w:rsidP="00B83484">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Melissa Bianchi, Hogan </w:t>
            </w:r>
            <w:proofErr w:type="spellStart"/>
            <w:r w:rsidRPr="0016351D">
              <w:rPr>
                <w:rFonts w:asciiTheme="majorHAnsi" w:hAnsiTheme="majorHAnsi"/>
              </w:rPr>
              <w:t>Lovells</w:t>
            </w:r>
            <w:proofErr w:type="spellEnd"/>
          </w:p>
          <w:p w14:paraId="2CC82D50" w14:textId="5F883ED4" w:rsidR="00F5153C" w:rsidRPr="0016351D" w:rsidRDefault="00F5153C" w:rsidP="00B83484">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Kirk J</w:t>
            </w:r>
            <w:r w:rsidR="005F2AF0">
              <w:rPr>
                <w:rFonts w:asciiTheme="majorHAnsi" w:hAnsiTheme="majorHAnsi"/>
              </w:rPr>
              <w:t xml:space="preserve">.  </w:t>
            </w:r>
            <w:proofErr w:type="spellStart"/>
            <w:r w:rsidRPr="0016351D">
              <w:rPr>
                <w:rFonts w:asciiTheme="majorHAnsi" w:hAnsiTheme="majorHAnsi"/>
              </w:rPr>
              <w:t>Nahra</w:t>
            </w:r>
            <w:proofErr w:type="spellEnd"/>
            <w:r w:rsidRPr="0016351D">
              <w:rPr>
                <w:rFonts w:asciiTheme="majorHAnsi" w:hAnsiTheme="majorHAnsi"/>
              </w:rPr>
              <w:t>, Wiley Rein</w:t>
            </w:r>
          </w:p>
          <w:p w14:paraId="167F1452" w14:textId="77777777" w:rsidR="00F5153C" w:rsidRPr="0016351D" w:rsidRDefault="00F5153C" w:rsidP="00B83484">
            <w:pPr>
              <w:numPr>
                <w:ilvl w:val="0"/>
                <w:numId w:val="13"/>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Deven McGraw, Manatt, Phelps &amp; Philips, LLC</w:t>
            </w:r>
          </w:p>
        </w:tc>
      </w:tr>
      <w:tr w:rsidR="00F5153C" w:rsidRPr="0016351D" w14:paraId="2B30329A" w14:textId="77777777" w:rsidTr="0063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Pr>
          <w:p w14:paraId="13670B3B" w14:textId="77777777" w:rsidR="00F5153C" w:rsidRPr="0016351D" w:rsidRDefault="00F5153C" w:rsidP="00F5153C">
            <w:pPr>
              <w:rPr>
                <w:rFonts w:asciiTheme="majorHAnsi" w:hAnsiTheme="majorHAnsi"/>
              </w:rPr>
            </w:pPr>
            <w:r w:rsidRPr="0016351D">
              <w:rPr>
                <w:rFonts w:asciiTheme="majorHAnsi" w:hAnsiTheme="majorHAnsi"/>
              </w:rPr>
              <w:t>Panel 2: Health Big Data Concerns</w:t>
            </w:r>
          </w:p>
        </w:tc>
        <w:tc>
          <w:tcPr>
            <w:tcW w:w="4594" w:type="dxa"/>
          </w:tcPr>
          <w:p w14:paraId="73269BB4"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2: Health Big Data Opportunities</w:t>
            </w:r>
          </w:p>
        </w:tc>
      </w:tr>
      <w:tr w:rsidR="00F5153C" w:rsidRPr="0016351D" w14:paraId="6BA057C2" w14:textId="77777777" w:rsidTr="00636DDA">
        <w:tc>
          <w:tcPr>
            <w:cnfStyle w:val="001000000000" w:firstRow="0" w:lastRow="0" w:firstColumn="1" w:lastColumn="0" w:oddVBand="0" w:evenVBand="0" w:oddHBand="0" w:evenHBand="0" w:firstRowFirstColumn="0" w:firstRowLastColumn="0" w:lastRowFirstColumn="0" w:lastRowLastColumn="0"/>
            <w:tcW w:w="4306" w:type="dxa"/>
          </w:tcPr>
          <w:p w14:paraId="731216E2" w14:textId="77777777" w:rsidR="00F5153C" w:rsidRPr="0016351D" w:rsidRDefault="00F5153C" w:rsidP="00B83484">
            <w:pPr>
              <w:numPr>
                <w:ilvl w:val="0"/>
                <w:numId w:val="14"/>
              </w:numPr>
              <w:tabs>
                <w:tab w:val="num" w:pos="720"/>
              </w:tabs>
              <w:rPr>
                <w:rFonts w:asciiTheme="majorHAnsi" w:hAnsiTheme="majorHAnsi"/>
                <w:b w:val="0"/>
              </w:rPr>
            </w:pPr>
            <w:r w:rsidRPr="0016351D">
              <w:rPr>
                <w:rFonts w:asciiTheme="majorHAnsi" w:hAnsiTheme="majorHAnsi"/>
                <w:b w:val="0"/>
              </w:rPr>
              <w:t xml:space="preserve">Michele </w:t>
            </w:r>
            <w:proofErr w:type="spellStart"/>
            <w:r w:rsidRPr="0016351D">
              <w:rPr>
                <w:rFonts w:asciiTheme="majorHAnsi" w:hAnsiTheme="majorHAnsi"/>
                <w:b w:val="0"/>
              </w:rPr>
              <w:t>DeMooy</w:t>
            </w:r>
            <w:proofErr w:type="spellEnd"/>
            <w:r w:rsidRPr="0016351D">
              <w:rPr>
                <w:rFonts w:asciiTheme="majorHAnsi" w:hAnsiTheme="majorHAnsi"/>
                <w:b w:val="0"/>
              </w:rPr>
              <w:t>, CDT</w:t>
            </w:r>
          </w:p>
          <w:p w14:paraId="1804CD3F" w14:textId="77777777" w:rsidR="00F5153C" w:rsidRPr="0016351D" w:rsidRDefault="00F5153C" w:rsidP="00B83484">
            <w:pPr>
              <w:numPr>
                <w:ilvl w:val="0"/>
                <w:numId w:val="14"/>
              </w:numPr>
              <w:tabs>
                <w:tab w:val="num" w:pos="720"/>
              </w:tabs>
              <w:rPr>
                <w:rFonts w:asciiTheme="majorHAnsi" w:hAnsiTheme="majorHAnsi"/>
                <w:b w:val="0"/>
              </w:rPr>
            </w:pPr>
            <w:r w:rsidRPr="0016351D">
              <w:rPr>
                <w:rFonts w:asciiTheme="majorHAnsi" w:hAnsiTheme="majorHAnsi"/>
                <w:b w:val="0"/>
              </w:rPr>
              <w:t>Mark Savage, NPWF</w:t>
            </w:r>
          </w:p>
          <w:p w14:paraId="0B42A828" w14:textId="77777777" w:rsidR="00F5153C" w:rsidRPr="0016351D" w:rsidRDefault="00F5153C" w:rsidP="00B83484">
            <w:pPr>
              <w:numPr>
                <w:ilvl w:val="0"/>
                <w:numId w:val="14"/>
              </w:numPr>
              <w:rPr>
                <w:rFonts w:asciiTheme="majorHAnsi" w:hAnsiTheme="majorHAnsi"/>
              </w:rPr>
            </w:pPr>
            <w:r w:rsidRPr="0016351D">
              <w:rPr>
                <w:rFonts w:asciiTheme="majorHAnsi" w:hAnsiTheme="majorHAnsi"/>
                <w:b w:val="0"/>
              </w:rPr>
              <w:t xml:space="preserve">Anna </w:t>
            </w:r>
            <w:proofErr w:type="spellStart"/>
            <w:r w:rsidRPr="0016351D">
              <w:rPr>
                <w:rFonts w:asciiTheme="majorHAnsi" w:hAnsiTheme="majorHAnsi"/>
                <w:b w:val="0"/>
              </w:rPr>
              <w:t>McCollister-Slipp</w:t>
            </w:r>
            <w:proofErr w:type="spellEnd"/>
            <w:r w:rsidRPr="0016351D">
              <w:rPr>
                <w:rFonts w:asciiTheme="majorHAnsi" w:hAnsiTheme="majorHAnsi"/>
                <w:b w:val="0"/>
              </w:rPr>
              <w:t>, Galileo Analytics</w:t>
            </w:r>
          </w:p>
        </w:tc>
        <w:tc>
          <w:tcPr>
            <w:tcW w:w="4594" w:type="dxa"/>
          </w:tcPr>
          <w:p w14:paraId="1739B7D6" w14:textId="73AF9610" w:rsidR="00F5153C" w:rsidRPr="0016351D" w:rsidRDefault="00F5153C" w:rsidP="00B83484">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Linda </w:t>
            </w:r>
            <w:proofErr w:type="spellStart"/>
            <w:r w:rsidRPr="0016351D">
              <w:rPr>
                <w:rFonts w:asciiTheme="majorHAnsi" w:hAnsiTheme="majorHAnsi"/>
              </w:rPr>
              <w:t>Avey</w:t>
            </w:r>
            <w:proofErr w:type="spellEnd"/>
            <w:r w:rsidRPr="0016351D">
              <w:rPr>
                <w:rFonts w:asciiTheme="majorHAnsi" w:hAnsiTheme="majorHAnsi"/>
              </w:rPr>
              <w:t>, 23 and Me, Curios, Inc</w:t>
            </w:r>
            <w:r w:rsidR="005F2AF0">
              <w:rPr>
                <w:rFonts w:asciiTheme="majorHAnsi" w:hAnsiTheme="majorHAnsi"/>
              </w:rPr>
              <w:t xml:space="preserve">.  </w:t>
            </w:r>
            <w:r w:rsidRPr="0016351D">
              <w:rPr>
                <w:rFonts w:asciiTheme="majorHAnsi" w:hAnsiTheme="majorHAnsi"/>
              </w:rPr>
              <w:t>(invited but could not attend)</w:t>
            </w:r>
          </w:p>
          <w:p w14:paraId="1C4E5427" w14:textId="77777777" w:rsidR="00F5153C" w:rsidRPr="0016351D" w:rsidRDefault="00F5153C" w:rsidP="00B83484">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16351D">
              <w:rPr>
                <w:rFonts w:asciiTheme="majorHAnsi" w:hAnsiTheme="majorHAnsi"/>
              </w:rPr>
              <w:t>Kald</w:t>
            </w:r>
            <w:proofErr w:type="spellEnd"/>
            <w:r w:rsidRPr="0016351D">
              <w:rPr>
                <w:rFonts w:asciiTheme="majorHAnsi" w:hAnsiTheme="majorHAnsi"/>
              </w:rPr>
              <w:t xml:space="preserve"> Abdallah, Project Data Sphere</w:t>
            </w:r>
          </w:p>
          <w:p w14:paraId="03FF139E" w14:textId="77777777" w:rsidR="00F5153C" w:rsidRPr="0016351D" w:rsidRDefault="00F5153C" w:rsidP="00B83484">
            <w:pPr>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Ella </w:t>
            </w:r>
            <w:proofErr w:type="spellStart"/>
            <w:r w:rsidRPr="0016351D">
              <w:rPr>
                <w:rFonts w:asciiTheme="majorHAnsi" w:hAnsiTheme="majorHAnsi"/>
              </w:rPr>
              <w:t>Mihov</w:t>
            </w:r>
            <w:proofErr w:type="spellEnd"/>
            <w:r w:rsidRPr="0016351D">
              <w:rPr>
                <w:rFonts w:asciiTheme="majorHAnsi" w:hAnsiTheme="majorHAnsi"/>
              </w:rPr>
              <w:t xml:space="preserve">, </w:t>
            </w:r>
            <w:proofErr w:type="spellStart"/>
            <w:r w:rsidRPr="0016351D">
              <w:rPr>
                <w:rFonts w:asciiTheme="majorHAnsi" w:hAnsiTheme="majorHAnsi"/>
              </w:rPr>
              <w:t>Ayasdi</w:t>
            </w:r>
            <w:proofErr w:type="spellEnd"/>
          </w:p>
        </w:tc>
      </w:tr>
      <w:tr w:rsidR="00F5153C" w:rsidRPr="0016351D" w14:paraId="214DCDB5" w14:textId="77777777" w:rsidTr="0063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Pr>
          <w:p w14:paraId="015392A2" w14:textId="77777777" w:rsidR="00F5153C" w:rsidRPr="0016351D" w:rsidRDefault="00F5153C" w:rsidP="00F5153C">
            <w:pPr>
              <w:rPr>
                <w:rFonts w:asciiTheme="majorHAnsi" w:hAnsiTheme="majorHAnsi"/>
              </w:rPr>
            </w:pPr>
            <w:r w:rsidRPr="0016351D">
              <w:rPr>
                <w:rFonts w:asciiTheme="majorHAnsi" w:hAnsiTheme="majorHAnsi"/>
              </w:rPr>
              <w:t>Panel 3: Protections for Consumers</w:t>
            </w:r>
          </w:p>
        </w:tc>
        <w:tc>
          <w:tcPr>
            <w:tcW w:w="4594" w:type="dxa"/>
          </w:tcPr>
          <w:p w14:paraId="7E2D0CB7"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3: Learning Health System</w:t>
            </w:r>
          </w:p>
        </w:tc>
      </w:tr>
      <w:tr w:rsidR="00F5153C" w:rsidRPr="0016351D" w14:paraId="089DC52C" w14:textId="77777777" w:rsidTr="00636DDA">
        <w:tc>
          <w:tcPr>
            <w:cnfStyle w:val="001000000000" w:firstRow="0" w:lastRow="0" w:firstColumn="1" w:lastColumn="0" w:oddVBand="0" w:evenVBand="0" w:oddHBand="0" w:evenHBand="0" w:firstRowFirstColumn="0" w:firstRowLastColumn="0" w:lastRowFirstColumn="0" w:lastRowLastColumn="0"/>
            <w:tcW w:w="4306" w:type="dxa"/>
          </w:tcPr>
          <w:p w14:paraId="40D9561F" w14:textId="350A228A" w:rsidR="00F5153C" w:rsidRPr="0016351D" w:rsidRDefault="00F5153C" w:rsidP="00B83484">
            <w:pPr>
              <w:numPr>
                <w:ilvl w:val="0"/>
                <w:numId w:val="15"/>
              </w:numPr>
              <w:tabs>
                <w:tab w:val="num" w:pos="720"/>
              </w:tabs>
              <w:rPr>
                <w:rFonts w:asciiTheme="majorHAnsi" w:hAnsiTheme="majorHAnsi"/>
                <w:b w:val="0"/>
              </w:rPr>
            </w:pPr>
            <w:r w:rsidRPr="0016351D">
              <w:rPr>
                <w:rFonts w:asciiTheme="majorHAnsi" w:hAnsiTheme="majorHAnsi"/>
                <w:b w:val="0"/>
              </w:rPr>
              <w:t xml:space="preserve">Khaled El </w:t>
            </w:r>
            <w:proofErr w:type="spellStart"/>
            <w:r w:rsidRPr="0016351D">
              <w:rPr>
                <w:rFonts w:asciiTheme="majorHAnsi" w:hAnsiTheme="majorHAnsi"/>
                <w:b w:val="0"/>
              </w:rPr>
              <w:t>Emam</w:t>
            </w:r>
            <w:proofErr w:type="spellEnd"/>
            <w:r w:rsidRPr="0016351D">
              <w:rPr>
                <w:rFonts w:asciiTheme="majorHAnsi" w:hAnsiTheme="majorHAnsi"/>
                <w:b w:val="0"/>
              </w:rPr>
              <w:t>, U</w:t>
            </w:r>
            <w:r w:rsidR="003F583A">
              <w:rPr>
                <w:rFonts w:asciiTheme="majorHAnsi" w:hAnsiTheme="majorHAnsi"/>
                <w:b w:val="0"/>
              </w:rPr>
              <w:t>niversity</w:t>
            </w:r>
            <w:r w:rsidR="005F2AF0">
              <w:rPr>
                <w:rFonts w:asciiTheme="majorHAnsi" w:hAnsiTheme="majorHAnsi"/>
                <w:b w:val="0"/>
              </w:rPr>
              <w:t xml:space="preserve">  </w:t>
            </w:r>
            <w:r w:rsidRPr="0016351D">
              <w:rPr>
                <w:rFonts w:asciiTheme="majorHAnsi" w:hAnsiTheme="majorHAnsi"/>
                <w:b w:val="0"/>
              </w:rPr>
              <w:t>of Ottawa</w:t>
            </w:r>
          </w:p>
          <w:p w14:paraId="6CC9B408" w14:textId="77777777" w:rsidR="00F5153C" w:rsidRPr="0016351D" w:rsidRDefault="00F5153C" w:rsidP="00B83484">
            <w:pPr>
              <w:numPr>
                <w:ilvl w:val="0"/>
                <w:numId w:val="15"/>
              </w:numPr>
              <w:tabs>
                <w:tab w:val="num" w:pos="720"/>
              </w:tabs>
              <w:rPr>
                <w:rFonts w:asciiTheme="majorHAnsi" w:hAnsiTheme="majorHAnsi"/>
                <w:b w:val="0"/>
              </w:rPr>
            </w:pPr>
            <w:r w:rsidRPr="0016351D">
              <w:rPr>
                <w:rFonts w:asciiTheme="majorHAnsi" w:hAnsiTheme="majorHAnsi"/>
                <w:b w:val="0"/>
              </w:rPr>
              <w:t>Bob Gellman, Private Consultant</w:t>
            </w:r>
          </w:p>
          <w:p w14:paraId="110C8FC5" w14:textId="146250B2" w:rsidR="00F5153C" w:rsidRPr="0016351D" w:rsidRDefault="003F583A" w:rsidP="00B83484">
            <w:pPr>
              <w:numPr>
                <w:ilvl w:val="0"/>
                <w:numId w:val="15"/>
              </w:numPr>
              <w:rPr>
                <w:rFonts w:asciiTheme="majorHAnsi" w:hAnsiTheme="majorHAnsi"/>
              </w:rPr>
            </w:pPr>
            <w:r>
              <w:rPr>
                <w:rFonts w:asciiTheme="majorHAnsi" w:hAnsiTheme="majorHAnsi"/>
                <w:b w:val="0"/>
              </w:rPr>
              <w:t>Fred Cate, Indiana University</w:t>
            </w:r>
          </w:p>
        </w:tc>
        <w:tc>
          <w:tcPr>
            <w:tcW w:w="4594" w:type="dxa"/>
          </w:tcPr>
          <w:p w14:paraId="29F42B98" w14:textId="77777777" w:rsidR="00F5153C" w:rsidRPr="0016351D" w:rsidRDefault="00F5153C" w:rsidP="00B83484">
            <w:pPr>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Paul Wallace, </w:t>
            </w:r>
            <w:proofErr w:type="spellStart"/>
            <w:r w:rsidRPr="0016351D">
              <w:rPr>
                <w:rFonts w:asciiTheme="majorHAnsi" w:hAnsiTheme="majorHAnsi"/>
              </w:rPr>
              <w:t>Optum</w:t>
            </w:r>
            <w:proofErr w:type="spellEnd"/>
            <w:r w:rsidRPr="0016351D">
              <w:rPr>
                <w:rFonts w:asciiTheme="majorHAnsi" w:hAnsiTheme="majorHAnsi"/>
              </w:rPr>
              <w:t xml:space="preserve"> Labs</w:t>
            </w:r>
          </w:p>
          <w:p w14:paraId="17393472" w14:textId="77777777" w:rsidR="00F5153C" w:rsidRPr="0016351D" w:rsidRDefault="00F5153C" w:rsidP="00B83484">
            <w:pPr>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 xml:space="preserve">Josh Gray, </w:t>
            </w:r>
            <w:proofErr w:type="spellStart"/>
            <w:r w:rsidRPr="0016351D">
              <w:rPr>
                <w:rFonts w:asciiTheme="majorHAnsi" w:hAnsiTheme="majorHAnsi"/>
              </w:rPr>
              <w:t>AthenaHealth</w:t>
            </w:r>
            <w:proofErr w:type="spellEnd"/>
          </w:p>
        </w:tc>
      </w:tr>
      <w:tr w:rsidR="00F5153C" w:rsidRPr="0016351D" w14:paraId="0CD53DC1" w14:textId="77777777" w:rsidTr="00636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6" w:type="dxa"/>
          </w:tcPr>
          <w:p w14:paraId="27A1CE9A" w14:textId="77777777" w:rsidR="00F5153C" w:rsidRPr="0016351D" w:rsidRDefault="00F5153C" w:rsidP="00F5153C">
            <w:pPr>
              <w:rPr>
                <w:rFonts w:asciiTheme="majorHAnsi" w:hAnsiTheme="majorHAnsi"/>
              </w:rPr>
            </w:pPr>
          </w:p>
        </w:tc>
        <w:tc>
          <w:tcPr>
            <w:tcW w:w="4594" w:type="dxa"/>
          </w:tcPr>
          <w:p w14:paraId="057FA478"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16351D">
              <w:rPr>
                <w:rFonts w:asciiTheme="majorHAnsi" w:hAnsiTheme="majorHAnsi"/>
                <w:b/>
              </w:rPr>
              <w:t>Panel 4: Health Big Data Concerns</w:t>
            </w:r>
          </w:p>
        </w:tc>
      </w:tr>
      <w:tr w:rsidR="00F5153C" w:rsidRPr="0016351D" w14:paraId="2D1652F0" w14:textId="77777777" w:rsidTr="00636DDA">
        <w:tc>
          <w:tcPr>
            <w:cnfStyle w:val="001000000000" w:firstRow="0" w:lastRow="0" w:firstColumn="1" w:lastColumn="0" w:oddVBand="0" w:evenVBand="0" w:oddHBand="0" w:evenHBand="0" w:firstRowFirstColumn="0" w:firstRowLastColumn="0" w:lastRowFirstColumn="0" w:lastRowLastColumn="0"/>
            <w:tcW w:w="4306" w:type="dxa"/>
          </w:tcPr>
          <w:p w14:paraId="6BAEC464" w14:textId="77777777" w:rsidR="00F5153C" w:rsidRPr="0016351D" w:rsidRDefault="00F5153C" w:rsidP="00F5153C">
            <w:pPr>
              <w:rPr>
                <w:rFonts w:asciiTheme="majorHAnsi" w:hAnsiTheme="majorHAnsi"/>
              </w:rPr>
            </w:pPr>
          </w:p>
        </w:tc>
        <w:tc>
          <w:tcPr>
            <w:tcW w:w="4594" w:type="dxa"/>
          </w:tcPr>
          <w:p w14:paraId="2AB121C5" w14:textId="40B1AC6C" w:rsidR="00F5153C" w:rsidRPr="0016351D" w:rsidRDefault="00F5153C" w:rsidP="00B83484">
            <w:pPr>
              <w:numPr>
                <w:ilvl w:val="0"/>
                <w:numId w:val="16"/>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Leslie Francis, U</w:t>
            </w:r>
            <w:r w:rsidR="003A5A08">
              <w:rPr>
                <w:rFonts w:asciiTheme="majorHAnsi" w:hAnsiTheme="majorHAnsi"/>
              </w:rPr>
              <w:t>niversity of</w:t>
            </w:r>
            <w:r w:rsidR="005F2AF0">
              <w:rPr>
                <w:rFonts w:asciiTheme="majorHAnsi" w:hAnsiTheme="majorHAnsi"/>
              </w:rPr>
              <w:t xml:space="preserve">  </w:t>
            </w:r>
            <w:r w:rsidRPr="0016351D">
              <w:rPr>
                <w:rFonts w:asciiTheme="majorHAnsi" w:hAnsiTheme="majorHAnsi"/>
              </w:rPr>
              <w:t>Utah</w:t>
            </w:r>
          </w:p>
          <w:p w14:paraId="68695CB4" w14:textId="5FAC4A7E" w:rsidR="00F5153C" w:rsidRPr="0016351D" w:rsidRDefault="00F5153C" w:rsidP="00B83484">
            <w:pPr>
              <w:numPr>
                <w:ilvl w:val="0"/>
                <w:numId w:val="16"/>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Melissa</w:t>
            </w:r>
            <w:r w:rsidR="003F583A">
              <w:rPr>
                <w:rFonts w:asciiTheme="majorHAnsi" w:hAnsiTheme="majorHAnsi"/>
              </w:rPr>
              <w:t xml:space="preserve"> Goldstein, George Washington University</w:t>
            </w:r>
          </w:p>
        </w:tc>
      </w:tr>
    </w:tbl>
    <w:p w14:paraId="4C788A18" w14:textId="77777777" w:rsidR="00F5153C" w:rsidRPr="0016351D" w:rsidRDefault="00F5153C" w:rsidP="00F5153C">
      <w:pPr>
        <w:rPr>
          <w:rFonts w:asciiTheme="majorHAnsi" w:hAnsiTheme="majorHAnsi"/>
        </w:rPr>
      </w:pPr>
    </w:p>
    <w:p w14:paraId="47568A71" w14:textId="77777777" w:rsidR="00F5153C" w:rsidRPr="0016351D" w:rsidRDefault="00F5153C" w:rsidP="00F5153C">
      <w:pPr>
        <w:pStyle w:val="Heading2"/>
      </w:pPr>
      <w:bookmarkStart w:id="35" w:name="_Toc293847371"/>
      <w:bookmarkStart w:id="36" w:name="_Toc425145086"/>
      <w:r w:rsidRPr="0016351D">
        <w:t>Data Security in Health Big Data Hearing, February 9, 2014</w:t>
      </w:r>
      <w:bookmarkEnd w:id="35"/>
      <w:bookmarkEnd w:id="36"/>
    </w:p>
    <w:p w14:paraId="5E09F514" w14:textId="77777777" w:rsidR="00F5153C" w:rsidRPr="0016351D" w:rsidRDefault="00F5153C" w:rsidP="00F5153C">
      <w:pPr>
        <w:rPr>
          <w:rFonts w:asciiTheme="majorHAnsi" w:hAnsiTheme="majorHAnsi"/>
        </w:rPr>
      </w:pPr>
    </w:p>
    <w:tbl>
      <w:tblPr>
        <w:tblStyle w:val="LightList-Accent1"/>
        <w:tblW w:w="8924" w:type="dxa"/>
        <w:tblLayout w:type="fixed"/>
        <w:tblLook w:val="04A0" w:firstRow="1" w:lastRow="0" w:firstColumn="1" w:lastColumn="0" w:noHBand="0" w:noVBand="1"/>
      </w:tblPr>
      <w:tblGrid>
        <w:gridCol w:w="2052"/>
        <w:gridCol w:w="2466"/>
        <w:gridCol w:w="4406"/>
      </w:tblGrid>
      <w:tr w:rsidR="00F5153C" w:rsidRPr="0016351D" w14:paraId="17E13906" w14:textId="77777777" w:rsidTr="00430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14:paraId="3F0BECE9" w14:textId="77777777" w:rsidR="00F5153C" w:rsidRPr="0016351D" w:rsidRDefault="00965CA6" w:rsidP="00F5153C">
            <w:pPr>
              <w:rPr>
                <w:rFonts w:asciiTheme="majorHAnsi" w:hAnsiTheme="majorHAnsi"/>
              </w:rPr>
            </w:pPr>
            <w:r w:rsidRPr="0016351D">
              <w:rPr>
                <w:rFonts w:asciiTheme="majorHAnsi" w:hAnsiTheme="majorHAnsi"/>
              </w:rPr>
              <w:t>Panelist</w:t>
            </w:r>
          </w:p>
        </w:tc>
        <w:tc>
          <w:tcPr>
            <w:tcW w:w="2466" w:type="dxa"/>
          </w:tcPr>
          <w:p w14:paraId="478C8F05" w14:textId="77777777" w:rsidR="00F5153C" w:rsidRPr="0016351D" w:rsidRDefault="00F5153C" w:rsidP="00F5153C">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Organization</w:t>
            </w:r>
          </w:p>
        </w:tc>
        <w:tc>
          <w:tcPr>
            <w:tcW w:w="4406" w:type="dxa"/>
          </w:tcPr>
          <w:p w14:paraId="76578DA0" w14:textId="77777777" w:rsidR="00F5153C" w:rsidRPr="0016351D" w:rsidRDefault="00F5153C" w:rsidP="00F5153C">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Position</w:t>
            </w:r>
          </w:p>
        </w:tc>
      </w:tr>
      <w:tr w:rsidR="00F5153C" w:rsidRPr="0016351D" w14:paraId="2A624286" w14:textId="77777777" w:rsidTr="00430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14:paraId="3655656F" w14:textId="77777777" w:rsidR="00F5153C" w:rsidRPr="0016351D" w:rsidRDefault="00F5153C" w:rsidP="00F5153C">
            <w:pPr>
              <w:rPr>
                <w:rFonts w:asciiTheme="majorHAnsi" w:hAnsiTheme="majorHAnsi"/>
                <w:b w:val="0"/>
              </w:rPr>
            </w:pPr>
            <w:r w:rsidRPr="0016351D">
              <w:rPr>
                <w:rFonts w:asciiTheme="majorHAnsi" w:hAnsiTheme="majorHAnsi"/>
                <w:b w:val="0"/>
              </w:rPr>
              <w:t xml:space="preserve">Andrei </w:t>
            </w:r>
            <w:proofErr w:type="spellStart"/>
            <w:r w:rsidRPr="0016351D">
              <w:rPr>
                <w:rFonts w:asciiTheme="majorHAnsi" w:hAnsiTheme="majorHAnsi"/>
                <w:b w:val="0"/>
              </w:rPr>
              <w:t>Stoica</w:t>
            </w:r>
            <w:proofErr w:type="spellEnd"/>
          </w:p>
        </w:tc>
        <w:tc>
          <w:tcPr>
            <w:tcW w:w="2466" w:type="dxa"/>
          </w:tcPr>
          <w:p w14:paraId="05212D64"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6351D">
              <w:rPr>
                <w:rFonts w:asciiTheme="majorHAnsi" w:hAnsiTheme="majorHAnsi"/>
              </w:rPr>
              <w:t>IMS Health</w:t>
            </w:r>
          </w:p>
        </w:tc>
        <w:tc>
          <w:tcPr>
            <w:tcW w:w="4406" w:type="dxa"/>
          </w:tcPr>
          <w:p w14:paraId="64D7158A"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6351D">
              <w:rPr>
                <w:rFonts w:asciiTheme="majorHAnsi" w:hAnsiTheme="majorHAnsi"/>
              </w:rPr>
              <w:t>VP of Global Systems Development and Security</w:t>
            </w:r>
          </w:p>
        </w:tc>
      </w:tr>
      <w:tr w:rsidR="00F5153C" w:rsidRPr="0016351D" w14:paraId="00D2D1D1" w14:textId="77777777" w:rsidTr="00430C6E">
        <w:tc>
          <w:tcPr>
            <w:cnfStyle w:val="001000000000" w:firstRow="0" w:lastRow="0" w:firstColumn="1" w:lastColumn="0" w:oddVBand="0" w:evenVBand="0" w:oddHBand="0" w:evenHBand="0" w:firstRowFirstColumn="0" w:firstRowLastColumn="0" w:lastRowFirstColumn="0" w:lastRowLastColumn="0"/>
            <w:tcW w:w="2052" w:type="dxa"/>
          </w:tcPr>
          <w:p w14:paraId="169EDE08" w14:textId="77777777" w:rsidR="00F5153C" w:rsidRPr="0016351D" w:rsidRDefault="00F5153C" w:rsidP="00F5153C">
            <w:pPr>
              <w:rPr>
                <w:rFonts w:asciiTheme="majorHAnsi" w:hAnsiTheme="majorHAnsi"/>
                <w:b w:val="0"/>
              </w:rPr>
            </w:pPr>
            <w:r w:rsidRPr="0016351D">
              <w:rPr>
                <w:rFonts w:asciiTheme="majorHAnsi" w:hAnsiTheme="majorHAnsi"/>
                <w:b w:val="0"/>
              </w:rPr>
              <w:t>Denise Anthony</w:t>
            </w:r>
          </w:p>
        </w:tc>
        <w:tc>
          <w:tcPr>
            <w:tcW w:w="2466" w:type="dxa"/>
          </w:tcPr>
          <w:p w14:paraId="67B89A17" w14:textId="77777777" w:rsidR="00F5153C" w:rsidRPr="0016351D" w:rsidRDefault="00F5153C" w:rsidP="00F5153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Dartmouth College</w:t>
            </w:r>
          </w:p>
        </w:tc>
        <w:tc>
          <w:tcPr>
            <w:tcW w:w="4406" w:type="dxa"/>
          </w:tcPr>
          <w:p w14:paraId="2FFC659C" w14:textId="77777777" w:rsidR="00F5153C" w:rsidRPr="0016351D" w:rsidRDefault="00F5153C" w:rsidP="00F5153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16351D">
              <w:rPr>
                <w:rFonts w:asciiTheme="majorHAnsi" w:hAnsiTheme="majorHAnsi"/>
              </w:rPr>
              <w:t>Vice Provost for Academic Initiatives, Professor of Sociology; SHARPS contributor</w:t>
            </w:r>
          </w:p>
        </w:tc>
      </w:tr>
      <w:tr w:rsidR="00F5153C" w:rsidRPr="0016351D" w14:paraId="4360F645" w14:textId="77777777" w:rsidTr="00430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2" w:type="dxa"/>
          </w:tcPr>
          <w:p w14:paraId="32C7DE9F" w14:textId="77777777" w:rsidR="00F5153C" w:rsidRPr="0016351D" w:rsidRDefault="00F5153C" w:rsidP="00F5153C">
            <w:pPr>
              <w:rPr>
                <w:rFonts w:asciiTheme="majorHAnsi" w:hAnsiTheme="majorHAnsi"/>
                <w:b w:val="0"/>
              </w:rPr>
            </w:pPr>
            <w:r w:rsidRPr="0016351D">
              <w:rPr>
                <w:rFonts w:asciiTheme="majorHAnsi" w:hAnsiTheme="majorHAnsi"/>
                <w:b w:val="0"/>
              </w:rPr>
              <w:t>Ryan Anderson</w:t>
            </w:r>
          </w:p>
        </w:tc>
        <w:tc>
          <w:tcPr>
            <w:tcW w:w="2466" w:type="dxa"/>
          </w:tcPr>
          <w:p w14:paraId="38B44D3C"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sidRPr="0016351D">
              <w:rPr>
                <w:rFonts w:asciiTheme="majorHAnsi" w:hAnsiTheme="majorHAnsi"/>
              </w:rPr>
              <w:t>Milliman</w:t>
            </w:r>
            <w:proofErr w:type="spellEnd"/>
          </w:p>
        </w:tc>
        <w:tc>
          <w:tcPr>
            <w:tcW w:w="4406" w:type="dxa"/>
          </w:tcPr>
          <w:p w14:paraId="7803C31C" w14:textId="77777777" w:rsidR="00F5153C" w:rsidRPr="0016351D" w:rsidRDefault="00F5153C" w:rsidP="00F5153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6351D">
              <w:rPr>
                <w:rFonts w:asciiTheme="majorHAnsi" w:hAnsiTheme="majorHAnsi"/>
              </w:rPr>
              <w:t>Director of Software as a Service</w:t>
            </w:r>
          </w:p>
        </w:tc>
      </w:tr>
    </w:tbl>
    <w:p w14:paraId="79D47A86" w14:textId="77777777" w:rsidR="00F5153C" w:rsidRPr="0016351D" w:rsidRDefault="00F5153C" w:rsidP="00126248">
      <w:pPr>
        <w:rPr>
          <w:rFonts w:asciiTheme="majorHAnsi" w:hAnsiTheme="majorHAnsi"/>
        </w:rPr>
      </w:pPr>
    </w:p>
    <w:p w14:paraId="676D4F21" w14:textId="77777777" w:rsidR="00103B06" w:rsidRPr="0016351D" w:rsidRDefault="00103B06" w:rsidP="00126248">
      <w:pPr>
        <w:rPr>
          <w:rFonts w:asciiTheme="majorHAnsi" w:hAnsiTheme="majorHAnsi"/>
        </w:rPr>
        <w:sectPr w:rsidR="00103B06" w:rsidRPr="0016351D" w:rsidSect="003A224A">
          <w:headerReference w:type="even" r:id="rId53"/>
          <w:headerReference w:type="default" r:id="rId54"/>
          <w:footerReference w:type="even" r:id="rId55"/>
          <w:footerReference w:type="default" r:id="rId56"/>
          <w:headerReference w:type="first" r:id="rId57"/>
          <w:pgSz w:w="12240" w:h="15840"/>
          <w:pgMar w:top="1440" w:right="1800" w:bottom="1440" w:left="1800" w:header="720" w:footer="720" w:gutter="0"/>
          <w:cols w:space="720"/>
          <w:titlePg/>
          <w:docGrid w:linePitch="360"/>
        </w:sectPr>
      </w:pPr>
    </w:p>
    <w:p w14:paraId="678186EB" w14:textId="77777777" w:rsidR="00103B06" w:rsidRPr="0016351D" w:rsidRDefault="009B453A" w:rsidP="0099518F">
      <w:pPr>
        <w:pStyle w:val="Heading1"/>
      </w:pPr>
      <w:bookmarkStart w:id="37" w:name="_Toc425145087"/>
      <w:r w:rsidRPr="0016351D">
        <w:lastRenderedPageBreak/>
        <w:t>Appendix B</w:t>
      </w:r>
      <w:r w:rsidR="00426D95" w:rsidRPr="0016351D">
        <w:t xml:space="preserve"> – Supporting Testimony</w:t>
      </w:r>
      <w:bookmarkEnd w:id="37"/>
    </w:p>
    <w:p w14:paraId="6F21CEB8" w14:textId="77777777" w:rsidR="009B453A" w:rsidRPr="0016351D" w:rsidRDefault="009B453A" w:rsidP="00126248">
      <w:pPr>
        <w:rPr>
          <w:rFonts w:asciiTheme="majorHAnsi" w:hAnsiTheme="majorHAnsi"/>
        </w:rPr>
      </w:pPr>
    </w:p>
    <w:tbl>
      <w:tblPr>
        <w:tblStyle w:val="LightList-Accent1"/>
        <w:tblW w:w="8990" w:type="dxa"/>
        <w:tblBorders>
          <w:insideH w:val="single" w:sz="8" w:space="0" w:color="4F81BD" w:themeColor="accent1"/>
          <w:insideV w:val="single" w:sz="8" w:space="0" w:color="4F81BD" w:themeColor="accent1"/>
        </w:tblBorders>
        <w:shd w:val="clear" w:color="auto" w:fill="FFFFFF" w:themeFill="background1"/>
        <w:tblLook w:val="04A0" w:firstRow="1" w:lastRow="0" w:firstColumn="1" w:lastColumn="0" w:noHBand="0" w:noVBand="1"/>
      </w:tblPr>
      <w:tblGrid>
        <w:gridCol w:w="8990"/>
      </w:tblGrid>
      <w:tr w:rsidR="00426BD7" w:rsidRPr="0016351D" w14:paraId="31FC84FA" w14:textId="77777777" w:rsidTr="00FE2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084AC36E" w14:textId="26720C16" w:rsidR="00426BD7" w:rsidRPr="00FE28A1" w:rsidRDefault="00426BD7" w:rsidP="00636DDA">
            <w:pPr>
              <w:rPr>
                <w:rFonts w:asciiTheme="majorHAnsi" w:hAnsiTheme="majorHAnsi"/>
                <w:b w:val="0"/>
                <w:bCs w:val="0"/>
                <w:color w:val="auto"/>
              </w:rPr>
            </w:pPr>
            <w:r w:rsidRPr="00FE28A1">
              <w:rPr>
                <w:rFonts w:asciiTheme="majorHAnsi" w:hAnsiTheme="majorHAnsi"/>
                <w:color w:val="auto"/>
              </w:rPr>
              <w:t>Topic:  Big Data Opportunities</w:t>
            </w:r>
          </w:p>
          <w:p w14:paraId="34A45D79" w14:textId="77777777" w:rsidR="00426BD7" w:rsidRPr="00FE28A1" w:rsidRDefault="00426BD7" w:rsidP="00636DDA">
            <w:pPr>
              <w:rPr>
                <w:rFonts w:asciiTheme="majorHAnsi" w:hAnsiTheme="majorHAnsi"/>
                <w:b w:val="0"/>
                <w:color w:val="auto"/>
              </w:rPr>
            </w:pPr>
            <w:r w:rsidRPr="00FE28A1">
              <w:rPr>
                <w:rFonts w:asciiTheme="majorHAnsi" w:hAnsiTheme="majorHAnsi"/>
                <w:color w:val="auto"/>
              </w:rPr>
              <w:t xml:space="preserve">Testimony: </w:t>
            </w:r>
          </w:p>
          <w:p w14:paraId="30FC75BA" w14:textId="20A2C4A6" w:rsidR="00426BD7" w:rsidRPr="00FE28A1" w:rsidRDefault="00426BD7" w:rsidP="00F61631">
            <w:pPr>
              <w:pStyle w:val="ListParagraph"/>
              <w:numPr>
                <w:ilvl w:val="0"/>
                <w:numId w:val="43"/>
              </w:numPr>
              <w:rPr>
                <w:rFonts w:asciiTheme="majorHAnsi" w:hAnsiTheme="majorHAnsi"/>
                <w:b w:val="0"/>
                <w:color w:val="auto"/>
              </w:rPr>
            </w:pPr>
            <w:r w:rsidRPr="00FE28A1">
              <w:rPr>
                <w:rFonts w:asciiTheme="majorHAnsi" w:hAnsiTheme="majorHAnsi"/>
                <w:b w:val="0"/>
                <w:color w:val="auto"/>
              </w:rPr>
              <w:t>Big data is expected to improve our understanding of the efficacy and safety of medical treatments and improve outcomes for the treatment of common diseases.</w:t>
            </w:r>
            <w:r w:rsidRPr="00FE28A1">
              <w:rPr>
                <w:rStyle w:val="FootnoteReference"/>
                <w:rFonts w:asciiTheme="majorHAnsi" w:hAnsiTheme="majorHAnsi"/>
                <w:b w:val="0"/>
                <w:color w:val="auto"/>
              </w:rPr>
              <w:footnoteReference w:id="61"/>
            </w:r>
            <w:r w:rsidRPr="00FE28A1">
              <w:rPr>
                <w:rFonts w:asciiTheme="majorHAnsi" w:hAnsiTheme="majorHAnsi"/>
                <w:b w:val="0"/>
                <w:color w:val="auto"/>
              </w:rPr>
              <w:t xml:space="preserve"> </w:t>
            </w:r>
          </w:p>
          <w:p w14:paraId="603D1C10" w14:textId="77777777" w:rsidR="00426BD7" w:rsidRPr="00FE28A1" w:rsidRDefault="00426BD7" w:rsidP="00F61631">
            <w:pPr>
              <w:pStyle w:val="ListParagraph"/>
              <w:numPr>
                <w:ilvl w:val="0"/>
                <w:numId w:val="43"/>
              </w:numPr>
              <w:rPr>
                <w:rFonts w:asciiTheme="majorHAnsi" w:hAnsiTheme="majorHAnsi"/>
                <w:b w:val="0"/>
                <w:color w:val="auto"/>
              </w:rPr>
            </w:pPr>
            <w:r w:rsidRPr="00FE28A1">
              <w:rPr>
                <w:rFonts w:asciiTheme="majorHAnsi" w:hAnsiTheme="majorHAnsi"/>
                <w:b w:val="0"/>
                <w:color w:val="auto"/>
              </w:rPr>
              <w:t>Additionally, big data can help us better understand the performance of medical devices like artificial joints.</w:t>
            </w:r>
            <w:r w:rsidRPr="00FE28A1">
              <w:rPr>
                <w:rStyle w:val="FootnoteReference"/>
                <w:rFonts w:asciiTheme="majorHAnsi" w:hAnsiTheme="majorHAnsi"/>
                <w:b w:val="0"/>
                <w:color w:val="auto"/>
              </w:rPr>
              <w:footnoteReference w:id="62"/>
            </w:r>
          </w:p>
          <w:p w14:paraId="236A7432" w14:textId="60EAF541" w:rsidR="00426BD7" w:rsidRPr="00FE28A1" w:rsidRDefault="00426BD7" w:rsidP="00F61631">
            <w:pPr>
              <w:pStyle w:val="ListParagraph"/>
              <w:numPr>
                <w:ilvl w:val="0"/>
                <w:numId w:val="43"/>
              </w:numPr>
              <w:rPr>
                <w:rFonts w:asciiTheme="majorHAnsi" w:hAnsiTheme="majorHAnsi"/>
                <w:b w:val="0"/>
                <w:color w:val="auto"/>
              </w:rPr>
            </w:pPr>
            <w:r w:rsidRPr="00FE28A1">
              <w:rPr>
                <w:rFonts w:asciiTheme="majorHAnsi" w:hAnsiTheme="majorHAnsi"/>
                <w:b w:val="0"/>
                <w:color w:val="auto"/>
              </w:rPr>
              <w:t>Big data is anticipated to provide both personal and community-wide benefits</w:t>
            </w:r>
            <w:r w:rsidR="005F2AF0" w:rsidRPr="00FE28A1">
              <w:rPr>
                <w:rFonts w:asciiTheme="majorHAnsi" w:hAnsiTheme="majorHAnsi"/>
                <w:b w:val="0"/>
                <w:color w:val="auto"/>
              </w:rPr>
              <w:t xml:space="preserve">.  </w:t>
            </w:r>
            <w:r w:rsidRPr="00FE28A1">
              <w:rPr>
                <w:rFonts w:asciiTheme="majorHAnsi" w:hAnsiTheme="majorHAnsi"/>
                <w:b w:val="0"/>
                <w:color w:val="auto"/>
              </w:rPr>
              <w:t>On an individual level, big data can advance personalized medicine by providing evidence for vaccine safety and providing insight into which treatments may work best for certain people.</w:t>
            </w:r>
            <w:r w:rsidRPr="00FE28A1">
              <w:rPr>
                <w:rStyle w:val="FootnoteReference"/>
                <w:rFonts w:asciiTheme="majorHAnsi" w:hAnsiTheme="majorHAnsi"/>
                <w:b w:val="0"/>
                <w:color w:val="auto"/>
              </w:rPr>
              <w:footnoteReference w:id="63"/>
            </w:r>
            <w:r w:rsidRPr="00FE28A1">
              <w:rPr>
                <w:rFonts w:asciiTheme="majorHAnsi" w:hAnsiTheme="majorHAnsi"/>
                <w:b w:val="0"/>
                <w:color w:val="auto"/>
              </w:rPr>
              <w:t xml:space="preserve"> </w:t>
            </w:r>
            <w:r w:rsidR="00996DD1" w:rsidRPr="00FE28A1">
              <w:rPr>
                <w:rFonts w:asciiTheme="majorHAnsi" w:hAnsiTheme="majorHAnsi"/>
                <w:b w:val="0"/>
                <w:color w:val="auto"/>
              </w:rPr>
              <w:t xml:space="preserve"> </w:t>
            </w:r>
            <w:r w:rsidRPr="00FE28A1">
              <w:rPr>
                <w:rFonts w:asciiTheme="majorHAnsi" w:hAnsiTheme="majorHAnsi"/>
                <w:b w:val="0"/>
                <w:color w:val="auto"/>
              </w:rPr>
              <w:t>On a community level, big data is expected to advance population health and improve community-wide care</w:t>
            </w:r>
            <w:r w:rsidRPr="00FE28A1">
              <w:rPr>
                <w:rStyle w:val="FootnoteReference"/>
                <w:rFonts w:asciiTheme="majorHAnsi" w:hAnsiTheme="majorHAnsi"/>
                <w:b w:val="0"/>
                <w:color w:val="auto"/>
              </w:rPr>
              <w:footnoteReference w:id="64"/>
            </w:r>
            <w:r w:rsidRPr="00FE28A1">
              <w:rPr>
                <w:rFonts w:asciiTheme="majorHAnsi" w:hAnsiTheme="majorHAnsi"/>
                <w:b w:val="0"/>
                <w:color w:val="auto"/>
              </w:rPr>
              <w:t xml:space="preserve"> by understanding how conditions like asthma, obesity, high blood pressure, and diabetes are concentrated in specific communities or grouped by age, gender, or other characteristics.</w:t>
            </w:r>
            <w:r w:rsidRPr="00FE28A1">
              <w:rPr>
                <w:rStyle w:val="FootnoteReference"/>
                <w:rFonts w:asciiTheme="majorHAnsi" w:hAnsiTheme="majorHAnsi"/>
                <w:b w:val="0"/>
                <w:color w:val="auto"/>
              </w:rPr>
              <w:footnoteReference w:id="65"/>
            </w:r>
            <w:r w:rsidRPr="00FE28A1">
              <w:rPr>
                <w:rFonts w:asciiTheme="majorHAnsi" w:hAnsiTheme="majorHAnsi"/>
                <w:b w:val="0"/>
                <w:color w:val="auto"/>
              </w:rPr>
              <w:t xml:space="preserve"> </w:t>
            </w:r>
          </w:p>
          <w:p w14:paraId="65D18587" w14:textId="12506D5F" w:rsidR="00426BD7" w:rsidRPr="005B6247" w:rsidRDefault="00426BD7" w:rsidP="000A54AB">
            <w:pPr>
              <w:pStyle w:val="ListParagraph"/>
              <w:numPr>
                <w:ilvl w:val="0"/>
                <w:numId w:val="43"/>
              </w:numPr>
              <w:rPr>
                <w:rFonts w:asciiTheme="majorHAnsi" w:hAnsiTheme="majorHAnsi"/>
                <w:b w:val="0"/>
              </w:rPr>
            </w:pPr>
            <w:r w:rsidRPr="00FE28A1">
              <w:rPr>
                <w:rFonts w:asciiTheme="majorHAnsi" w:hAnsiTheme="majorHAnsi"/>
                <w:b w:val="0"/>
                <w:color w:val="auto"/>
              </w:rPr>
              <w:t>Big data will also continue to enable public officials to identify and track the spread of infectious diseases and respond in a timely manner.</w:t>
            </w:r>
            <w:r w:rsidRPr="00FE28A1">
              <w:rPr>
                <w:rStyle w:val="FootnoteReference"/>
                <w:rFonts w:asciiTheme="majorHAnsi" w:hAnsiTheme="majorHAnsi"/>
                <w:b w:val="0"/>
                <w:color w:val="auto"/>
              </w:rPr>
              <w:footnoteReference w:id="66"/>
            </w:r>
          </w:p>
        </w:tc>
      </w:tr>
      <w:tr w:rsidR="00426BD7" w:rsidRPr="0016351D" w14:paraId="3060BD53" w14:textId="77777777" w:rsidTr="00FE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Borders>
              <w:top w:val="none" w:sz="0" w:space="0" w:color="auto"/>
              <w:left w:val="none" w:sz="0" w:space="0" w:color="auto"/>
              <w:bottom w:val="none" w:sz="0" w:space="0" w:color="auto"/>
              <w:right w:val="none" w:sz="0" w:space="0" w:color="auto"/>
            </w:tcBorders>
            <w:shd w:val="clear" w:color="auto" w:fill="FFFFFF" w:themeFill="background1"/>
          </w:tcPr>
          <w:p w14:paraId="3D69394B" w14:textId="75D303CE" w:rsidR="00426BD7" w:rsidRPr="00281740" w:rsidRDefault="00426BD7" w:rsidP="00636DDA">
            <w:pPr>
              <w:rPr>
                <w:rFonts w:asciiTheme="majorHAnsi" w:hAnsiTheme="majorHAnsi"/>
                <w:b w:val="0"/>
                <w:bCs w:val="0"/>
              </w:rPr>
            </w:pPr>
            <w:r w:rsidRPr="00281740">
              <w:rPr>
                <w:rFonts w:asciiTheme="majorHAnsi" w:hAnsiTheme="majorHAnsi"/>
              </w:rPr>
              <w:t>To</w:t>
            </w:r>
            <w:r w:rsidRPr="003E5204">
              <w:rPr>
                <w:rFonts w:asciiTheme="majorHAnsi" w:hAnsiTheme="majorHAnsi"/>
              </w:rPr>
              <w:t xml:space="preserve">pic: </w:t>
            </w:r>
            <w:r w:rsidRPr="00426BD7">
              <w:rPr>
                <w:rFonts w:asciiTheme="majorHAnsi" w:hAnsiTheme="majorHAnsi"/>
              </w:rPr>
              <w:t>Big Data Challenges</w:t>
            </w:r>
          </w:p>
          <w:p w14:paraId="1492D944" w14:textId="73707FDB" w:rsidR="00426BD7" w:rsidRPr="00636DDA" w:rsidRDefault="00426BD7" w:rsidP="00636DDA">
            <w:pPr>
              <w:rPr>
                <w:rFonts w:asciiTheme="majorHAnsi" w:hAnsiTheme="majorHAnsi"/>
                <w:b w:val="0"/>
              </w:rPr>
            </w:pPr>
            <w:r w:rsidRPr="00636DDA">
              <w:rPr>
                <w:rFonts w:asciiTheme="majorHAnsi" w:hAnsiTheme="majorHAnsi"/>
              </w:rPr>
              <w:t>Testimony</w:t>
            </w:r>
            <w:r w:rsidRPr="00281740">
              <w:rPr>
                <w:rFonts w:asciiTheme="majorHAnsi" w:hAnsiTheme="majorHAnsi"/>
              </w:rPr>
              <w:t>:</w:t>
            </w:r>
          </w:p>
          <w:p w14:paraId="1DFC0DF2" w14:textId="60A5D32D" w:rsidR="00426BD7" w:rsidRPr="00711087" w:rsidRDefault="00426BD7" w:rsidP="0009489B">
            <w:pPr>
              <w:pStyle w:val="ListParagraph"/>
              <w:numPr>
                <w:ilvl w:val="0"/>
                <w:numId w:val="44"/>
              </w:numPr>
              <w:rPr>
                <w:rFonts w:asciiTheme="majorHAnsi" w:hAnsiTheme="majorHAnsi"/>
                <w:b w:val="0"/>
              </w:rPr>
            </w:pPr>
            <w:r w:rsidRPr="00711087">
              <w:rPr>
                <w:rFonts w:asciiTheme="majorHAnsi" w:hAnsiTheme="majorHAnsi"/>
                <w:b w:val="0"/>
              </w:rPr>
              <w:t>In a big data world, almost any kind of data can be health-related data.</w:t>
            </w:r>
            <w:r w:rsidRPr="00711087">
              <w:rPr>
                <w:rStyle w:val="FootnoteReference"/>
                <w:rFonts w:asciiTheme="majorHAnsi" w:hAnsiTheme="majorHAnsi"/>
                <w:b w:val="0"/>
              </w:rPr>
              <w:footnoteReference w:id="67"/>
            </w:r>
          </w:p>
          <w:p w14:paraId="69AFCD29" w14:textId="2B558E24" w:rsidR="00426BD7" w:rsidRPr="00711087" w:rsidRDefault="00426BD7" w:rsidP="00287E75">
            <w:pPr>
              <w:pStyle w:val="ListParagraph"/>
              <w:numPr>
                <w:ilvl w:val="0"/>
                <w:numId w:val="44"/>
              </w:numPr>
              <w:rPr>
                <w:rFonts w:asciiTheme="majorHAnsi" w:hAnsiTheme="majorHAnsi"/>
                <w:b w:val="0"/>
              </w:rPr>
            </w:pPr>
            <w:r w:rsidRPr="00711087">
              <w:rPr>
                <w:rFonts w:asciiTheme="majorHAnsi" w:hAnsiTheme="majorHAnsi"/>
                <w:b w:val="0"/>
              </w:rPr>
              <w:t>Difficult to define privacy harm because the concept of harm is often subjective and dependent on context.</w:t>
            </w:r>
            <w:r w:rsidRPr="00711087">
              <w:rPr>
                <w:rStyle w:val="FootnoteReference"/>
                <w:rFonts w:asciiTheme="majorHAnsi" w:hAnsiTheme="majorHAnsi"/>
                <w:b w:val="0"/>
              </w:rPr>
              <w:footnoteReference w:id="68"/>
            </w:r>
            <w:r w:rsidRPr="00711087">
              <w:rPr>
                <w:rStyle w:val="FootnoteReference"/>
                <w:rFonts w:asciiTheme="majorHAnsi" w:hAnsiTheme="majorHAnsi"/>
                <w:b w:val="0"/>
              </w:rPr>
              <w:t xml:space="preserve"> </w:t>
            </w:r>
            <w:r w:rsidRPr="00711087">
              <w:rPr>
                <w:rFonts w:asciiTheme="majorHAnsi" w:hAnsiTheme="majorHAnsi"/>
                <w:b w:val="0"/>
              </w:rPr>
              <w:t xml:space="preserve"> </w:t>
            </w:r>
          </w:p>
          <w:p w14:paraId="185E8C57" w14:textId="3E3FD74B" w:rsidR="00426BD7" w:rsidRPr="00711087" w:rsidRDefault="00426BD7" w:rsidP="00F61631">
            <w:pPr>
              <w:pStyle w:val="ListParagraph"/>
              <w:numPr>
                <w:ilvl w:val="0"/>
                <w:numId w:val="44"/>
              </w:numPr>
              <w:rPr>
                <w:rFonts w:asciiTheme="majorHAnsi" w:hAnsiTheme="majorHAnsi"/>
                <w:b w:val="0"/>
              </w:rPr>
            </w:pPr>
            <w:r w:rsidRPr="00711087">
              <w:rPr>
                <w:rFonts w:asciiTheme="majorHAnsi" w:hAnsiTheme="majorHAnsi"/>
                <w:b w:val="0"/>
              </w:rPr>
              <w:t>Big data introduces new risks of re-identification due to the volume of data and the broad variety of data sources in the big data ecosystem.</w:t>
            </w:r>
            <w:r w:rsidRPr="00711087">
              <w:rPr>
                <w:rStyle w:val="FootnoteReference"/>
                <w:rFonts w:asciiTheme="majorHAnsi" w:hAnsiTheme="majorHAnsi"/>
                <w:b w:val="0"/>
              </w:rPr>
              <w:footnoteReference w:id="69"/>
            </w:r>
          </w:p>
          <w:p w14:paraId="7E3AB567" w14:textId="3D40D4B2" w:rsidR="00426BD7" w:rsidRPr="00711087" w:rsidRDefault="00426BD7" w:rsidP="00F61631">
            <w:pPr>
              <w:pStyle w:val="ListParagraph"/>
              <w:numPr>
                <w:ilvl w:val="0"/>
                <w:numId w:val="44"/>
              </w:numPr>
              <w:rPr>
                <w:rFonts w:asciiTheme="majorHAnsi" w:hAnsiTheme="majorHAnsi"/>
                <w:b w:val="0"/>
              </w:rPr>
            </w:pPr>
            <w:r w:rsidRPr="00711087">
              <w:rPr>
                <w:rFonts w:asciiTheme="majorHAnsi" w:hAnsiTheme="majorHAnsi"/>
                <w:b w:val="0"/>
              </w:rPr>
              <w:t>Data security is a crucial challenge</w:t>
            </w:r>
            <w:r w:rsidR="005F2AF0" w:rsidRPr="00711087">
              <w:rPr>
                <w:rFonts w:asciiTheme="majorHAnsi" w:hAnsiTheme="majorHAnsi"/>
                <w:b w:val="0"/>
              </w:rPr>
              <w:t xml:space="preserve">.  </w:t>
            </w:r>
            <w:r w:rsidRPr="00711087">
              <w:rPr>
                <w:rFonts w:asciiTheme="majorHAnsi" w:hAnsiTheme="majorHAnsi"/>
                <w:b w:val="0"/>
              </w:rPr>
              <w:t>This is driven by the complexity in software and hardware that is used in the healthcare environment, which leads to greater vulnerabilities.</w:t>
            </w:r>
            <w:r w:rsidRPr="00711087">
              <w:rPr>
                <w:rStyle w:val="FootnoteReference"/>
                <w:rFonts w:asciiTheme="majorHAnsi" w:hAnsiTheme="majorHAnsi"/>
                <w:b w:val="0"/>
              </w:rPr>
              <w:footnoteReference w:id="70"/>
            </w:r>
          </w:p>
          <w:p w14:paraId="2D4E1B6B" w14:textId="77777777" w:rsidR="00426BD7" w:rsidRPr="00711087" w:rsidRDefault="00426BD7" w:rsidP="00F2038A">
            <w:pPr>
              <w:pStyle w:val="ListParagraph"/>
              <w:numPr>
                <w:ilvl w:val="0"/>
                <w:numId w:val="44"/>
              </w:numPr>
              <w:rPr>
                <w:rFonts w:asciiTheme="majorHAnsi" w:hAnsiTheme="majorHAnsi"/>
                <w:b w:val="0"/>
              </w:rPr>
            </w:pPr>
            <w:r w:rsidRPr="00711087">
              <w:rPr>
                <w:rFonts w:asciiTheme="majorHAnsi" w:hAnsiTheme="majorHAnsi"/>
                <w:b w:val="0"/>
              </w:rPr>
              <w:lastRenderedPageBreak/>
              <w:t>Big data is not precisely defined, which makes it more difficult for legislators to enact laws that regulate big data collection, use, and analysis.</w:t>
            </w:r>
            <w:r w:rsidRPr="00711087">
              <w:rPr>
                <w:rStyle w:val="FootnoteReference"/>
                <w:rFonts w:asciiTheme="majorHAnsi" w:hAnsiTheme="majorHAnsi"/>
                <w:b w:val="0"/>
              </w:rPr>
              <w:footnoteReference w:id="71"/>
            </w:r>
            <w:r w:rsidRPr="00711087">
              <w:rPr>
                <w:rFonts w:asciiTheme="majorHAnsi" w:hAnsiTheme="majorHAnsi"/>
                <w:b w:val="0"/>
              </w:rPr>
              <w:t xml:space="preserve"> </w:t>
            </w:r>
          </w:p>
          <w:p w14:paraId="1BE80DA9" w14:textId="776B90AE" w:rsidR="00426BD7" w:rsidRPr="00996DD1" w:rsidRDefault="00426BD7" w:rsidP="00F2038A">
            <w:pPr>
              <w:pStyle w:val="ListParagraph"/>
              <w:numPr>
                <w:ilvl w:val="0"/>
                <w:numId w:val="44"/>
              </w:numPr>
              <w:rPr>
                <w:rFonts w:asciiTheme="majorHAnsi" w:hAnsiTheme="majorHAnsi"/>
                <w:b w:val="0"/>
              </w:rPr>
            </w:pPr>
            <w:r w:rsidRPr="00711087">
              <w:rPr>
                <w:rFonts w:asciiTheme="majorHAnsi" w:hAnsiTheme="majorHAnsi"/>
                <w:b w:val="0"/>
              </w:rPr>
              <w:t>Additionally, algorithms that rely on big data and that are applied to make decisions about individuals, which may shape their behaviors and opportunities, are not well understood by the public</w:t>
            </w:r>
            <w:r w:rsidR="005F2AF0" w:rsidRPr="00711087">
              <w:rPr>
                <w:rFonts w:asciiTheme="majorHAnsi" w:hAnsiTheme="majorHAnsi"/>
                <w:b w:val="0"/>
              </w:rPr>
              <w:t xml:space="preserve">.  </w:t>
            </w:r>
            <w:r w:rsidRPr="00711087">
              <w:rPr>
                <w:rFonts w:asciiTheme="majorHAnsi" w:hAnsiTheme="majorHAnsi"/>
                <w:b w:val="0"/>
              </w:rPr>
              <w:t>This lack of transparency, which was repeatedly cited as a concern, creates the potential for undetected discrimination to occur, which could reduce public trust in data exchange.</w:t>
            </w:r>
            <w:r w:rsidRPr="00711087">
              <w:rPr>
                <w:rStyle w:val="FootnoteReference"/>
                <w:rFonts w:asciiTheme="majorHAnsi" w:hAnsiTheme="majorHAnsi"/>
                <w:b w:val="0"/>
              </w:rPr>
              <w:footnoteReference w:id="72"/>
            </w:r>
          </w:p>
        </w:tc>
      </w:tr>
      <w:tr w:rsidR="00426BD7" w:rsidRPr="0016351D" w14:paraId="48EC4466" w14:textId="77777777" w:rsidTr="00FE28A1">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05085A73" w14:textId="514C6065" w:rsidR="00426BD7" w:rsidRPr="00281740" w:rsidRDefault="00426BD7" w:rsidP="00636DDA">
            <w:pPr>
              <w:rPr>
                <w:rFonts w:asciiTheme="majorHAnsi" w:hAnsiTheme="majorHAnsi"/>
                <w:b w:val="0"/>
                <w:bCs w:val="0"/>
              </w:rPr>
            </w:pPr>
            <w:r w:rsidRPr="00281740">
              <w:rPr>
                <w:rFonts w:asciiTheme="majorHAnsi" w:hAnsiTheme="majorHAnsi"/>
              </w:rPr>
              <w:lastRenderedPageBreak/>
              <w:t>Topic:</w:t>
            </w:r>
            <w:r w:rsidRPr="003E5204">
              <w:rPr>
                <w:rFonts w:asciiTheme="majorHAnsi" w:hAnsiTheme="majorHAnsi"/>
              </w:rPr>
              <w:t xml:space="preserve"> </w:t>
            </w:r>
            <w:r w:rsidRPr="00426BD7">
              <w:rPr>
                <w:rFonts w:asciiTheme="majorHAnsi" w:hAnsiTheme="majorHAnsi"/>
              </w:rPr>
              <w:t>Concerns About Tools Used to Protect Privacy</w:t>
            </w:r>
          </w:p>
          <w:p w14:paraId="3DE5EC4B" w14:textId="77777777" w:rsidR="00426BD7" w:rsidRPr="00636DDA" w:rsidRDefault="00426BD7" w:rsidP="00636DDA">
            <w:pPr>
              <w:rPr>
                <w:rFonts w:asciiTheme="majorHAnsi" w:hAnsiTheme="majorHAnsi"/>
                <w:b w:val="0"/>
              </w:rPr>
            </w:pPr>
            <w:r w:rsidRPr="003E5204">
              <w:rPr>
                <w:rFonts w:asciiTheme="majorHAnsi" w:hAnsiTheme="majorHAnsi"/>
              </w:rPr>
              <w:t>Testimony:</w:t>
            </w:r>
            <w:r w:rsidRPr="00426BD7">
              <w:rPr>
                <w:rFonts w:asciiTheme="majorHAnsi" w:hAnsiTheme="majorHAnsi"/>
              </w:rPr>
              <w:t xml:space="preserve"> </w:t>
            </w:r>
          </w:p>
          <w:p w14:paraId="1ED277A3" w14:textId="38A6DD47" w:rsidR="00426BD7" w:rsidRPr="00711087" w:rsidRDefault="00426BD7" w:rsidP="00A60637">
            <w:pPr>
              <w:pStyle w:val="ListParagraph"/>
              <w:numPr>
                <w:ilvl w:val="0"/>
                <w:numId w:val="40"/>
              </w:numPr>
              <w:rPr>
                <w:rFonts w:asciiTheme="majorHAnsi" w:hAnsiTheme="majorHAnsi"/>
                <w:b w:val="0"/>
              </w:rPr>
            </w:pPr>
            <w:r w:rsidRPr="00711087">
              <w:rPr>
                <w:rFonts w:asciiTheme="majorHAnsi" w:hAnsiTheme="majorHAnsi"/>
                <w:b w:val="0"/>
              </w:rPr>
              <w:t>All data can be health data, or data from which inferences about health are drawn or correlations with health are made.</w:t>
            </w:r>
            <w:r w:rsidRPr="00711087">
              <w:rPr>
                <w:rStyle w:val="FootnoteReference"/>
                <w:rFonts w:asciiTheme="majorHAnsi" w:hAnsiTheme="majorHAnsi"/>
                <w:b w:val="0"/>
              </w:rPr>
              <w:footnoteReference w:id="73"/>
            </w:r>
            <w:r w:rsidRPr="00711087">
              <w:rPr>
                <w:rFonts w:asciiTheme="majorHAnsi" w:hAnsiTheme="majorHAnsi"/>
                <w:b w:val="0"/>
              </w:rPr>
              <w:t xml:space="preserve"> </w:t>
            </w:r>
          </w:p>
          <w:p w14:paraId="0B446FC6" w14:textId="2CD9D40E" w:rsidR="00426BD7" w:rsidRPr="00711087" w:rsidRDefault="00426BD7" w:rsidP="00BA47C7">
            <w:pPr>
              <w:pStyle w:val="ListParagraph"/>
              <w:numPr>
                <w:ilvl w:val="0"/>
                <w:numId w:val="40"/>
              </w:numPr>
              <w:rPr>
                <w:rFonts w:asciiTheme="majorHAnsi" w:hAnsiTheme="majorHAnsi"/>
                <w:b w:val="0"/>
              </w:rPr>
            </w:pPr>
            <w:r w:rsidRPr="00711087">
              <w:rPr>
                <w:rFonts w:asciiTheme="majorHAnsi" w:hAnsiTheme="majorHAnsi"/>
                <w:b w:val="0"/>
              </w:rPr>
              <w:t>Apps and wearables collect data that provide insights into peoples’ day-to-day health</w:t>
            </w:r>
            <w:r w:rsidR="005F2AF0" w:rsidRPr="00711087">
              <w:rPr>
                <w:rFonts w:asciiTheme="majorHAnsi" w:hAnsiTheme="majorHAnsi"/>
                <w:b w:val="0"/>
              </w:rPr>
              <w:t xml:space="preserve">.  </w:t>
            </w:r>
            <w:r w:rsidRPr="00711087">
              <w:rPr>
                <w:rFonts w:asciiTheme="majorHAnsi" w:hAnsiTheme="majorHAnsi"/>
                <w:b w:val="0"/>
              </w:rPr>
              <w:t>These data include “</w:t>
            </w:r>
            <w:r w:rsidRPr="00711087">
              <w:rPr>
                <w:rFonts w:asciiTheme="majorHAnsi" w:hAnsiTheme="majorHAnsi" w:cs="Calibri"/>
                <w:b w:val="0"/>
              </w:rPr>
              <w:t>steps, workout, sleep, mood, pain, menstrual cycles and heart rate</w:t>
            </w:r>
            <w:r w:rsidR="005F2AF0" w:rsidRPr="00711087">
              <w:rPr>
                <w:rFonts w:asciiTheme="majorHAnsi" w:hAnsiTheme="majorHAnsi" w:cs="Calibri"/>
                <w:b w:val="0"/>
              </w:rPr>
              <w:t xml:space="preserve">.  </w:t>
            </w:r>
            <w:r w:rsidRPr="00711087">
              <w:rPr>
                <w:rFonts w:asciiTheme="majorHAnsi" w:hAnsiTheme="majorHAnsi" w:cs="Calibri"/>
                <w:b w:val="0"/>
              </w:rPr>
              <w:t>Recent products also include hydration, stress and breathing rates and patterns</w:t>
            </w:r>
            <w:r w:rsidR="005F2AF0" w:rsidRPr="00711087">
              <w:rPr>
                <w:rFonts w:asciiTheme="majorHAnsi" w:hAnsiTheme="majorHAnsi" w:cs="Calibri"/>
                <w:b w:val="0"/>
              </w:rPr>
              <w:t xml:space="preserve">.  </w:t>
            </w:r>
            <w:r w:rsidRPr="00711087">
              <w:rPr>
                <w:rFonts w:asciiTheme="majorHAnsi" w:hAnsiTheme="majorHAnsi" w:cs="Calibri"/>
                <w:b w:val="0"/>
              </w:rPr>
              <w:t>Still others are able to infer health experiences by analyzing data such as location, movement and social activity, not typically considered health data.”</w:t>
            </w:r>
            <w:r w:rsidRPr="00711087">
              <w:rPr>
                <w:rStyle w:val="FootnoteReference"/>
                <w:rFonts w:asciiTheme="majorHAnsi" w:hAnsiTheme="majorHAnsi"/>
                <w:b w:val="0"/>
              </w:rPr>
              <w:footnoteReference w:id="74"/>
            </w:r>
          </w:p>
          <w:p w14:paraId="5B80C450" w14:textId="5090C08A" w:rsidR="00426BD7" w:rsidRPr="00711087" w:rsidRDefault="00426BD7" w:rsidP="00BA47C7">
            <w:pPr>
              <w:pStyle w:val="ListParagraph"/>
              <w:numPr>
                <w:ilvl w:val="0"/>
                <w:numId w:val="40"/>
              </w:numPr>
              <w:rPr>
                <w:rFonts w:asciiTheme="majorHAnsi" w:hAnsiTheme="majorHAnsi"/>
                <w:b w:val="0"/>
              </w:rPr>
            </w:pPr>
            <w:r w:rsidRPr="00711087">
              <w:rPr>
                <w:rFonts w:asciiTheme="majorHAnsi" w:hAnsiTheme="majorHAnsi"/>
                <w:b w:val="0"/>
              </w:rPr>
              <w:t xml:space="preserve">Some say the FIPPs are unsuited for the era of big data (e.g., analytical methods are putting pressure on traditional principles such as </w:t>
            </w:r>
            <w:r w:rsidRPr="00636DDA">
              <w:rPr>
                <w:rFonts w:asciiTheme="majorHAnsi" w:hAnsiTheme="majorHAnsi"/>
                <w:b w:val="0"/>
              </w:rPr>
              <w:t>confidentiality</w:t>
            </w:r>
            <w:r w:rsidRPr="00711087">
              <w:rPr>
                <w:rFonts w:asciiTheme="majorHAnsi" w:hAnsiTheme="majorHAnsi"/>
                <w:b w:val="0"/>
              </w:rPr>
              <w:t xml:space="preserve">, </w:t>
            </w:r>
            <w:r w:rsidRPr="00636DDA">
              <w:rPr>
                <w:rFonts w:asciiTheme="majorHAnsi" w:hAnsiTheme="majorHAnsi"/>
                <w:b w:val="0"/>
              </w:rPr>
              <w:t>security</w:t>
            </w:r>
            <w:r w:rsidRPr="00711087">
              <w:rPr>
                <w:rFonts w:asciiTheme="majorHAnsi" w:hAnsiTheme="majorHAnsi"/>
                <w:b w:val="0"/>
              </w:rPr>
              <w:t xml:space="preserve">, </w:t>
            </w:r>
            <w:r w:rsidRPr="00636DDA">
              <w:rPr>
                <w:rFonts w:asciiTheme="majorHAnsi" w:hAnsiTheme="majorHAnsi"/>
                <w:b w:val="0"/>
              </w:rPr>
              <w:t>individual participation</w:t>
            </w:r>
            <w:r w:rsidRPr="00711087">
              <w:rPr>
                <w:rFonts w:asciiTheme="majorHAnsi" w:hAnsiTheme="majorHAnsi"/>
                <w:b w:val="0"/>
              </w:rPr>
              <w:t xml:space="preserve"> through meaningful patient consent, </w:t>
            </w:r>
            <w:r w:rsidRPr="00636DDA">
              <w:rPr>
                <w:rFonts w:asciiTheme="majorHAnsi" w:hAnsiTheme="majorHAnsi"/>
                <w:b w:val="0"/>
              </w:rPr>
              <w:t xml:space="preserve">transparency </w:t>
            </w:r>
            <w:r w:rsidRPr="00711087">
              <w:rPr>
                <w:rFonts w:asciiTheme="majorHAnsi" w:hAnsiTheme="majorHAnsi"/>
                <w:b w:val="0"/>
              </w:rPr>
              <w:t xml:space="preserve">and </w:t>
            </w:r>
            <w:r w:rsidRPr="00636DDA">
              <w:rPr>
                <w:rFonts w:asciiTheme="majorHAnsi" w:hAnsiTheme="majorHAnsi"/>
                <w:b w:val="0"/>
              </w:rPr>
              <w:t>data minimization</w:t>
            </w:r>
            <w:r w:rsidR="00FF1FE5">
              <w:rPr>
                <w:rFonts w:asciiTheme="majorHAnsi" w:hAnsiTheme="majorHAnsi"/>
                <w:b w:val="0"/>
              </w:rPr>
              <w:t xml:space="preserve"> </w:t>
            </w:r>
            <w:r w:rsidRPr="00711087">
              <w:rPr>
                <w:rFonts w:asciiTheme="majorHAnsi" w:hAnsiTheme="majorHAnsi"/>
                <w:b w:val="0"/>
              </w:rPr>
              <w:t>(including collection, use, and purpose limitation).</w:t>
            </w:r>
            <w:r w:rsidR="00FF1FE5" w:rsidRPr="00711087">
              <w:rPr>
                <w:rStyle w:val="FootnoteReference"/>
                <w:rFonts w:asciiTheme="majorHAnsi" w:hAnsiTheme="majorHAnsi"/>
                <w:b w:val="0"/>
              </w:rPr>
              <w:footnoteReference w:id="75"/>
            </w:r>
          </w:p>
          <w:p w14:paraId="75F8128B" w14:textId="77777777" w:rsidR="00426BD7" w:rsidRPr="005B6247" w:rsidRDefault="00426BD7" w:rsidP="002F4BAF">
            <w:pPr>
              <w:pStyle w:val="ListParagraph"/>
              <w:numPr>
                <w:ilvl w:val="0"/>
                <w:numId w:val="40"/>
              </w:numPr>
              <w:rPr>
                <w:rFonts w:asciiTheme="majorHAnsi" w:hAnsiTheme="majorHAnsi"/>
                <w:b w:val="0"/>
              </w:rPr>
            </w:pPr>
            <w:r w:rsidRPr="00711087">
              <w:rPr>
                <w:rFonts w:asciiTheme="majorHAnsi" w:hAnsiTheme="majorHAnsi"/>
                <w:b w:val="0"/>
              </w:rPr>
              <w:t>Nevertheless, presenters defended the FIPPs, stating they still provide “a strong, standardized structure that promotes responsible and efficient use of data while allowing for innovations in analytics and application.”</w:t>
            </w:r>
            <w:r w:rsidRPr="00711087">
              <w:rPr>
                <w:rStyle w:val="FootnoteReference"/>
                <w:rFonts w:asciiTheme="majorHAnsi" w:hAnsiTheme="majorHAnsi"/>
                <w:b w:val="0"/>
              </w:rPr>
              <w:footnoteReference w:id="76"/>
            </w:r>
          </w:p>
        </w:tc>
      </w:tr>
      <w:tr w:rsidR="00426BD7" w:rsidRPr="0016351D" w14:paraId="199585D2" w14:textId="77777777" w:rsidTr="00FE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Borders>
              <w:top w:val="none" w:sz="0" w:space="0" w:color="auto"/>
              <w:left w:val="none" w:sz="0" w:space="0" w:color="auto"/>
              <w:bottom w:val="none" w:sz="0" w:space="0" w:color="auto"/>
              <w:right w:val="none" w:sz="0" w:space="0" w:color="auto"/>
            </w:tcBorders>
            <w:shd w:val="clear" w:color="auto" w:fill="FFFFFF" w:themeFill="background1"/>
          </w:tcPr>
          <w:p w14:paraId="444E82D9" w14:textId="4EB1F372" w:rsidR="00426BD7" w:rsidRPr="00636DDA" w:rsidRDefault="00426BD7" w:rsidP="00636DDA">
            <w:pPr>
              <w:keepNext/>
              <w:keepLines/>
              <w:spacing w:before="200"/>
              <w:outlineLvl w:val="4"/>
              <w:rPr>
                <w:rFonts w:asciiTheme="majorHAnsi" w:hAnsiTheme="majorHAnsi"/>
                <w:b w:val="0"/>
              </w:rPr>
            </w:pPr>
            <w:r w:rsidRPr="00281740">
              <w:rPr>
                <w:rFonts w:asciiTheme="majorHAnsi" w:hAnsiTheme="majorHAnsi"/>
              </w:rPr>
              <w:lastRenderedPageBreak/>
              <w:t>Topic:</w:t>
            </w:r>
            <w:r w:rsidRPr="00426BD7">
              <w:rPr>
                <w:rFonts w:asciiTheme="majorHAnsi" w:hAnsiTheme="majorHAnsi"/>
              </w:rPr>
              <w:t xml:space="preserve"> De-identification </w:t>
            </w:r>
          </w:p>
          <w:p w14:paraId="3C0B1692" w14:textId="77777777" w:rsidR="00426BD7" w:rsidRDefault="00426BD7" w:rsidP="00636DDA">
            <w:pPr>
              <w:rPr>
                <w:rFonts w:asciiTheme="majorHAnsi" w:hAnsiTheme="majorHAnsi"/>
                <w:b w:val="0"/>
                <w:bCs w:val="0"/>
              </w:rPr>
            </w:pPr>
            <w:r w:rsidRPr="00281740">
              <w:rPr>
                <w:rFonts w:asciiTheme="majorHAnsi" w:hAnsiTheme="majorHAnsi"/>
              </w:rPr>
              <w:t>Testimony:</w:t>
            </w:r>
            <w:r w:rsidRPr="00426BD7">
              <w:rPr>
                <w:rFonts w:asciiTheme="majorHAnsi" w:hAnsiTheme="majorHAnsi"/>
              </w:rPr>
              <w:t xml:space="preserve"> </w:t>
            </w:r>
          </w:p>
          <w:p w14:paraId="022F5890" w14:textId="78EDCE9E"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De-identification does not eliminate the risk of re-identification.</w:t>
            </w:r>
            <w:r w:rsidRPr="00711087">
              <w:rPr>
                <w:rStyle w:val="FootnoteReference"/>
                <w:rFonts w:asciiTheme="majorHAnsi" w:hAnsiTheme="majorHAnsi"/>
                <w:b w:val="0"/>
              </w:rPr>
              <w:footnoteReference w:id="77"/>
            </w:r>
            <w:r w:rsidRPr="00711087">
              <w:rPr>
                <w:rFonts w:asciiTheme="majorHAnsi" w:hAnsiTheme="majorHAnsi"/>
                <w:b w:val="0"/>
              </w:rPr>
              <w:t xml:space="preserve"> </w:t>
            </w:r>
            <w:r w:rsidR="00101ADB">
              <w:rPr>
                <w:rFonts w:asciiTheme="majorHAnsi" w:hAnsiTheme="majorHAnsi"/>
                <w:b w:val="0"/>
              </w:rPr>
              <w:t xml:space="preserve"> </w:t>
            </w:r>
            <w:r w:rsidRPr="00711087">
              <w:rPr>
                <w:rFonts w:asciiTheme="majorHAnsi" w:hAnsiTheme="majorHAnsi"/>
                <w:b w:val="0"/>
              </w:rPr>
              <w:t>Nevertheless, if de-identification is done well, the risk of re-identification can be very low.</w:t>
            </w:r>
            <w:r w:rsidRPr="00711087">
              <w:rPr>
                <w:rStyle w:val="FootnoteReference"/>
                <w:rFonts w:asciiTheme="majorHAnsi" w:hAnsiTheme="majorHAnsi"/>
                <w:b w:val="0"/>
              </w:rPr>
              <w:footnoteReference w:id="78"/>
            </w:r>
          </w:p>
          <w:p w14:paraId="6D654182" w14:textId="71B094A0"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While some research organizations indicated their satisfaction with de-identified data sets,</w:t>
            </w:r>
            <w:r w:rsidRPr="00711087">
              <w:rPr>
                <w:rStyle w:val="FootnoteReference"/>
                <w:rFonts w:asciiTheme="majorHAnsi" w:hAnsiTheme="majorHAnsi"/>
                <w:b w:val="0"/>
              </w:rPr>
              <w:footnoteReference w:id="79"/>
            </w:r>
            <w:r w:rsidRPr="00711087">
              <w:rPr>
                <w:rFonts w:asciiTheme="majorHAnsi" w:hAnsiTheme="majorHAnsi"/>
                <w:b w:val="0"/>
              </w:rPr>
              <w:t xml:space="preserve"> others stated that sometimes it is necessary to use fully identified data (e.g</w:t>
            </w:r>
            <w:r w:rsidR="005F2AF0" w:rsidRPr="00711087">
              <w:rPr>
                <w:rFonts w:asciiTheme="majorHAnsi" w:hAnsiTheme="majorHAnsi"/>
                <w:b w:val="0"/>
              </w:rPr>
              <w:t xml:space="preserve">.  </w:t>
            </w:r>
            <w:proofErr w:type="gramStart"/>
            <w:r w:rsidRPr="00711087">
              <w:rPr>
                <w:rFonts w:asciiTheme="majorHAnsi" w:hAnsiTheme="majorHAnsi"/>
                <w:b w:val="0"/>
              </w:rPr>
              <w:t>when</w:t>
            </w:r>
            <w:proofErr w:type="gramEnd"/>
            <w:r w:rsidRPr="00711087">
              <w:rPr>
                <w:rFonts w:asciiTheme="majorHAnsi" w:hAnsiTheme="majorHAnsi"/>
                <w:b w:val="0"/>
              </w:rPr>
              <w:t xml:space="preserve"> electronic health data must be matched to an external source like the National Death Index).</w:t>
            </w:r>
            <w:r w:rsidRPr="00711087">
              <w:rPr>
                <w:rStyle w:val="FootnoteReference"/>
                <w:rFonts w:asciiTheme="majorHAnsi" w:hAnsiTheme="majorHAnsi"/>
                <w:b w:val="0"/>
              </w:rPr>
              <w:footnoteReference w:id="80"/>
            </w:r>
            <w:r w:rsidRPr="00711087">
              <w:rPr>
                <w:rFonts w:asciiTheme="majorHAnsi" w:hAnsiTheme="majorHAnsi"/>
                <w:b w:val="0"/>
              </w:rPr>
              <w:t xml:space="preserve"> </w:t>
            </w:r>
            <w:r w:rsidR="00996DD1">
              <w:rPr>
                <w:rFonts w:asciiTheme="majorHAnsi" w:hAnsiTheme="majorHAnsi"/>
                <w:b w:val="0"/>
              </w:rPr>
              <w:t xml:space="preserve"> </w:t>
            </w:r>
            <w:r w:rsidRPr="00711087">
              <w:rPr>
                <w:rFonts w:asciiTheme="majorHAnsi" w:hAnsiTheme="majorHAnsi"/>
                <w:b w:val="0"/>
              </w:rPr>
              <w:t>Some stated that HIPAA’s safe harbor de-identification method may not give researchers the data they need or want</w:t>
            </w:r>
            <w:r w:rsidR="005F2AF0" w:rsidRPr="00711087">
              <w:rPr>
                <w:rFonts w:asciiTheme="majorHAnsi" w:hAnsiTheme="majorHAnsi"/>
                <w:b w:val="0"/>
              </w:rPr>
              <w:t xml:space="preserve">.  </w:t>
            </w:r>
            <w:r w:rsidRPr="00711087">
              <w:rPr>
                <w:rFonts w:asciiTheme="majorHAnsi" w:hAnsiTheme="majorHAnsi"/>
                <w:b w:val="0"/>
              </w:rPr>
              <w:t>Limited data sets are slightly more robust, but still may or may not be sufficient for research needs.</w:t>
            </w:r>
            <w:r w:rsidRPr="00711087">
              <w:rPr>
                <w:rStyle w:val="FootnoteReference"/>
                <w:rFonts w:asciiTheme="majorHAnsi" w:hAnsiTheme="majorHAnsi"/>
                <w:b w:val="0"/>
              </w:rPr>
              <w:footnoteReference w:id="81"/>
            </w:r>
          </w:p>
          <w:p w14:paraId="608F1715" w14:textId="428C1D52" w:rsidR="00426BD7" w:rsidRPr="00711087" w:rsidRDefault="00426BD7" w:rsidP="003C31FB">
            <w:pPr>
              <w:pStyle w:val="ListParagraph"/>
              <w:numPr>
                <w:ilvl w:val="0"/>
                <w:numId w:val="17"/>
              </w:numPr>
              <w:ind w:left="360"/>
              <w:rPr>
                <w:rFonts w:asciiTheme="majorHAnsi" w:hAnsiTheme="majorHAnsi"/>
                <w:b w:val="0"/>
              </w:rPr>
            </w:pPr>
            <w:r w:rsidRPr="00711087">
              <w:rPr>
                <w:rFonts w:asciiTheme="majorHAnsi" w:hAnsiTheme="majorHAnsi"/>
                <w:b w:val="0"/>
              </w:rPr>
              <w:t>Workgroup agreed that when identifiable information is used, “it should be stored in highly protected locations like data enclaves.”</w:t>
            </w:r>
            <w:r w:rsidRPr="00711087">
              <w:rPr>
                <w:rStyle w:val="FootnoteReference"/>
                <w:rFonts w:asciiTheme="majorHAnsi" w:hAnsiTheme="majorHAnsi"/>
                <w:b w:val="0"/>
              </w:rPr>
              <w:footnoteReference w:id="82"/>
            </w:r>
          </w:p>
          <w:p w14:paraId="6C755EF6" w14:textId="0E89DB14"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Accumulating evidence exists that the safe harbor method has some important weaknesses that would allow data to be shared with a higher risk of re-identification</w:t>
            </w:r>
            <w:r w:rsidR="005F2AF0" w:rsidRPr="00711087">
              <w:rPr>
                <w:rFonts w:asciiTheme="majorHAnsi" w:hAnsiTheme="majorHAnsi"/>
                <w:b w:val="0"/>
              </w:rPr>
              <w:t xml:space="preserve">.  </w:t>
            </w:r>
            <w:r w:rsidRPr="00711087">
              <w:rPr>
                <w:rFonts w:asciiTheme="majorHAnsi" w:hAnsiTheme="majorHAnsi"/>
                <w:b w:val="0"/>
              </w:rPr>
              <w:t xml:space="preserve">These risks include a </w:t>
            </w:r>
            <w:r w:rsidRPr="00711087">
              <w:rPr>
                <w:rFonts w:asciiTheme="majorHAnsi" w:hAnsiTheme="majorHAnsi"/>
                <w:b w:val="0"/>
                <w:color w:val="000000"/>
              </w:rPr>
              <w:t>reduction in the data utility and the consequence that under certain conditions, safe harbor allows data to be shared with a higher risk of re-identification</w:t>
            </w:r>
            <w:r w:rsidR="005F2AF0" w:rsidRPr="00711087">
              <w:rPr>
                <w:rFonts w:asciiTheme="majorHAnsi" w:hAnsiTheme="majorHAnsi"/>
                <w:b w:val="0"/>
                <w:color w:val="000000"/>
              </w:rPr>
              <w:t xml:space="preserve">.  </w:t>
            </w:r>
            <w:r w:rsidRPr="00711087">
              <w:rPr>
                <w:rFonts w:asciiTheme="majorHAnsi" w:hAnsiTheme="majorHAnsi"/>
                <w:b w:val="0"/>
              </w:rPr>
              <w:t>Safe harbor is being copied and used globally, so HHS should re-examine the value of such simple standards and provide additional guidance to limit situations when simple standards are applied.</w:t>
            </w:r>
            <w:r w:rsidRPr="00711087">
              <w:rPr>
                <w:rStyle w:val="FootnoteReference"/>
                <w:rFonts w:asciiTheme="majorHAnsi" w:hAnsiTheme="majorHAnsi"/>
                <w:b w:val="0"/>
              </w:rPr>
              <w:footnoteReference w:id="83"/>
            </w:r>
          </w:p>
          <w:p w14:paraId="6DC8F781" w14:textId="77FACDB1"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No widely accepted standards for expert determination method and there is no homogeneity in how de-identification is actually done</w:t>
            </w:r>
            <w:r w:rsidR="005F2AF0" w:rsidRPr="00711087">
              <w:rPr>
                <w:rFonts w:asciiTheme="majorHAnsi" w:hAnsiTheme="majorHAnsi"/>
                <w:b w:val="0"/>
              </w:rPr>
              <w:t xml:space="preserve">.  </w:t>
            </w:r>
            <w:r w:rsidRPr="00711087">
              <w:rPr>
                <w:rFonts w:asciiTheme="majorHAnsi" w:hAnsiTheme="majorHAnsi"/>
                <w:b w:val="0"/>
              </w:rPr>
              <w:t>Standards are needed to raise the bar in de-identification</w:t>
            </w:r>
            <w:r w:rsidR="005F2AF0" w:rsidRPr="00711087">
              <w:rPr>
                <w:rFonts w:asciiTheme="majorHAnsi" w:hAnsiTheme="majorHAnsi"/>
                <w:b w:val="0"/>
              </w:rPr>
              <w:t xml:space="preserve">.  </w:t>
            </w:r>
            <w:r w:rsidRPr="00711087">
              <w:rPr>
                <w:rFonts w:asciiTheme="majorHAnsi" w:hAnsiTheme="majorHAnsi"/>
                <w:b w:val="0"/>
              </w:rPr>
              <w:t>Creating standards for the expert determination serves multiple purposes</w:t>
            </w:r>
            <w:r w:rsidR="005F2AF0" w:rsidRPr="00711087">
              <w:rPr>
                <w:rFonts w:asciiTheme="majorHAnsi" w:hAnsiTheme="majorHAnsi"/>
                <w:b w:val="0"/>
              </w:rPr>
              <w:t xml:space="preserve">.  </w:t>
            </w:r>
            <w:r w:rsidRPr="00711087">
              <w:rPr>
                <w:rFonts w:asciiTheme="majorHAnsi" w:hAnsiTheme="majorHAnsi"/>
                <w:b w:val="0"/>
              </w:rPr>
              <w:t>These include (1) ensuring that methods are known, published, and scrutinized, and (2) creating a professional community of practice based on certification that could facilitate the development of more sophisticated methods and practices.</w:t>
            </w:r>
            <w:r w:rsidRPr="00711087">
              <w:rPr>
                <w:rStyle w:val="FootnoteReference"/>
                <w:rFonts w:asciiTheme="majorHAnsi" w:hAnsiTheme="majorHAnsi"/>
                <w:b w:val="0"/>
              </w:rPr>
              <w:footnoteReference w:id="84"/>
            </w:r>
            <w:r w:rsidRPr="00711087">
              <w:rPr>
                <w:rFonts w:asciiTheme="majorHAnsi" w:hAnsiTheme="majorHAnsi"/>
                <w:b w:val="0"/>
              </w:rPr>
              <w:t xml:space="preserve"> </w:t>
            </w:r>
          </w:p>
          <w:p w14:paraId="51CBFEAE" w14:textId="1B2F1964"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Participants echoed the rise in demand for standards, as a lack of guidance is inhibiting willingness to share data and IRBs are uncomfortable evaluating privacy issues in the face of conflicting advice.</w:t>
            </w:r>
            <w:r w:rsidRPr="00711087">
              <w:rPr>
                <w:rStyle w:val="FootnoteReference"/>
                <w:rFonts w:asciiTheme="majorHAnsi" w:hAnsiTheme="majorHAnsi"/>
                <w:b w:val="0"/>
              </w:rPr>
              <w:footnoteReference w:id="85"/>
            </w:r>
            <w:r w:rsidRPr="00711087">
              <w:rPr>
                <w:rFonts w:asciiTheme="majorHAnsi" w:hAnsiTheme="majorHAnsi"/>
                <w:b w:val="0"/>
              </w:rPr>
              <w:t xml:space="preserve"> </w:t>
            </w:r>
            <w:r w:rsidR="00101ADB">
              <w:rPr>
                <w:rFonts w:asciiTheme="majorHAnsi" w:hAnsiTheme="majorHAnsi"/>
                <w:b w:val="0"/>
              </w:rPr>
              <w:t xml:space="preserve"> </w:t>
            </w:r>
            <w:r w:rsidRPr="00711087">
              <w:rPr>
                <w:rFonts w:asciiTheme="majorHAnsi" w:hAnsiTheme="majorHAnsi"/>
                <w:b w:val="0"/>
              </w:rPr>
              <w:t>The HITRUST alliance is already working on a general health standard for de-identification.</w:t>
            </w:r>
            <w:r w:rsidRPr="00711087">
              <w:rPr>
                <w:rStyle w:val="FootnoteReference"/>
                <w:rFonts w:asciiTheme="majorHAnsi" w:hAnsiTheme="majorHAnsi"/>
                <w:b w:val="0"/>
              </w:rPr>
              <w:footnoteReference w:id="86"/>
            </w:r>
            <w:r w:rsidRPr="00711087">
              <w:rPr>
                <w:rFonts w:asciiTheme="majorHAnsi" w:hAnsiTheme="majorHAnsi"/>
                <w:b w:val="0"/>
              </w:rPr>
              <w:t xml:space="preserve"> </w:t>
            </w:r>
          </w:p>
          <w:p w14:paraId="19F64BEE" w14:textId="67008D06"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 xml:space="preserve">Additionally, as experience with expert determination grows, one could account for </w:t>
            </w:r>
            <w:r w:rsidRPr="00711087">
              <w:rPr>
                <w:rFonts w:asciiTheme="majorHAnsi" w:hAnsiTheme="majorHAnsi"/>
                <w:b w:val="0"/>
              </w:rPr>
              <w:lastRenderedPageBreak/>
              <w:t>“the value of information in different settings” and balance whether to use experts to de-identify data or mimic or replace their processes with a degree of automation.</w:t>
            </w:r>
            <w:r w:rsidRPr="00711087">
              <w:rPr>
                <w:rStyle w:val="FootnoteReference"/>
                <w:rFonts w:asciiTheme="majorHAnsi" w:hAnsiTheme="majorHAnsi"/>
                <w:b w:val="0"/>
              </w:rPr>
              <w:footnoteReference w:id="87"/>
            </w:r>
            <w:r w:rsidR="00101ADB">
              <w:rPr>
                <w:rFonts w:asciiTheme="majorHAnsi" w:hAnsiTheme="majorHAnsi"/>
                <w:b w:val="0"/>
              </w:rPr>
              <w:t xml:space="preserve"> </w:t>
            </w:r>
            <w:r w:rsidRPr="00711087">
              <w:rPr>
                <w:rFonts w:asciiTheme="majorHAnsi" w:hAnsiTheme="majorHAnsi"/>
                <w:b w:val="0"/>
              </w:rPr>
              <w:t xml:space="preserve"> This works when experts can anonymize in a fixed space with known data elements, but the process may require change when external data elements are introduced (as mosaicking may increase re-identification risks).</w:t>
            </w:r>
            <w:r w:rsidRPr="00711087">
              <w:rPr>
                <w:rStyle w:val="FootnoteReference"/>
                <w:rFonts w:asciiTheme="majorHAnsi" w:hAnsiTheme="majorHAnsi"/>
                <w:b w:val="0"/>
              </w:rPr>
              <w:footnoteReference w:id="88"/>
            </w:r>
          </w:p>
          <w:p w14:paraId="18CBA076" w14:textId="5595A6CF" w:rsidR="00426BD7" w:rsidRPr="00711087" w:rsidRDefault="00426BD7" w:rsidP="003C31FB">
            <w:pPr>
              <w:numPr>
                <w:ilvl w:val="0"/>
                <w:numId w:val="3"/>
              </w:numPr>
              <w:ind w:left="360"/>
              <w:rPr>
                <w:rFonts w:asciiTheme="majorHAnsi" w:hAnsiTheme="majorHAnsi"/>
                <w:b w:val="0"/>
              </w:rPr>
            </w:pPr>
            <w:r w:rsidRPr="00711087">
              <w:rPr>
                <w:rFonts w:asciiTheme="majorHAnsi" w:hAnsiTheme="majorHAnsi"/>
                <w:b w:val="0"/>
              </w:rPr>
              <w:t>De-identification can be enhanced by other controls</w:t>
            </w:r>
            <w:r w:rsidR="005F2AF0" w:rsidRPr="00711087">
              <w:rPr>
                <w:rFonts w:asciiTheme="majorHAnsi" w:hAnsiTheme="majorHAnsi"/>
                <w:b w:val="0"/>
              </w:rPr>
              <w:t xml:space="preserve">.  </w:t>
            </w:r>
            <w:r w:rsidRPr="00711087">
              <w:rPr>
                <w:rFonts w:asciiTheme="majorHAnsi" w:hAnsiTheme="majorHAnsi"/>
                <w:b w:val="0"/>
              </w:rPr>
              <w:t>These include contractual controls (e.g., prohibiting the joining of data sets), privacy and security controls at recipient sites, and good governance mechanisms, such as ethics committees or data access committees, which determine acceptable uses of data.</w:t>
            </w:r>
            <w:r w:rsidRPr="00711087">
              <w:rPr>
                <w:rStyle w:val="FootnoteReference"/>
                <w:rFonts w:asciiTheme="majorHAnsi" w:hAnsiTheme="majorHAnsi"/>
                <w:b w:val="0"/>
              </w:rPr>
              <w:footnoteReference w:id="89"/>
            </w:r>
            <w:r w:rsidR="00711087">
              <w:rPr>
                <w:rFonts w:asciiTheme="majorHAnsi" w:hAnsiTheme="majorHAnsi"/>
                <w:b w:val="0"/>
              </w:rPr>
              <w:t xml:space="preserve"> </w:t>
            </w:r>
            <w:r w:rsidRPr="00711087">
              <w:rPr>
                <w:rFonts w:asciiTheme="majorHAnsi" w:hAnsiTheme="majorHAnsi"/>
                <w:b w:val="0"/>
              </w:rPr>
              <w:t xml:space="preserve"> Additionally, organizations can adopt privacy architectures, such as “safe</w:t>
            </w:r>
            <w:r w:rsidRPr="00426BD7">
              <w:rPr>
                <w:rFonts w:asciiTheme="majorHAnsi" w:hAnsiTheme="majorHAnsi"/>
              </w:rPr>
              <w:t xml:space="preserve"> </w:t>
            </w:r>
            <w:r w:rsidRPr="00711087">
              <w:rPr>
                <w:rFonts w:asciiTheme="majorHAnsi" w:hAnsiTheme="majorHAnsi"/>
                <w:b w:val="0"/>
              </w:rPr>
              <w:t>havens” or data enclaves, and organizations can embrace distributed computation, which avoids risks associated with pooling data by performing analysis at the data sources.</w:t>
            </w:r>
            <w:r w:rsidRPr="00711087">
              <w:rPr>
                <w:rStyle w:val="FootnoteReference"/>
                <w:rFonts w:asciiTheme="majorHAnsi" w:hAnsiTheme="majorHAnsi"/>
                <w:b w:val="0"/>
              </w:rPr>
              <w:footnoteReference w:id="90"/>
            </w:r>
          </w:p>
          <w:p w14:paraId="268D662D" w14:textId="3B2520BA" w:rsidR="00426BD7" w:rsidRPr="00996DD1" w:rsidRDefault="00426BD7" w:rsidP="00C0567A">
            <w:pPr>
              <w:numPr>
                <w:ilvl w:val="0"/>
                <w:numId w:val="3"/>
              </w:numPr>
              <w:ind w:left="360"/>
              <w:rPr>
                <w:rFonts w:asciiTheme="majorHAnsi" w:hAnsiTheme="majorHAnsi"/>
                <w:b w:val="0"/>
              </w:rPr>
            </w:pPr>
            <w:r w:rsidRPr="00711087">
              <w:rPr>
                <w:rFonts w:asciiTheme="majorHAnsi" w:hAnsiTheme="majorHAnsi"/>
                <w:b w:val="0"/>
              </w:rPr>
              <w:t>Several presenters suggested the need for legal controls that prohibit and provide penalties for re-identification, especially since de-identification cannot be eliminate all risk of re-identification.</w:t>
            </w:r>
            <w:r w:rsidRPr="00711087">
              <w:rPr>
                <w:rStyle w:val="FootnoteReference"/>
                <w:rFonts w:asciiTheme="majorHAnsi" w:hAnsiTheme="majorHAnsi"/>
                <w:b w:val="0"/>
              </w:rPr>
              <w:footnoteReference w:id="91"/>
            </w:r>
            <w:r w:rsidRPr="00711087">
              <w:rPr>
                <w:rFonts w:asciiTheme="majorHAnsi" w:hAnsiTheme="majorHAnsi"/>
                <w:b w:val="0"/>
              </w:rPr>
              <w:t xml:space="preserve"> </w:t>
            </w:r>
            <w:r w:rsidR="00711087">
              <w:rPr>
                <w:rFonts w:asciiTheme="majorHAnsi" w:hAnsiTheme="majorHAnsi"/>
                <w:b w:val="0"/>
              </w:rPr>
              <w:t xml:space="preserve"> </w:t>
            </w:r>
            <w:r w:rsidRPr="00711087">
              <w:rPr>
                <w:rFonts w:asciiTheme="majorHAnsi" w:hAnsiTheme="majorHAnsi"/>
                <w:b w:val="0"/>
              </w:rPr>
              <w:t>They thought that the Congress would need to address accountability for re-identification or negligent anonymization/de-identification.</w:t>
            </w:r>
            <w:r w:rsidRPr="00711087">
              <w:rPr>
                <w:rStyle w:val="FootnoteReference"/>
                <w:rFonts w:asciiTheme="majorHAnsi" w:hAnsiTheme="majorHAnsi"/>
                <w:b w:val="0"/>
              </w:rPr>
              <w:footnoteReference w:id="92"/>
            </w:r>
          </w:p>
        </w:tc>
      </w:tr>
      <w:tr w:rsidR="00426BD7" w:rsidRPr="0016351D" w14:paraId="712A0698" w14:textId="77777777" w:rsidTr="00FE28A1">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5E5E23F9" w14:textId="6B743582" w:rsidR="00426BD7" w:rsidRPr="00281740" w:rsidRDefault="00426BD7" w:rsidP="00636DDA">
            <w:pPr>
              <w:rPr>
                <w:rFonts w:asciiTheme="majorHAnsi" w:hAnsiTheme="majorHAnsi"/>
                <w:b w:val="0"/>
                <w:bCs w:val="0"/>
              </w:rPr>
            </w:pPr>
            <w:r w:rsidRPr="00426BD7">
              <w:rPr>
                <w:rFonts w:asciiTheme="majorHAnsi" w:hAnsiTheme="majorHAnsi"/>
              </w:rPr>
              <w:lastRenderedPageBreak/>
              <w:t>Topic</w:t>
            </w:r>
            <w:r w:rsidRPr="00281740">
              <w:rPr>
                <w:rFonts w:asciiTheme="majorHAnsi" w:hAnsiTheme="majorHAnsi"/>
              </w:rPr>
              <w:t>:</w:t>
            </w:r>
            <w:r w:rsidRPr="003E5204">
              <w:rPr>
                <w:rFonts w:asciiTheme="majorHAnsi" w:hAnsiTheme="majorHAnsi"/>
              </w:rPr>
              <w:t xml:space="preserve"> </w:t>
            </w:r>
            <w:r w:rsidRPr="00426BD7">
              <w:rPr>
                <w:rFonts w:asciiTheme="majorHAnsi" w:hAnsiTheme="majorHAnsi"/>
              </w:rPr>
              <w:t>Patient Consent</w:t>
            </w:r>
          </w:p>
          <w:p w14:paraId="64359A42" w14:textId="77777777" w:rsidR="00426BD7" w:rsidRPr="00636DDA" w:rsidRDefault="00426BD7" w:rsidP="00636DDA">
            <w:pPr>
              <w:rPr>
                <w:rFonts w:asciiTheme="majorHAnsi" w:hAnsiTheme="majorHAnsi"/>
                <w:b w:val="0"/>
              </w:rPr>
            </w:pPr>
            <w:r w:rsidRPr="003E5204">
              <w:rPr>
                <w:rFonts w:asciiTheme="majorHAnsi" w:hAnsiTheme="majorHAnsi"/>
              </w:rPr>
              <w:t>Testimony:</w:t>
            </w:r>
            <w:r w:rsidRPr="00426BD7">
              <w:rPr>
                <w:rFonts w:asciiTheme="majorHAnsi" w:hAnsiTheme="majorHAnsi"/>
              </w:rPr>
              <w:t xml:space="preserve"> </w:t>
            </w:r>
          </w:p>
          <w:p w14:paraId="6B0127DC" w14:textId="336A144A" w:rsidR="00426BD7" w:rsidRPr="00101ADB" w:rsidRDefault="00426BD7" w:rsidP="00F3400D">
            <w:pPr>
              <w:pStyle w:val="ListParagraph"/>
              <w:numPr>
                <w:ilvl w:val="0"/>
                <w:numId w:val="18"/>
              </w:numPr>
              <w:ind w:left="360"/>
              <w:rPr>
                <w:rFonts w:asciiTheme="majorHAnsi" w:hAnsiTheme="majorHAnsi"/>
                <w:b w:val="0"/>
              </w:rPr>
            </w:pPr>
            <w:r w:rsidRPr="00101ADB">
              <w:rPr>
                <w:rFonts w:asciiTheme="majorHAnsi" w:hAnsiTheme="majorHAnsi"/>
                <w:b w:val="0"/>
              </w:rPr>
              <w:t>A patient’s meaningful consent to authorize the use and sharing of personal health information is a valuable tool for protecting privacy and individual autonomy.</w:t>
            </w:r>
            <w:r w:rsidRPr="00101ADB">
              <w:rPr>
                <w:rStyle w:val="FootnoteReference"/>
                <w:rFonts w:asciiTheme="majorHAnsi" w:hAnsiTheme="majorHAnsi"/>
                <w:b w:val="0"/>
              </w:rPr>
              <w:footnoteReference w:id="93"/>
            </w:r>
            <w:r w:rsidR="00101ADB" w:rsidRPr="00101ADB">
              <w:rPr>
                <w:rFonts w:asciiTheme="majorHAnsi" w:hAnsiTheme="majorHAnsi"/>
                <w:b w:val="0"/>
              </w:rPr>
              <w:t xml:space="preserve"> </w:t>
            </w:r>
            <w:r w:rsidRPr="00101ADB">
              <w:rPr>
                <w:rFonts w:asciiTheme="majorHAnsi" w:hAnsiTheme="majorHAnsi"/>
                <w:b w:val="0"/>
              </w:rPr>
              <w:t xml:space="preserve"> Individual control of data through informed consent has both advantages and disadvantages.</w:t>
            </w:r>
            <w:r w:rsidRPr="00101ADB">
              <w:rPr>
                <w:rStyle w:val="FootnoteReference"/>
                <w:rFonts w:asciiTheme="majorHAnsi" w:hAnsiTheme="majorHAnsi"/>
                <w:b w:val="0"/>
              </w:rPr>
              <w:footnoteReference w:id="94"/>
            </w:r>
            <w:r w:rsidRPr="00101ADB">
              <w:rPr>
                <w:rFonts w:asciiTheme="majorHAnsi" w:hAnsiTheme="majorHAnsi"/>
                <w:b w:val="0"/>
              </w:rPr>
              <w:t xml:space="preserve"> </w:t>
            </w:r>
            <w:r w:rsidR="00101ADB" w:rsidRPr="00101ADB">
              <w:rPr>
                <w:rFonts w:asciiTheme="majorHAnsi" w:hAnsiTheme="majorHAnsi"/>
                <w:b w:val="0"/>
              </w:rPr>
              <w:t xml:space="preserve"> </w:t>
            </w:r>
            <w:r w:rsidRPr="00101ADB">
              <w:rPr>
                <w:rFonts w:asciiTheme="majorHAnsi" w:hAnsiTheme="majorHAnsi"/>
                <w:b w:val="0"/>
              </w:rPr>
              <w:t>Consent empowers patients to control their information and take a more active role in their health, but consent also enables patients to withhold information, which can make data sets less valuable.</w:t>
            </w:r>
            <w:r w:rsidRPr="00101ADB">
              <w:rPr>
                <w:rStyle w:val="FootnoteReference"/>
                <w:rFonts w:asciiTheme="majorHAnsi" w:hAnsiTheme="majorHAnsi"/>
                <w:b w:val="0"/>
              </w:rPr>
              <w:footnoteReference w:id="95"/>
            </w:r>
          </w:p>
          <w:p w14:paraId="26630036" w14:textId="77777777" w:rsidR="00426BD7" w:rsidRPr="00101ADB" w:rsidRDefault="00426BD7" w:rsidP="002B789B">
            <w:pPr>
              <w:pStyle w:val="ListParagraph"/>
              <w:numPr>
                <w:ilvl w:val="0"/>
                <w:numId w:val="18"/>
              </w:numPr>
              <w:ind w:left="360"/>
              <w:rPr>
                <w:rFonts w:asciiTheme="majorHAnsi" w:hAnsiTheme="majorHAnsi"/>
                <w:b w:val="0"/>
              </w:rPr>
            </w:pPr>
            <w:r w:rsidRPr="00101ADB">
              <w:rPr>
                <w:rFonts w:asciiTheme="majorHAnsi" w:hAnsiTheme="majorHAnsi"/>
                <w:b w:val="0"/>
              </w:rPr>
              <w:t>Presenters disagreed over the degree to which people want control over their health information.</w:t>
            </w:r>
            <w:r w:rsidRPr="00101ADB">
              <w:rPr>
                <w:rStyle w:val="FootnoteReference"/>
                <w:rFonts w:asciiTheme="majorHAnsi" w:hAnsiTheme="majorHAnsi"/>
                <w:b w:val="0"/>
              </w:rPr>
              <w:footnoteReference w:id="96"/>
            </w:r>
          </w:p>
          <w:p w14:paraId="3F0BD0A3" w14:textId="6A5AC859" w:rsidR="00426BD7" w:rsidRPr="00101ADB" w:rsidRDefault="00426BD7" w:rsidP="002B789B">
            <w:pPr>
              <w:pStyle w:val="ListParagraph"/>
              <w:numPr>
                <w:ilvl w:val="0"/>
                <w:numId w:val="18"/>
              </w:numPr>
              <w:ind w:left="360"/>
              <w:rPr>
                <w:rFonts w:asciiTheme="majorHAnsi" w:hAnsiTheme="majorHAnsi"/>
                <w:b w:val="0"/>
              </w:rPr>
            </w:pPr>
            <w:r w:rsidRPr="00101ADB">
              <w:rPr>
                <w:rFonts w:asciiTheme="majorHAnsi" w:hAnsiTheme="majorHAnsi"/>
                <w:b w:val="0"/>
              </w:rPr>
              <w:t>Consent is a privacy and security issue for both providers in the HIPAA environment as well as for app developers and wearable device manufacturers outside the HIPAA space.</w:t>
            </w:r>
            <w:r w:rsidRPr="00101ADB">
              <w:rPr>
                <w:rStyle w:val="FootnoteReference"/>
                <w:rFonts w:asciiTheme="majorHAnsi" w:hAnsiTheme="majorHAnsi"/>
                <w:b w:val="0"/>
              </w:rPr>
              <w:footnoteReference w:id="97"/>
            </w:r>
            <w:r w:rsidRPr="00101ADB">
              <w:rPr>
                <w:rFonts w:asciiTheme="majorHAnsi" w:hAnsiTheme="majorHAnsi"/>
                <w:b w:val="0"/>
              </w:rPr>
              <w:t xml:space="preserve"> While HIPAA provides for certain expected uses of data that do not require consent (e.g</w:t>
            </w:r>
            <w:r w:rsidR="005F2AF0" w:rsidRPr="00101ADB">
              <w:rPr>
                <w:rFonts w:asciiTheme="majorHAnsi" w:hAnsiTheme="majorHAnsi"/>
                <w:b w:val="0"/>
              </w:rPr>
              <w:t xml:space="preserve">.  </w:t>
            </w:r>
            <w:r w:rsidRPr="00101ADB">
              <w:rPr>
                <w:rFonts w:asciiTheme="majorHAnsi" w:hAnsiTheme="majorHAnsi"/>
                <w:b w:val="0"/>
              </w:rPr>
              <w:t>sharing for treatment, payment, and</w:t>
            </w:r>
            <w:r w:rsidRPr="00426BD7">
              <w:rPr>
                <w:rFonts w:asciiTheme="majorHAnsi" w:hAnsiTheme="majorHAnsi"/>
              </w:rPr>
              <w:t xml:space="preserve"> </w:t>
            </w:r>
            <w:r w:rsidRPr="00101ADB">
              <w:rPr>
                <w:rFonts w:asciiTheme="majorHAnsi" w:hAnsiTheme="majorHAnsi"/>
                <w:b w:val="0"/>
              </w:rPr>
              <w:t xml:space="preserve">healthcare operations among covered entities), rules for consent outside the HIPAA space are less structured and </w:t>
            </w:r>
            <w:r w:rsidRPr="00101ADB">
              <w:rPr>
                <w:rFonts w:asciiTheme="majorHAnsi" w:hAnsiTheme="majorHAnsi"/>
                <w:b w:val="0"/>
              </w:rPr>
              <w:lastRenderedPageBreak/>
              <w:t>rely on the FTC to protect consumers by working to prevent unfair or deceptive acts or practices.</w:t>
            </w:r>
            <w:r w:rsidRPr="00101ADB">
              <w:rPr>
                <w:rStyle w:val="FootnoteReference"/>
                <w:rFonts w:asciiTheme="majorHAnsi" w:hAnsiTheme="majorHAnsi"/>
                <w:b w:val="0"/>
              </w:rPr>
              <w:footnoteReference w:id="98"/>
            </w:r>
            <w:r w:rsidRPr="00101ADB">
              <w:rPr>
                <w:rFonts w:asciiTheme="majorHAnsi" w:hAnsiTheme="majorHAnsi"/>
                <w:b w:val="0"/>
              </w:rPr>
              <w:t xml:space="preserve"> </w:t>
            </w:r>
            <w:r w:rsidR="00101ADB">
              <w:rPr>
                <w:rFonts w:asciiTheme="majorHAnsi" w:hAnsiTheme="majorHAnsi"/>
                <w:b w:val="0"/>
              </w:rPr>
              <w:t xml:space="preserve"> </w:t>
            </w:r>
            <w:r w:rsidRPr="00101ADB">
              <w:rPr>
                <w:rFonts w:asciiTheme="majorHAnsi" w:hAnsiTheme="majorHAnsi"/>
                <w:b w:val="0"/>
              </w:rPr>
              <w:t>In a big data analytics world, it is becoming more difficult to obtain meaningful consent because secondary uses of data may not be contemplated or anticipated, as the data itself can generate the hypotheses.</w:t>
            </w:r>
            <w:r w:rsidRPr="00101ADB">
              <w:rPr>
                <w:rStyle w:val="FootnoteReference"/>
                <w:rFonts w:asciiTheme="majorHAnsi" w:hAnsiTheme="majorHAnsi"/>
                <w:b w:val="0"/>
              </w:rPr>
              <w:footnoteReference w:id="99"/>
            </w:r>
            <w:r w:rsidRPr="00101ADB">
              <w:rPr>
                <w:rFonts w:asciiTheme="majorHAnsi" w:hAnsiTheme="majorHAnsi"/>
                <w:b w:val="0"/>
              </w:rPr>
              <w:t xml:space="preserve"> </w:t>
            </w:r>
          </w:p>
          <w:p w14:paraId="434FDFD2" w14:textId="4B1E73AE" w:rsidR="00426BD7" w:rsidRPr="00101ADB" w:rsidDel="001F4215" w:rsidRDefault="00426BD7" w:rsidP="000A6D31">
            <w:pPr>
              <w:pStyle w:val="ListParagraph"/>
              <w:numPr>
                <w:ilvl w:val="0"/>
                <w:numId w:val="18"/>
              </w:numPr>
              <w:ind w:left="360"/>
              <w:rPr>
                <w:rFonts w:asciiTheme="majorHAnsi" w:hAnsiTheme="majorHAnsi"/>
                <w:b w:val="0"/>
              </w:rPr>
            </w:pPr>
            <w:r w:rsidRPr="00101ADB">
              <w:rPr>
                <w:rFonts w:asciiTheme="majorHAnsi" w:hAnsiTheme="majorHAnsi"/>
                <w:b w:val="0"/>
              </w:rPr>
              <w:t>Presenters disagreed over the degree to which people want to and can control their health information</w:t>
            </w:r>
            <w:r w:rsidR="005F2AF0" w:rsidRPr="00101ADB">
              <w:rPr>
                <w:rFonts w:asciiTheme="majorHAnsi" w:hAnsiTheme="majorHAnsi"/>
                <w:b w:val="0"/>
              </w:rPr>
              <w:t xml:space="preserve">.  </w:t>
            </w:r>
            <w:r w:rsidRPr="00101ADB">
              <w:rPr>
                <w:rFonts w:asciiTheme="majorHAnsi" w:hAnsiTheme="majorHAnsi"/>
                <w:b w:val="0"/>
              </w:rPr>
              <w:t>One presenter stated that it is not possible to obtain individual consent for all uses of an individual’s data, and it may be impossible to notify every person about all the uses of their data.</w:t>
            </w:r>
            <w:r w:rsidRPr="00101ADB">
              <w:rPr>
                <w:rStyle w:val="FootnoteReference"/>
                <w:rFonts w:asciiTheme="majorHAnsi" w:hAnsiTheme="majorHAnsi"/>
                <w:b w:val="0"/>
              </w:rPr>
              <w:footnoteReference w:id="100"/>
            </w:r>
            <w:r w:rsidRPr="00101ADB">
              <w:rPr>
                <w:rFonts w:asciiTheme="majorHAnsi" w:hAnsiTheme="majorHAnsi"/>
                <w:b w:val="0"/>
              </w:rPr>
              <w:t xml:space="preserve"> </w:t>
            </w:r>
            <w:r w:rsidR="00101ADB">
              <w:rPr>
                <w:rFonts w:asciiTheme="majorHAnsi" w:hAnsiTheme="majorHAnsi"/>
                <w:b w:val="0"/>
              </w:rPr>
              <w:t xml:space="preserve"> </w:t>
            </w:r>
            <w:r w:rsidRPr="00101ADB">
              <w:rPr>
                <w:rFonts w:asciiTheme="majorHAnsi" w:hAnsiTheme="majorHAnsi"/>
                <w:b w:val="0"/>
              </w:rPr>
              <w:t>Additionally, the length and complexity of privacy policies (which few people read) often makes consent meaningless.</w:t>
            </w:r>
            <w:r w:rsidRPr="00101ADB">
              <w:rPr>
                <w:rStyle w:val="FootnoteReference"/>
                <w:rFonts w:asciiTheme="majorHAnsi" w:hAnsiTheme="majorHAnsi"/>
                <w:b w:val="0"/>
              </w:rPr>
              <w:footnoteReference w:id="101"/>
            </w:r>
            <w:r w:rsidRPr="00101ADB">
              <w:rPr>
                <w:rFonts w:asciiTheme="majorHAnsi" w:hAnsiTheme="majorHAnsi"/>
                <w:b w:val="0"/>
              </w:rPr>
              <w:t xml:space="preserve"> </w:t>
            </w:r>
            <w:r w:rsidR="00101ADB">
              <w:rPr>
                <w:rFonts w:asciiTheme="majorHAnsi" w:hAnsiTheme="majorHAnsi"/>
                <w:b w:val="0"/>
              </w:rPr>
              <w:t xml:space="preserve"> </w:t>
            </w:r>
            <w:r w:rsidRPr="00101ADB">
              <w:rPr>
                <w:rFonts w:asciiTheme="majorHAnsi" w:hAnsiTheme="majorHAnsi"/>
                <w:b w:val="0"/>
              </w:rPr>
              <w:t xml:space="preserve">Other presenters offered that </w:t>
            </w:r>
            <w:r w:rsidRPr="00101ADB" w:rsidDel="001F4215">
              <w:rPr>
                <w:rFonts w:asciiTheme="majorHAnsi" w:hAnsiTheme="majorHAnsi"/>
                <w:b w:val="0"/>
              </w:rPr>
              <w:t>current privacy laws are overly focused on individual control</w:t>
            </w:r>
            <w:r w:rsidRPr="00101ADB">
              <w:rPr>
                <w:rFonts w:asciiTheme="majorHAnsi" w:hAnsiTheme="majorHAnsi"/>
                <w:b w:val="0"/>
              </w:rPr>
              <w:t>.</w:t>
            </w:r>
            <w:r w:rsidRPr="00101ADB" w:rsidDel="001F4215">
              <w:rPr>
                <w:rStyle w:val="FootnoteReference"/>
                <w:rFonts w:asciiTheme="majorHAnsi" w:hAnsiTheme="majorHAnsi"/>
                <w:b w:val="0"/>
              </w:rPr>
              <w:footnoteReference w:id="102"/>
            </w:r>
            <w:r w:rsidRPr="00101ADB" w:rsidDel="001F4215">
              <w:rPr>
                <w:rFonts w:asciiTheme="majorHAnsi" w:hAnsiTheme="majorHAnsi"/>
                <w:b w:val="0"/>
              </w:rPr>
              <w:t xml:space="preserve"> </w:t>
            </w:r>
            <w:r w:rsidR="00101ADB">
              <w:rPr>
                <w:rFonts w:asciiTheme="majorHAnsi" w:hAnsiTheme="majorHAnsi"/>
                <w:b w:val="0"/>
              </w:rPr>
              <w:t xml:space="preserve"> </w:t>
            </w:r>
            <w:r w:rsidRPr="00101ADB">
              <w:rPr>
                <w:rFonts w:asciiTheme="majorHAnsi" w:hAnsiTheme="majorHAnsi"/>
                <w:b w:val="0"/>
              </w:rPr>
              <w:t xml:space="preserve">They urged that it is </w:t>
            </w:r>
            <w:r w:rsidRPr="00101ADB" w:rsidDel="001F4215">
              <w:rPr>
                <w:rFonts w:asciiTheme="majorHAnsi" w:hAnsiTheme="majorHAnsi"/>
                <w:b w:val="0"/>
              </w:rPr>
              <w:t>nearly impossible to expect that people will be able to control their own data</w:t>
            </w:r>
            <w:r w:rsidRPr="00101ADB">
              <w:rPr>
                <w:rFonts w:asciiTheme="majorHAnsi" w:hAnsiTheme="majorHAnsi"/>
                <w:b w:val="0"/>
              </w:rPr>
              <w:t>.</w:t>
            </w:r>
            <w:r w:rsidRPr="00101ADB" w:rsidDel="001F4215">
              <w:rPr>
                <w:rStyle w:val="FootnoteReference"/>
                <w:rFonts w:asciiTheme="majorHAnsi" w:hAnsiTheme="majorHAnsi"/>
                <w:b w:val="0"/>
              </w:rPr>
              <w:footnoteReference w:id="103"/>
            </w:r>
            <w:r w:rsidRPr="00101ADB" w:rsidDel="001F4215">
              <w:rPr>
                <w:rFonts w:asciiTheme="majorHAnsi" w:hAnsiTheme="majorHAnsi"/>
                <w:b w:val="0"/>
              </w:rPr>
              <w:t xml:space="preserve"> </w:t>
            </w:r>
            <w:r w:rsidR="00101ADB">
              <w:rPr>
                <w:rFonts w:asciiTheme="majorHAnsi" w:hAnsiTheme="majorHAnsi"/>
                <w:b w:val="0"/>
              </w:rPr>
              <w:t xml:space="preserve"> </w:t>
            </w:r>
            <w:r w:rsidRPr="00101ADB">
              <w:rPr>
                <w:rFonts w:asciiTheme="majorHAnsi" w:hAnsiTheme="majorHAnsi"/>
                <w:b w:val="0"/>
              </w:rPr>
              <w:t>Moreover, p</w:t>
            </w:r>
            <w:r w:rsidRPr="00101ADB" w:rsidDel="001F4215">
              <w:rPr>
                <w:rFonts w:asciiTheme="majorHAnsi" w:hAnsiTheme="majorHAnsi"/>
                <w:b w:val="0"/>
              </w:rPr>
              <w:t>rivacy is too valuable and important to expect individuals to shoulder the burden of policing themselves.</w:t>
            </w:r>
            <w:r w:rsidRPr="00101ADB" w:rsidDel="001F4215">
              <w:rPr>
                <w:rStyle w:val="FootnoteReference"/>
                <w:rFonts w:asciiTheme="majorHAnsi" w:hAnsiTheme="majorHAnsi"/>
                <w:b w:val="0"/>
              </w:rPr>
              <w:footnoteReference w:id="104"/>
            </w:r>
            <w:r w:rsidRPr="00101ADB">
              <w:rPr>
                <w:rFonts w:asciiTheme="majorHAnsi" w:hAnsiTheme="majorHAnsi"/>
                <w:b w:val="0"/>
              </w:rPr>
              <w:t xml:space="preserve"> Nevertheless, others argued that </w:t>
            </w:r>
            <w:r w:rsidRPr="00101ADB" w:rsidDel="001F4215">
              <w:rPr>
                <w:rFonts w:asciiTheme="majorHAnsi" w:hAnsiTheme="majorHAnsi"/>
                <w:b w:val="0"/>
              </w:rPr>
              <w:t xml:space="preserve">new technologies can enable </w:t>
            </w:r>
            <w:r w:rsidRPr="00101ADB">
              <w:rPr>
                <w:rFonts w:asciiTheme="majorHAnsi" w:hAnsiTheme="majorHAnsi"/>
                <w:b w:val="0"/>
              </w:rPr>
              <w:t>organizations</w:t>
            </w:r>
            <w:r w:rsidRPr="00101ADB" w:rsidDel="001F4215">
              <w:rPr>
                <w:rFonts w:asciiTheme="majorHAnsi" w:hAnsiTheme="majorHAnsi"/>
                <w:b w:val="0"/>
              </w:rPr>
              <w:t xml:space="preserve"> to economically ask people for their consent, and more thought should be given to a person’s ability to opt-out or opt-in to research.</w:t>
            </w:r>
            <w:r w:rsidRPr="00101ADB" w:rsidDel="001F4215">
              <w:rPr>
                <w:rStyle w:val="FootnoteReference"/>
                <w:rFonts w:asciiTheme="majorHAnsi" w:hAnsiTheme="majorHAnsi"/>
                <w:b w:val="0"/>
              </w:rPr>
              <w:footnoteReference w:id="105"/>
            </w:r>
          </w:p>
          <w:p w14:paraId="40EA2213" w14:textId="548E69E2" w:rsidR="00426BD7" w:rsidRPr="005B6247" w:rsidRDefault="00426BD7" w:rsidP="00101ADB">
            <w:pPr>
              <w:numPr>
                <w:ilvl w:val="0"/>
                <w:numId w:val="22"/>
              </w:numPr>
              <w:ind w:left="360"/>
              <w:rPr>
                <w:rFonts w:asciiTheme="majorHAnsi" w:hAnsiTheme="majorHAnsi"/>
                <w:b w:val="0"/>
              </w:rPr>
            </w:pPr>
            <w:r w:rsidRPr="00101ADB">
              <w:rPr>
                <w:rFonts w:asciiTheme="majorHAnsi" w:hAnsiTheme="majorHAnsi"/>
                <w:b w:val="0"/>
              </w:rPr>
              <w:t>Some argued that society has a collective right, expressed through law and regulation,</w:t>
            </w:r>
            <w:r w:rsidRPr="00101ADB" w:rsidDel="001F4215">
              <w:rPr>
                <w:rFonts w:asciiTheme="majorHAnsi" w:hAnsiTheme="majorHAnsi"/>
                <w:b w:val="0"/>
              </w:rPr>
              <w:t xml:space="preserve"> to automatically include people in important research for the greater public good without asking for consent.</w:t>
            </w:r>
            <w:r w:rsidRPr="00101ADB" w:rsidDel="001F4215">
              <w:rPr>
                <w:rStyle w:val="FootnoteReference"/>
                <w:rFonts w:asciiTheme="majorHAnsi" w:hAnsiTheme="majorHAnsi"/>
                <w:b w:val="0"/>
              </w:rPr>
              <w:footnoteReference w:id="106"/>
            </w:r>
            <w:r w:rsidR="00101ADB">
              <w:rPr>
                <w:rFonts w:asciiTheme="majorHAnsi" w:hAnsiTheme="majorHAnsi"/>
                <w:b w:val="0"/>
              </w:rPr>
              <w:t xml:space="preserve">  </w:t>
            </w:r>
            <w:r w:rsidRPr="00101ADB">
              <w:rPr>
                <w:rFonts w:asciiTheme="majorHAnsi" w:hAnsiTheme="majorHAnsi"/>
                <w:b w:val="0"/>
              </w:rPr>
              <w:t xml:space="preserve">A study was cited, which revealed </w:t>
            </w:r>
            <w:r w:rsidRPr="00101ADB" w:rsidDel="001F4215">
              <w:rPr>
                <w:rFonts w:asciiTheme="majorHAnsi" w:hAnsiTheme="majorHAnsi"/>
                <w:b w:val="0"/>
              </w:rPr>
              <w:t>that people are often willing to contribute their data to research as long as their identity is protected.</w:t>
            </w:r>
            <w:r w:rsidRPr="00101ADB" w:rsidDel="001F4215">
              <w:rPr>
                <w:rStyle w:val="FootnoteReference"/>
                <w:rFonts w:asciiTheme="majorHAnsi" w:hAnsiTheme="majorHAnsi"/>
                <w:b w:val="0"/>
              </w:rPr>
              <w:footnoteReference w:id="107"/>
            </w:r>
            <w:r w:rsidRPr="00101ADB" w:rsidDel="001F4215">
              <w:rPr>
                <w:rFonts w:asciiTheme="majorHAnsi" w:hAnsiTheme="majorHAnsi"/>
                <w:b w:val="0"/>
              </w:rPr>
              <w:t xml:space="preserve"> </w:t>
            </w:r>
            <w:r w:rsidRPr="00101ADB">
              <w:rPr>
                <w:rFonts w:asciiTheme="majorHAnsi" w:hAnsiTheme="majorHAnsi"/>
                <w:b w:val="0"/>
              </w:rPr>
              <w:t>Consequently, t</w:t>
            </w:r>
            <w:r w:rsidRPr="00101ADB" w:rsidDel="001F4215">
              <w:rPr>
                <w:rFonts w:asciiTheme="majorHAnsi" w:hAnsiTheme="majorHAnsi"/>
                <w:b w:val="0"/>
              </w:rPr>
              <w:t>ransparency may be a preferable strategy to engage individuals rather than consent.</w:t>
            </w:r>
            <w:r w:rsidRPr="00101ADB" w:rsidDel="001F4215">
              <w:rPr>
                <w:rStyle w:val="FootnoteReference"/>
                <w:rFonts w:asciiTheme="majorHAnsi" w:hAnsiTheme="majorHAnsi"/>
                <w:b w:val="0"/>
              </w:rPr>
              <w:footnoteReference w:id="108"/>
            </w:r>
          </w:p>
        </w:tc>
      </w:tr>
      <w:tr w:rsidR="00426BD7" w:rsidRPr="0016351D" w14:paraId="0E7A0090" w14:textId="77777777" w:rsidTr="00FE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Borders>
              <w:top w:val="none" w:sz="0" w:space="0" w:color="auto"/>
              <w:left w:val="none" w:sz="0" w:space="0" w:color="auto"/>
              <w:bottom w:val="none" w:sz="0" w:space="0" w:color="auto"/>
              <w:right w:val="none" w:sz="0" w:space="0" w:color="auto"/>
            </w:tcBorders>
            <w:shd w:val="clear" w:color="auto" w:fill="FFFFFF" w:themeFill="background1"/>
          </w:tcPr>
          <w:p w14:paraId="61FC67C5" w14:textId="43A42DDA" w:rsidR="00426BD7" w:rsidRPr="003E5204" w:rsidRDefault="00426BD7" w:rsidP="00636DDA">
            <w:pPr>
              <w:rPr>
                <w:rFonts w:asciiTheme="majorHAnsi" w:hAnsiTheme="majorHAnsi"/>
                <w:b w:val="0"/>
                <w:bCs w:val="0"/>
              </w:rPr>
            </w:pPr>
            <w:r w:rsidRPr="00281740">
              <w:rPr>
                <w:rFonts w:asciiTheme="majorHAnsi" w:hAnsiTheme="majorHAnsi"/>
              </w:rPr>
              <w:lastRenderedPageBreak/>
              <w:t>Topic:</w:t>
            </w:r>
            <w:r w:rsidRPr="003E5204">
              <w:rPr>
                <w:rFonts w:asciiTheme="majorHAnsi" w:hAnsiTheme="majorHAnsi"/>
              </w:rPr>
              <w:t xml:space="preserve"> </w:t>
            </w:r>
            <w:r w:rsidRPr="00426BD7">
              <w:rPr>
                <w:rFonts w:asciiTheme="majorHAnsi" w:hAnsiTheme="majorHAnsi"/>
              </w:rPr>
              <w:t>Data Security</w:t>
            </w:r>
            <w:r w:rsidRPr="00281740">
              <w:rPr>
                <w:rFonts w:asciiTheme="majorHAnsi" w:hAnsiTheme="majorHAnsi"/>
              </w:rPr>
              <w:t xml:space="preserve"> </w:t>
            </w:r>
          </w:p>
          <w:p w14:paraId="7ECAF6F7" w14:textId="77777777" w:rsidR="00426BD7" w:rsidRPr="00636DDA" w:rsidRDefault="00426BD7" w:rsidP="00636DDA">
            <w:pPr>
              <w:rPr>
                <w:rFonts w:asciiTheme="majorHAnsi" w:hAnsiTheme="majorHAnsi"/>
                <w:b w:val="0"/>
              </w:rPr>
            </w:pPr>
            <w:r w:rsidRPr="003E5204">
              <w:rPr>
                <w:rFonts w:asciiTheme="majorHAnsi" w:hAnsiTheme="majorHAnsi"/>
              </w:rPr>
              <w:t>Testimony:</w:t>
            </w:r>
            <w:r w:rsidRPr="00426BD7">
              <w:rPr>
                <w:rFonts w:asciiTheme="majorHAnsi" w:hAnsiTheme="majorHAnsi"/>
              </w:rPr>
              <w:t xml:space="preserve"> </w:t>
            </w:r>
          </w:p>
          <w:p w14:paraId="274E4478" w14:textId="49DA4E0F" w:rsidR="00426BD7" w:rsidRPr="00C56696" w:rsidRDefault="00426BD7" w:rsidP="0061340F">
            <w:pPr>
              <w:pStyle w:val="ListParagraph"/>
              <w:numPr>
                <w:ilvl w:val="0"/>
                <w:numId w:val="22"/>
              </w:numPr>
              <w:ind w:left="342"/>
              <w:rPr>
                <w:rFonts w:asciiTheme="majorHAnsi" w:hAnsiTheme="majorHAnsi"/>
                <w:b w:val="0"/>
              </w:rPr>
            </w:pPr>
            <w:r w:rsidRPr="00C56696">
              <w:rPr>
                <w:rFonts w:asciiTheme="majorHAnsi" w:hAnsiTheme="majorHAnsi"/>
                <w:b w:val="0"/>
              </w:rPr>
              <w:t>The security threat landscape changes constantly over time</w:t>
            </w:r>
            <w:r w:rsidR="005F2AF0" w:rsidRPr="00C56696">
              <w:rPr>
                <w:rFonts w:asciiTheme="majorHAnsi" w:hAnsiTheme="majorHAnsi"/>
                <w:b w:val="0"/>
              </w:rPr>
              <w:t xml:space="preserve">.  </w:t>
            </w:r>
            <w:r w:rsidRPr="00C56696">
              <w:rPr>
                <w:rFonts w:asciiTheme="majorHAnsi" w:hAnsiTheme="majorHAnsi"/>
                <w:b w:val="0"/>
              </w:rPr>
              <w:t>These evolving security threats are driven by vulnerabilities that arise from designing and deploying highly complex software and hardware</w:t>
            </w:r>
            <w:r w:rsidR="005F2AF0" w:rsidRPr="00C56696">
              <w:rPr>
                <w:rFonts w:asciiTheme="majorHAnsi" w:hAnsiTheme="majorHAnsi"/>
                <w:b w:val="0"/>
              </w:rPr>
              <w:t xml:space="preserve">.  </w:t>
            </w:r>
            <w:r w:rsidRPr="00C56696">
              <w:rPr>
                <w:rFonts w:asciiTheme="majorHAnsi" w:hAnsiTheme="majorHAnsi"/>
                <w:b w:val="0"/>
              </w:rPr>
              <w:t>Ultimately, there is no such thing as zero risk.</w:t>
            </w:r>
            <w:r w:rsidRPr="00C56696">
              <w:rPr>
                <w:rStyle w:val="FootnoteReference"/>
                <w:rFonts w:asciiTheme="majorHAnsi" w:hAnsiTheme="majorHAnsi"/>
                <w:b w:val="0"/>
              </w:rPr>
              <w:footnoteReference w:id="109"/>
            </w:r>
          </w:p>
          <w:p w14:paraId="00A56A57" w14:textId="0966831E" w:rsidR="00426BD7" w:rsidRPr="00C56696" w:rsidRDefault="00426BD7" w:rsidP="0075554A">
            <w:pPr>
              <w:pStyle w:val="ListParagraph"/>
              <w:numPr>
                <w:ilvl w:val="0"/>
                <w:numId w:val="22"/>
              </w:numPr>
              <w:ind w:left="342"/>
              <w:rPr>
                <w:rFonts w:asciiTheme="majorHAnsi" w:hAnsiTheme="majorHAnsi"/>
                <w:b w:val="0"/>
              </w:rPr>
            </w:pPr>
            <w:r w:rsidRPr="00C56696">
              <w:rPr>
                <w:rFonts w:asciiTheme="majorHAnsi" w:hAnsiTheme="majorHAnsi"/>
                <w:b w:val="0"/>
              </w:rPr>
              <w:t xml:space="preserve">In response to this complexity, organizations should adopt a balanced, holistic </w:t>
            </w:r>
            <w:r w:rsidRPr="00C56696">
              <w:rPr>
                <w:rFonts w:asciiTheme="majorHAnsi" w:hAnsiTheme="majorHAnsi"/>
                <w:b w:val="0"/>
              </w:rPr>
              <w:lastRenderedPageBreak/>
              <w:t>approach to security that looks at operations end-to-end and applies a risk-based framework</w:t>
            </w:r>
            <w:r w:rsidR="005F2AF0" w:rsidRPr="00C56696">
              <w:rPr>
                <w:rFonts w:asciiTheme="majorHAnsi" w:hAnsiTheme="majorHAnsi"/>
                <w:b w:val="0"/>
              </w:rPr>
              <w:t xml:space="preserve">.  </w:t>
            </w:r>
            <w:r w:rsidRPr="00C56696">
              <w:rPr>
                <w:rFonts w:asciiTheme="majorHAnsi" w:hAnsiTheme="majorHAnsi"/>
                <w:b w:val="0"/>
              </w:rPr>
              <w:t>This holistic approach should include considerations like physical security.</w:t>
            </w:r>
            <w:r w:rsidRPr="00C56696">
              <w:rPr>
                <w:rStyle w:val="FootnoteReference"/>
                <w:rFonts w:asciiTheme="majorHAnsi" w:hAnsiTheme="majorHAnsi"/>
                <w:b w:val="0"/>
              </w:rPr>
              <w:footnoteReference w:id="110"/>
            </w:r>
            <w:r w:rsidRPr="00C56696">
              <w:rPr>
                <w:rFonts w:asciiTheme="majorHAnsi" w:hAnsiTheme="majorHAnsi"/>
                <w:b w:val="0"/>
              </w:rPr>
              <w:t xml:space="preserve"> </w:t>
            </w:r>
          </w:p>
          <w:p w14:paraId="64ED4EAA" w14:textId="5791F031" w:rsidR="00426BD7" w:rsidRPr="00C56696" w:rsidRDefault="00426BD7" w:rsidP="0061340F">
            <w:pPr>
              <w:pStyle w:val="ListParagraph"/>
              <w:numPr>
                <w:ilvl w:val="0"/>
                <w:numId w:val="22"/>
              </w:numPr>
              <w:ind w:left="342"/>
              <w:rPr>
                <w:rFonts w:asciiTheme="majorHAnsi" w:hAnsiTheme="majorHAnsi"/>
                <w:b w:val="0"/>
              </w:rPr>
            </w:pPr>
            <w:r w:rsidRPr="00C56696">
              <w:rPr>
                <w:rFonts w:asciiTheme="majorHAnsi" w:hAnsiTheme="majorHAnsi" w:cs="Calibri"/>
                <w:b w:val="0"/>
              </w:rPr>
              <w:t>HIPAA defines high-level objectives, but panelists stated the need for a risk-based framework that defines very specific, contextual, and evolving controls that are applied to reduce risk to an acceptable level</w:t>
            </w:r>
            <w:r w:rsidR="005F2AF0" w:rsidRPr="00C56696">
              <w:rPr>
                <w:rFonts w:asciiTheme="majorHAnsi" w:hAnsiTheme="majorHAnsi" w:cs="Calibri"/>
                <w:b w:val="0"/>
              </w:rPr>
              <w:t xml:space="preserve">.  </w:t>
            </w:r>
            <w:r w:rsidRPr="00C56696">
              <w:rPr>
                <w:rFonts w:asciiTheme="majorHAnsi" w:hAnsiTheme="majorHAnsi" w:cs="Calibri"/>
                <w:b w:val="0"/>
              </w:rPr>
              <w:t>“The only pragmatic way to secure data in healthcare and in any other domain is to consistently follow an industry developed risk-based framework.”</w:t>
            </w:r>
            <w:r w:rsidRPr="00C56696">
              <w:rPr>
                <w:rStyle w:val="FootnoteReference"/>
                <w:rFonts w:asciiTheme="majorHAnsi" w:hAnsiTheme="majorHAnsi"/>
                <w:b w:val="0"/>
              </w:rPr>
              <w:footnoteReference w:id="111"/>
            </w:r>
            <w:r w:rsidRPr="00C56696">
              <w:rPr>
                <w:rFonts w:asciiTheme="majorHAnsi" w:hAnsiTheme="majorHAnsi"/>
                <w:b w:val="0"/>
              </w:rPr>
              <w:t xml:space="preserve"> </w:t>
            </w:r>
            <w:r w:rsidR="00996DD1">
              <w:rPr>
                <w:rFonts w:asciiTheme="majorHAnsi" w:hAnsiTheme="majorHAnsi"/>
                <w:b w:val="0"/>
              </w:rPr>
              <w:t xml:space="preserve"> </w:t>
            </w:r>
            <w:r w:rsidRPr="00C56696">
              <w:rPr>
                <w:rFonts w:asciiTheme="majorHAnsi" w:hAnsiTheme="majorHAnsi"/>
                <w:b w:val="0"/>
              </w:rPr>
              <w:t>HITRUST is an example of a common security framework that the healthcare community may consider applying.</w:t>
            </w:r>
            <w:r w:rsidRPr="00C56696">
              <w:rPr>
                <w:rStyle w:val="FootnoteReference"/>
                <w:rFonts w:asciiTheme="majorHAnsi" w:hAnsiTheme="majorHAnsi"/>
                <w:b w:val="0"/>
              </w:rPr>
              <w:footnoteReference w:id="112"/>
            </w:r>
          </w:p>
          <w:p w14:paraId="7EEFBF66" w14:textId="33236534" w:rsidR="00426BD7" w:rsidRPr="00C56696" w:rsidRDefault="00426BD7" w:rsidP="0061340F">
            <w:pPr>
              <w:pStyle w:val="ListParagraph"/>
              <w:numPr>
                <w:ilvl w:val="0"/>
                <w:numId w:val="22"/>
              </w:numPr>
              <w:ind w:left="342"/>
              <w:rPr>
                <w:rFonts w:asciiTheme="majorHAnsi" w:hAnsiTheme="majorHAnsi"/>
                <w:b w:val="0"/>
              </w:rPr>
            </w:pPr>
            <w:r w:rsidRPr="00C56696">
              <w:rPr>
                <w:rFonts w:asciiTheme="majorHAnsi" w:hAnsiTheme="majorHAnsi" w:cs="Calibri"/>
                <w:b w:val="0"/>
              </w:rPr>
              <w:t>HIPAA defines high-level objectives, but what is needed is a risk-based framework that will define very specific, contextual, and evolving controls that will be applied to reduce risk … to an acceptable level.”</w:t>
            </w:r>
            <w:r w:rsidRPr="00C56696">
              <w:rPr>
                <w:rStyle w:val="FootnoteReference"/>
                <w:rFonts w:asciiTheme="majorHAnsi" w:hAnsiTheme="majorHAnsi"/>
                <w:b w:val="0"/>
              </w:rPr>
              <w:footnoteReference w:id="113"/>
            </w:r>
            <w:r w:rsidRPr="00C56696">
              <w:rPr>
                <w:rFonts w:asciiTheme="majorHAnsi" w:hAnsiTheme="majorHAnsi" w:cs="Calibri"/>
                <w:b w:val="0"/>
              </w:rPr>
              <w:t xml:space="preserve"> </w:t>
            </w:r>
            <w:r w:rsidR="00996DD1">
              <w:rPr>
                <w:rFonts w:asciiTheme="majorHAnsi" w:hAnsiTheme="majorHAnsi" w:cs="Calibri"/>
                <w:b w:val="0"/>
              </w:rPr>
              <w:t xml:space="preserve"> </w:t>
            </w:r>
            <w:r w:rsidRPr="00C56696">
              <w:rPr>
                <w:rFonts w:asciiTheme="majorHAnsi" w:hAnsiTheme="majorHAnsi"/>
                <w:b w:val="0"/>
              </w:rPr>
              <w:t>“The security objective should be based on outcomes, not the means, because the means (e.g., the hardware, the software, the attack mitigation) change constantly.”</w:t>
            </w:r>
            <w:r w:rsidRPr="00C56696">
              <w:rPr>
                <w:rStyle w:val="FootnoteReference"/>
                <w:rFonts w:asciiTheme="majorHAnsi" w:hAnsiTheme="majorHAnsi"/>
                <w:b w:val="0"/>
              </w:rPr>
              <w:footnoteReference w:id="114"/>
            </w:r>
          </w:p>
          <w:p w14:paraId="4E8EAA15" w14:textId="3FF36241" w:rsidR="00426BD7" w:rsidRPr="00C56696" w:rsidRDefault="00426BD7" w:rsidP="0061340F">
            <w:pPr>
              <w:pStyle w:val="ListParagraph"/>
              <w:numPr>
                <w:ilvl w:val="0"/>
                <w:numId w:val="22"/>
              </w:numPr>
              <w:ind w:left="342"/>
              <w:rPr>
                <w:rFonts w:asciiTheme="majorHAnsi" w:hAnsiTheme="majorHAnsi"/>
                <w:b w:val="0"/>
              </w:rPr>
            </w:pPr>
            <w:r w:rsidRPr="00C56696">
              <w:rPr>
                <w:rFonts w:asciiTheme="majorHAnsi" w:hAnsiTheme="majorHAnsi"/>
                <w:b w:val="0"/>
              </w:rPr>
              <w:t>Moving to a common framework will be difficult for many organizations</w:t>
            </w:r>
            <w:r w:rsidR="005F2AF0" w:rsidRPr="00C56696">
              <w:rPr>
                <w:rFonts w:asciiTheme="majorHAnsi" w:hAnsiTheme="majorHAnsi"/>
                <w:b w:val="0"/>
              </w:rPr>
              <w:t xml:space="preserve">.  </w:t>
            </w:r>
            <w:r w:rsidRPr="00C56696">
              <w:rPr>
                <w:rFonts w:asciiTheme="majorHAnsi" w:hAnsiTheme="majorHAnsi"/>
                <w:b w:val="0"/>
              </w:rPr>
              <w:t>Specifically, it will be challenging for organizations that do not have an IT department and rely on outsourcing, but it will be easier for organizations with sophisticated IT operations.</w:t>
            </w:r>
            <w:r w:rsidRPr="00C56696">
              <w:rPr>
                <w:rStyle w:val="FootnoteReference"/>
                <w:rFonts w:asciiTheme="majorHAnsi" w:hAnsiTheme="majorHAnsi"/>
                <w:b w:val="0"/>
              </w:rPr>
              <w:footnoteReference w:id="115"/>
            </w:r>
            <w:r w:rsidRPr="00C56696">
              <w:rPr>
                <w:rFonts w:asciiTheme="majorHAnsi" w:hAnsiTheme="majorHAnsi"/>
                <w:b w:val="0"/>
              </w:rPr>
              <w:t xml:space="preserve"> </w:t>
            </w:r>
            <w:r w:rsidR="00AF7701">
              <w:rPr>
                <w:rFonts w:asciiTheme="majorHAnsi" w:hAnsiTheme="majorHAnsi"/>
                <w:b w:val="0"/>
              </w:rPr>
              <w:t xml:space="preserve"> </w:t>
            </w:r>
            <w:r w:rsidRPr="00C56696">
              <w:rPr>
                <w:rFonts w:asciiTheme="majorHAnsi" w:hAnsiTheme="majorHAnsi"/>
                <w:b w:val="0"/>
              </w:rPr>
              <w:t>If an organization employs a good computer science approach, which involves backing up machines, firewalls, and antivirus software on desktops, then it should be a medium effort to achieve good security.</w:t>
            </w:r>
            <w:r w:rsidRPr="00C56696">
              <w:rPr>
                <w:rStyle w:val="FootnoteReference"/>
                <w:rFonts w:asciiTheme="majorHAnsi" w:hAnsiTheme="majorHAnsi"/>
                <w:b w:val="0"/>
              </w:rPr>
              <w:footnoteReference w:id="116"/>
            </w:r>
          </w:p>
          <w:p w14:paraId="521FD58C" w14:textId="477A2941" w:rsidR="00426BD7" w:rsidRPr="00C56696" w:rsidRDefault="00426BD7" w:rsidP="0061340F">
            <w:pPr>
              <w:pStyle w:val="ListParagraph"/>
              <w:numPr>
                <w:ilvl w:val="0"/>
                <w:numId w:val="22"/>
              </w:numPr>
              <w:ind w:left="342"/>
              <w:rPr>
                <w:rFonts w:asciiTheme="majorHAnsi" w:hAnsiTheme="majorHAnsi"/>
                <w:b w:val="0"/>
              </w:rPr>
            </w:pPr>
            <w:r w:rsidRPr="00C56696">
              <w:rPr>
                <w:rFonts w:asciiTheme="majorHAnsi" w:hAnsiTheme="majorHAnsi"/>
                <w:b w:val="0"/>
              </w:rPr>
              <w:t>HIPAA compliance varies significantly across hospitals based on their levels of resources.</w:t>
            </w:r>
            <w:r w:rsidRPr="00C56696">
              <w:rPr>
                <w:rStyle w:val="FootnoteReference"/>
                <w:rFonts w:asciiTheme="majorHAnsi" w:hAnsiTheme="majorHAnsi"/>
                <w:b w:val="0"/>
              </w:rPr>
              <w:footnoteReference w:id="117"/>
            </w:r>
            <w:r w:rsidRPr="00C56696">
              <w:rPr>
                <w:rFonts w:asciiTheme="majorHAnsi" w:hAnsiTheme="majorHAnsi"/>
                <w:b w:val="0"/>
              </w:rPr>
              <w:t xml:space="preserve"> </w:t>
            </w:r>
            <w:r w:rsidR="00996DD1">
              <w:rPr>
                <w:rFonts w:asciiTheme="majorHAnsi" w:hAnsiTheme="majorHAnsi"/>
                <w:b w:val="0"/>
              </w:rPr>
              <w:t xml:space="preserve"> </w:t>
            </w:r>
            <w:r w:rsidRPr="00C56696">
              <w:rPr>
                <w:rFonts w:asciiTheme="majorHAnsi" w:hAnsiTheme="majorHAnsi"/>
                <w:b w:val="0"/>
              </w:rPr>
              <w:t>The resources go beyond IT sophistication to hospital infrastructure, and staffing.</w:t>
            </w:r>
            <w:r w:rsidRPr="00C56696">
              <w:rPr>
                <w:rStyle w:val="FootnoteReference"/>
                <w:rFonts w:asciiTheme="majorHAnsi" w:hAnsiTheme="majorHAnsi"/>
                <w:b w:val="0"/>
              </w:rPr>
              <w:footnoteReference w:id="118"/>
            </w:r>
            <w:r w:rsidRPr="00C56696">
              <w:rPr>
                <w:rFonts w:asciiTheme="majorHAnsi" w:hAnsiTheme="majorHAnsi"/>
                <w:b w:val="0"/>
              </w:rPr>
              <w:t xml:space="preserve"> </w:t>
            </w:r>
            <w:r w:rsidR="00996DD1">
              <w:rPr>
                <w:rFonts w:asciiTheme="majorHAnsi" w:hAnsiTheme="majorHAnsi"/>
                <w:b w:val="0"/>
              </w:rPr>
              <w:t xml:space="preserve"> </w:t>
            </w:r>
            <w:r w:rsidRPr="00C56696">
              <w:rPr>
                <w:rFonts w:asciiTheme="majorHAnsi" w:hAnsiTheme="majorHAnsi"/>
                <w:b w:val="0"/>
              </w:rPr>
              <w:t>Consequently, any regulatory incentive or effort must acknowledge that compliance varies across hospitals and providers.</w:t>
            </w:r>
            <w:r w:rsidRPr="00C56696">
              <w:rPr>
                <w:rStyle w:val="FootnoteReference"/>
                <w:rFonts w:asciiTheme="majorHAnsi" w:hAnsiTheme="majorHAnsi"/>
                <w:b w:val="0"/>
              </w:rPr>
              <w:footnoteReference w:id="119"/>
            </w:r>
          </w:p>
          <w:p w14:paraId="2A50479C" w14:textId="66A8CEF1" w:rsidR="00426BD7" w:rsidRPr="00C56696" w:rsidRDefault="00426BD7" w:rsidP="0061340F">
            <w:pPr>
              <w:pStyle w:val="ListParagraph"/>
              <w:numPr>
                <w:ilvl w:val="0"/>
                <w:numId w:val="22"/>
              </w:numPr>
              <w:ind w:left="342"/>
              <w:rPr>
                <w:rFonts w:asciiTheme="majorHAnsi" w:hAnsiTheme="majorHAnsi"/>
                <w:b w:val="0"/>
              </w:rPr>
            </w:pPr>
            <w:r w:rsidRPr="00C56696">
              <w:rPr>
                <w:rFonts w:asciiTheme="majorHAnsi" w:hAnsiTheme="majorHAnsi"/>
                <w:b w:val="0"/>
              </w:rPr>
              <w:t>Organizations can mitigate risk by adopting privacy architectures, such as “safe havens” or data enclaves</w:t>
            </w:r>
            <w:r w:rsidR="005F2AF0" w:rsidRPr="00C56696">
              <w:rPr>
                <w:rFonts w:asciiTheme="majorHAnsi" w:hAnsiTheme="majorHAnsi"/>
                <w:b w:val="0"/>
              </w:rPr>
              <w:t xml:space="preserve">.  </w:t>
            </w:r>
            <w:r w:rsidRPr="00C56696">
              <w:rPr>
                <w:rFonts w:asciiTheme="majorHAnsi" w:hAnsiTheme="majorHAnsi"/>
                <w:b w:val="0"/>
              </w:rPr>
              <w:t>Even within these enclaves, data should be de-identified because the risk of re-identification is not eliminated.</w:t>
            </w:r>
            <w:r w:rsidRPr="00C56696">
              <w:rPr>
                <w:rStyle w:val="FootnoteReference"/>
                <w:rFonts w:asciiTheme="majorHAnsi" w:hAnsiTheme="majorHAnsi"/>
                <w:b w:val="0"/>
              </w:rPr>
              <w:footnoteReference w:id="120"/>
            </w:r>
          </w:p>
          <w:p w14:paraId="49BDB949" w14:textId="353E1B46" w:rsidR="00426BD7" w:rsidRPr="005B6247" w:rsidRDefault="00426BD7" w:rsidP="00E74ECB">
            <w:pPr>
              <w:pStyle w:val="ListParagraph"/>
              <w:numPr>
                <w:ilvl w:val="0"/>
                <w:numId w:val="22"/>
              </w:numPr>
              <w:ind w:left="342"/>
              <w:rPr>
                <w:rFonts w:cs="Times"/>
                <w:b w:val="0"/>
              </w:rPr>
            </w:pPr>
            <w:r w:rsidRPr="00C56696">
              <w:rPr>
                <w:rFonts w:asciiTheme="majorHAnsi" w:hAnsiTheme="majorHAnsi" w:cs="Times New Roman"/>
                <w:b w:val="0"/>
                <w:iCs/>
              </w:rPr>
              <w:t>Finally, distributed computation and distributed networks may augment good security practices</w:t>
            </w:r>
            <w:r w:rsidR="005F2AF0" w:rsidRPr="00C56696">
              <w:rPr>
                <w:rFonts w:asciiTheme="majorHAnsi" w:hAnsiTheme="majorHAnsi" w:cs="Times New Roman"/>
                <w:b w:val="0"/>
                <w:iCs/>
              </w:rPr>
              <w:t xml:space="preserve">.  </w:t>
            </w:r>
            <w:r w:rsidRPr="00C56696">
              <w:rPr>
                <w:rFonts w:asciiTheme="majorHAnsi" w:hAnsiTheme="majorHAnsi" w:cs="Times New Roman"/>
                <w:b w:val="0"/>
                <w:iCs/>
              </w:rPr>
              <w:t>One participant testified that “[d]</w:t>
            </w:r>
            <w:proofErr w:type="spellStart"/>
            <w:r w:rsidRPr="00C56696">
              <w:rPr>
                <w:rFonts w:asciiTheme="majorHAnsi" w:hAnsiTheme="majorHAnsi" w:cs="Times New Roman"/>
                <w:b w:val="0"/>
                <w:iCs/>
              </w:rPr>
              <w:t>istributed</w:t>
            </w:r>
            <w:proofErr w:type="spellEnd"/>
            <w:r w:rsidRPr="00C56696">
              <w:rPr>
                <w:rFonts w:asciiTheme="majorHAnsi" w:hAnsiTheme="majorHAnsi" w:cs="Times New Roman"/>
                <w:b w:val="0"/>
                <w:iCs/>
              </w:rPr>
              <w:t xml:space="preserve"> data networks minimize the need to aggregate individual </w:t>
            </w:r>
            <w:proofErr w:type="gramStart"/>
            <w:r w:rsidRPr="00C56696">
              <w:rPr>
                <w:rFonts w:asciiTheme="majorHAnsi" w:hAnsiTheme="majorHAnsi" w:cs="Times New Roman"/>
                <w:b w:val="0"/>
                <w:iCs/>
              </w:rPr>
              <w:t>data[</w:t>
            </w:r>
            <w:proofErr w:type="gramEnd"/>
            <w:r w:rsidRPr="00C56696">
              <w:rPr>
                <w:rFonts w:asciiTheme="majorHAnsi" w:hAnsiTheme="majorHAnsi" w:cs="Times New Roman"/>
                <w:b w:val="0"/>
                <w:iCs/>
              </w:rPr>
              <w:t xml:space="preserve">,] are increasingly powerful[,] and should be </w:t>
            </w:r>
            <w:r w:rsidRPr="00C56696">
              <w:rPr>
                <w:rFonts w:asciiTheme="majorHAnsi" w:hAnsiTheme="majorHAnsi" w:cs="Times New Roman"/>
                <w:b w:val="0"/>
                <w:iCs/>
              </w:rPr>
              <w:lastRenderedPageBreak/>
              <w:t>considered when they are appropriate</w:t>
            </w:r>
            <w:r w:rsidR="005F2AF0" w:rsidRPr="00C56696">
              <w:rPr>
                <w:rFonts w:asciiTheme="majorHAnsi" w:hAnsiTheme="majorHAnsi" w:cs="Times New Roman"/>
                <w:b w:val="0"/>
                <w:iCs/>
              </w:rPr>
              <w:t xml:space="preserve">.  </w:t>
            </w:r>
            <w:r w:rsidRPr="00C56696">
              <w:rPr>
                <w:rFonts w:asciiTheme="majorHAnsi" w:hAnsiTheme="majorHAnsi" w:cs="Times New Roman"/>
                <w:b w:val="0"/>
                <w:iCs/>
              </w:rPr>
              <w:t>These methods move the analyses to the data systems that already possess the data and return results that can be combined across multiple sites</w:t>
            </w:r>
            <w:r w:rsidR="005F2AF0" w:rsidRPr="00C56696">
              <w:rPr>
                <w:rFonts w:asciiTheme="majorHAnsi" w:hAnsiTheme="majorHAnsi" w:cs="Times New Roman"/>
                <w:b w:val="0"/>
                <w:iCs/>
              </w:rPr>
              <w:t xml:space="preserve">.  </w:t>
            </w:r>
            <w:r w:rsidRPr="00C56696">
              <w:rPr>
                <w:rFonts w:asciiTheme="majorHAnsi" w:hAnsiTheme="majorHAnsi" w:cs="Times New Roman"/>
                <w:b w:val="0"/>
                <w:iCs/>
              </w:rPr>
              <w:t>The Food and Drug Administration (FDA), the National Institutes of Health (NIH), and the PCORI have created distributed data networks to support some of their needs.”</w:t>
            </w:r>
            <w:r w:rsidRPr="00C56696">
              <w:rPr>
                <w:rStyle w:val="FootnoteReference"/>
                <w:rFonts w:asciiTheme="majorHAnsi" w:hAnsiTheme="majorHAnsi" w:cs="Times New Roman"/>
                <w:b w:val="0"/>
                <w:iCs/>
              </w:rPr>
              <w:footnoteReference w:id="121"/>
            </w:r>
            <w:r w:rsidRPr="00C56696">
              <w:rPr>
                <w:rFonts w:asciiTheme="majorHAnsi" w:hAnsiTheme="majorHAnsi" w:cs="Times New Roman"/>
                <w:b w:val="0"/>
                <w:iCs/>
              </w:rPr>
              <w:t xml:space="preserve"> </w:t>
            </w:r>
            <w:r w:rsidR="00AF7701">
              <w:rPr>
                <w:rFonts w:asciiTheme="majorHAnsi" w:hAnsiTheme="majorHAnsi" w:cs="Times New Roman"/>
                <w:b w:val="0"/>
                <w:iCs/>
              </w:rPr>
              <w:t xml:space="preserve"> </w:t>
            </w:r>
            <w:r w:rsidRPr="00C56696">
              <w:rPr>
                <w:rFonts w:asciiTheme="majorHAnsi" w:hAnsiTheme="majorHAnsi" w:cs="Times New Roman"/>
                <w:b w:val="0"/>
                <w:iCs/>
              </w:rPr>
              <w:t xml:space="preserve">Others </w:t>
            </w:r>
            <w:r w:rsidRPr="00C56696">
              <w:rPr>
                <w:rFonts w:asciiTheme="majorHAnsi" w:hAnsiTheme="majorHAnsi"/>
                <w:b w:val="0"/>
              </w:rPr>
              <w:t>cautioned that some distributed networks do not have security evaluations or security proofs and it would be important to perform such proofs and evaluate security protocols before leveraging distributed computation systems.</w:t>
            </w:r>
            <w:r w:rsidRPr="00C56696">
              <w:rPr>
                <w:rStyle w:val="FootnoteReference"/>
                <w:rFonts w:asciiTheme="majorHAnsi" w:hAnsiTheme="majorHAnsi"/>
                <w:b w:val="0"/>
              </w:rPr>
              <w:footnoteReference w:id="122"/>
            </w:r>
          </w:p>
        </w:tc>
      </w:tr>
      <w:tr w:rsidR="00426BD7" w:rsidRPr="0016351D" w14:paraId="63FAD201" w14:textId="77777777" w:rsidTr="00FE28A1">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6B5C58CA" w14:textId="28837EC9" w:rsidR="00426BD7" w:rsidRPr="00281740" w:rsidRDefault="00426BD7" w:rsidP="00636DDA">
            <w:pPr>
              <w:rPr>
                <w:rFonts w:asciiTheme="majorHAnsi" w:hAnsiTheme="majorHAnsi"/>
                <w:b w:val="0"/>
                <w:bCs w:val="0"/>
              </w:rPr>
            </w:pPr>
            <w:r w:rsidRPr="00281740">
              <w:rPr>
                <w:rFonts w:asciiTheme="majorHAnsi" w:hAnsiTheme="majorHAnsi"/>
              </w:rPr>
              <w:lastRenderedPageBreak/>
              <w:t>Topic</w:t>
            </w:r>
            <w:r>
              <w:rPr>
                <w:rFonts w:asciiTheme="majorHAnsi" w:hAnsiTheme="majorHAnsi"/>
              </w:rPr>
              <w:t>:</w:t>
            </w:r>
            <w:r w:rsidRPr="00281740">
              <w:rPr>
                <w:rFonts w:asciiTheme="majorHAnsi" w:hAnsiTheme="majorHAnsi"/>
              </w:rPr>
              <w:t xml:space="preserve"> </w:t>
            </w:r>
            <w:r w:rsidRPr="00426BD7">
              <w:rPr>
                <w:rFonts w:asciiTheme="majorHAnsi" w:hAnsiTheme="majorHAnsi"/>
              </w:rPr>
              <w:t xml:space="preserve">Transparency </w:t>
            </w:r>
          </w:p>
          <w:p w14:paraId="0EEF8CED" w14:textId="77777777" w:rsidR="00426BD7" w:rsidRPr="00636DDA" w:rsidRDefault="00426BD7" w:rsidP="00636DDA">
            <w:pPr>
              <w:rPr>
                <w:rFonts w:asciiTheme="majorHAnsi" w:hAnsiTheme="majorHAnsi"/>
              </w:rPr>
            </w:pPr>
            <w:r w:rsidRPr="003E5204">
              <w:rPr>
                <w:rFonts w:asciiTheme="majorHAnsi" w:hAnsiTheme="majorHAnsi"/>
              </w:rPr>
              <w:t xml:space="preserve">Testimony: </w:t>
            </w:r>
          </w:p>
          <w:p w14:paraId="3D0A6584" w14:textId="16FE118E" w:rsidR="00426BD7" w:rsidRPr="00C56696" w:rsidRDefault="00426BD7" w:rsidP="002C2BCB">
            <w:pPr>
              <w:pStyle w:val="ListParagraph"/>
              <w:numPr>
                <w:ilvl w:val="0"/>
                <w:numId w:val="3"/>
              </w:numPr>
              <w:ind w:left="360"/>
              <w:rPr>
                <w:rFonts w:asciiTheme="majorHAnsi" w:hAnsiTheme="majorHAnsi"/>
                <w:b w:val="0"/>
              </w:rPr>
            </w:pPr>
            <w:r w:rsidRPr="00C56696">
              <w:rPr>
                <w:rFonts w:asciiTheme="majorHAnsi" w:hAnsiTheme="majorHAnsi"/>
                <w:b w:val="0"/>
              </w:rPr>
              <w:t>People are not fully aware of how their data are used and for what purpose; this extends to a common assumption that HIPAA covers all medical data when in reality it does not.</w:t>
            </w:r>
            <w:r w:rsidRPr="00C56696">
              <w:rPr>
                <w:rStyle w:val="FootnoteReference"/>
                <w:rFonts w:asciiTheme="majorHAnsi" w:hAnsiTheme="majorHAnsi"/>
                <w:b w:val="0"/>
              </w:rPr>
              <w:footnoteReference w:id="123"/>
            </w:r>
            <w:r w:rsidRPr="00C56696">
              <w:rPr>
                <w:rFonts w:asciiTheme="majorHAnsi" w:hAnsiTheme="majorHAnsi"/>
                <w:b w:val="0"/>
              </w:rPr>
              <w:t xml:space="preserve"> </w:t>
            </w:r>
          </w:p>
          <w:p w14:paraId="52E554AA" w14:textId="77777777" w:rsidR="00426BD7" w:rsidRPr="00C56696" w:rsidRDefault="00426BD7" w:rsidP="002C2BCB">
            <w:pPr>
              <w:pStyle w:val="ListParagraph"/>
              <w:numPr>
                <w:ilvl w:val="0"/>
                <w:numId w:val="3"/>
              </w:numPr>
              <w:ind w:left="360"/>
              <w:rPr>
                <w:rFonts w:asciiTheme="majorHAnsi" w:hAnsiTheme="majorHAnsi"/>
                <w:b w:val="0"/>
              </w:rPr>
            </w:pPr>
            <w:r w:rsidRPr="00C56696">
              <w:rPr>
                <w:rFonts w:asciiTheme="majorHAnsi" w:hAnsiTheme="majorHAnsi"/>
                <w:b w:val="0"/>
              </w:rPr>
              <w:t>As a matter of ethical importance, transparency is crucial if data is used without a person’s explicit consent or authorization.</w:t>
            </w:r>
            <w:r w:rsidRPr="00C56696">
              <w:rPr>
                <w:rStyle w:val="FootnoteReference"/>
                <w:rFonts w:asciiTheme="majorHAnsi" w:hAnsiTheme="majorHAnsi"/>
                <w:b w:val="0"/>
              </w:rPr>
              <w:footnoteReference w:id="124"/>
            </w:r>
            <w:r w:rsidRPr="00C56696">
              <w:rPr>
                <w:rFonts w:asciiTheme="majorHAnsi" w:hAnsiTheme="majorHAnsi"/>
                <w:b w:val="0"/>
              </w:rPr>
              <w:t xml:space="preserve"> </w:t>
            </w:r>
          </w:p>
          <w:p w14:paraId="42EDE42F" w14:textId="3751395A" w:rsidR="00426BD7" w:rsidRPr="00C56696" w:rsidRDefault="00426BD7" w:rsidP="00A74EA5">
            <w:pPr>
              <w:pStyle w:val="ListParagraph"/>
              <w:numPr>
                <w:ilvl w:val="0"/>
                <w:numId w:val="3"/>
              </w:numPr>
              <w:ind w:left="360"/>
              <w:rPr>
                <w:rFonts w:asciiTheme="majorHAnsi" w:hAnsiTheme="majorHAnsi"/>
                <w:b w:val="0"/>
              </w:rPr>
            </w:pPr>
            <w:r w:rsidRPr="00C56696">
              <w:rPr>
                <w:rFonts w:asciiTheme="majorHAnsi" w:hAnsiTheme="majorHAnsi"/>
                <w:b w:val="0"/>
              </w:rPr>
              <w:t>One participant explained that entities should provide notice whenever individuals may think the usage or collection of data is unexpected or objectionable, and notice should be provided at a relevant time</w:t>
            </w:r>
            <w:r w:rsidR="005F2AF0" w:rsidRPr="00C56696">
              <w:rPr>
                <w:rFonts w:asciiTheme="majorHAnsi" w:hAnsiTheme="majorHAnsi"/>
                <w:b w:val="0"/>
              </w:rPr>
              <w:t xml:space="preserve">.  </w:t>
            </w:r>
            <w:r w:rsidRPr="00C56696">
              <w:rPr>
                <w:rFonts w:asciiTheme="majorHAnsi" w:hAnsiTheme="majorHAnsi"/>
                <w:b w:val="0"/>
              </w:rPr>
              <w:t>Contextual (just-in-time) notice helps clarify consumer expectations</w:t>
            </w:r>
            <w:r w:rsidR="005F2AF0" w:rsidRPr="00C56696">
              <w:rPr>
                <w:rFonts w:asciiTheme="majorHAnsi" w:hAnsiTheme="majorHAnsi"/>
                <w:b w:val="0"/>
              </w:rPr>
              <w:t xml:space="preserve">.  </w:t>
            </w:r>
            <w:r w:rsidRPr="00C56696">
              <w:rPr>
                <w:rFonts w:asciiTheme="majorHAnsi" w:hAnsiTheme="majorHAnsi"/>
                <w:b w:val="0"/>
              </w:rPr>
              <w:t>Such notice should explain what type of data is collected, when it is collected, what it is used for, the secondary uses contemplated, how long it will be retained, and what security measures are in place</w:t>
            </w:r>
            <w:r w:rsidR="005F2AF0" w:rsidRPr="00C56696">
              <w:rPr>
                <w:rFonts w:asciiTheme="majorHAnsi" w:hAnsiTheme="majorHAnsi"/>
                <w:b w:val="0"/>
              </w:rPr>
              <w:t xml:space="preserve">.  </w:t>
            </w:r>
            <w:r w:rsidRPr="00C56696">
              <w:rPr>
                <w:rFonts w:asciiTheme="majorHAnsi" w:hAnsiTheme="majorHAnsi"/>
                <w:b w:val="0"/>
              </w:rPr>
              <w:t>That said, current notices are overly broad and vague, and they are drafted in highly technical language</w:t>
            </w:r>
            <w:r w:rsidR="005F2AF0" w:rsidRPr="00C56696">
              <w:rPr>
                <w:rFonts w:asciiTheme="majorHAnsi" w:hAnsiTheme="majorHAnsi"/>
                <w:b w:val="0"/>
              </w:rPr>
              <w:t xml:space="preserve">.  </w:t>
            </w:r>
            <w:r w:rsidRPr="00C56696">
              <w:rPr>
                <w:rFonts w:asciiTheme="majorHAnsi" w:hAnsiTheme="majorHAnsi"/>
                <w:b w:val="0"/>
              </w:rPr>
              <w:t>Consequently, people do not read or understand notices, and they do not end up fostering transparency</w:t>
            </w:r>
            <w:r w:rsidR="005F2AF0" w:rsidRPr="00C56696">
              <w:rPr>
                <w:rFonts w:asciiTheme="majorHAnsi" w:hAnsiTheme="majorHAnsi"/>
                <w:b w:val="0"/>
              </w:rPr>
              <w:t xml:space="preserve">.  </w:t>
            </w:r>
            <w:r w:rsidRPr="00C56696">
              <w:rPr>
                <w:rFonts w:asciiTheme="majorHAnsi" w:hAnsiTheme="majorHAnsi"/>
                <w:b w:val="0"/>
              </w:rPr>
              <w:t>Notices are drafted in highly technical language and are so vague that people do not read or understand them, so transparency is rarely achieved.</w:t>
            </w:r>
            <w:r w:rsidRPr="00C56696">
              <w:rPr>
                <w:rStyle w:val="FootnoteReference"/>
                <w:rFonts w:asciiTheme="majorHAnsi" w:hAnsiTheme="majorHAnsi"/>
                <w:b w:val="0"/>
              </w:rPr>
              <w:footnoteReference w:id="125"/>
            </w:r>
          </w:p>
          <w:p w14:paraId="3B57C487" w14:textId="13A40CA9" w:rsidR="00426BD7" w:rsidRPr="00C56696" w:rsidRDefault="00426BD7" w:rsidP="002C2BCB">
            <w:pPr>
              <w:pStyle w:val="ListParagraph"/>
              <w:numPr>
                <w:ilvl w:val="0"/>
                <w:numId w:val="3"/>
              </w:numPr>
              <w:ind w:left="360"/>
              <w:rPr>
                <w:rFonts w:asciiTheme="majorHAnsi" w:hAnsiTheme="majorHAnsi"/>
                <w:b w:val="0"/>
              </w:rPr>
            </w:pPr>
            <w:r w:rsidRPr="00C56696">
              <w:rPr>
                <w:rFonts w:asciiTheme="majorHAnsi" w:hAnsiTheme="majorHAnsi"/>
                <w:b w:val="0"/>
              </w:rPr>
              <w:t>Without clear ground rules in the non-HIPAA space, organizations are less transparent about their data practices, and this extends to the use of algorithms, which are “crucial decision-making mechanisms.”</w:t>
            </w:r>
            <w:r w:rsidR="00C56696" w:rsidRPr="00C56696">
              <w:rPr>
                <w:rFonts w:asciiTheme="majorHAnsi" w:hAnsiTheme="majorHAnsi"/>
                <w:b w:val="0"/>
              </w:rPr>
              <w:t xml:space="preserve"> </w:t>
            </w:r>
            <w:r w:rsidRPr="00C56696">
              <w:rPr>
                <w:rFonts w:asciiTheme="majorHAnsi" w:hAnsiTheme="majorHAnsi"/>
                <w:b w:val="0"/>
              </w:rPr>
              <w:t xml:space="preserve"> “Algorithmic transparency is</w:t>
            </w:r>
            <w:r w:rsidRPr="00C56696">
              <w:rPr>
                <w:rFonts w:asciiTheme="majorHAnsi" w:hAnsiTheme="majorHAnsi"/>
              </w:rPr>
              <w:t xml:space="preserve"> </w:t>
            </w:r>
            <w:r w:rsidRPr="00C56696">
              <w:rPr>
                <w:rFonts w:asciiTheme="majorHAnsi" w:hAnsiTheme="majorHAnsi"/>
                <w:b w:val="0"/>
              </w:rPr>
              <w:t>crucial...</w:t>
            </w:r>
            <w:r w:rsidR="005F2AF0" w:rsidRPr="00C56696">
              <w:rPr>
                <w:rFonts w:asciiTheme="majorHAnsi" w:hAnsiTheme="majorHAnsi"/>
                <w:b w:val="0"/>
              </w:rPr>
              <w:t xml:space="preserve">.  </w:t>
            </w:r>
            <w:r w:rsidRPr="00C56696">
              <w:rPr>
                <w:rFonts w:asciiTheme="majorHAnsi" w:hAnsiTheme="majorHAnsi"/>
                <w:b w:val="0"/>
              </w:rPr>
              <w:t>Many companies have entered the health data space and they consider their models proprietary and refuse to reveal them, which leaves a gaping hole where our understanding of these decision-making mechanisms should be.”</w:t>
            </w:r>
            <w:r w:rsidRPr="00C56696">
              <w:rPr>
                <w:rStyle w:val="FootnoteReference"/>
                <w:rFonts w:asciiTheme="majorHAnsi" w:hAnsiTheme="majorHAnsi"/>
                <w:b w:val="0"/>
              </w:rPr>
              <w:footnoteReference w:id="126"/>
            </w:r>
            <w:r w:rsidRPr="00C56696">
              <w:rPr>
                <w:rFonts w:asciiTheme="majorHAnsi" w:hAnsiTheme="majorHAnsi"/>
                <w:b w:val="0"/>
              </w:rPr>
              <w:t xml:space="preserve"> </w:t>
            </w:r>
            <w:r w:rsidR="00C56696" w:rsidRPr="00C56696">
              <w:rPr>
                <w:rFonts w:asciiTheme="majorHAnsi" w:hAnsiTheme="majorHAnsi"/>
                <w:b w:val="0"/>
              </w:rPr>
              <w:t xml:space="preserve"> </w:t>
            </w:r>
            <w:r w:rsidRPr="00C56696">
              <w:rPr>
                <w:rFonts w:asciiTheme="majorHAnsi" w:hAnsiTheme="majorHAnsi"/>
                <w:b w:val="0"/>
              </w:rPr>
              <w:t>Because sophisticated algorithms are proprietary intellectual property, it is very difficult to determine their inputs and outputs, and how they make decisions about people.</w:t>
            </w:r>
            <w:r w:rsidRPr="00C56696">
              <w:rPr>
                <w:rStyle w:val="FootnoteReference"/>
                <w:rFonts w:asciiTheme="majorHAnsi" w:hAnsiTheme="majorHAnsi"/>
                <w:b w:val="0"/>
              </w:rPr>
              <w:footnoteReference w:id="127"/>
            </w:r>
            <w:r w:rsidRPr="00C56696">
              <w:rPr>
                <w:rFonts w:asciiTheme="majorHAnsi" w:hAnsiTheme="majorHAnsi"/>
                <w:b w:val="0"/>
              </w:rPr>
              <w:t xml:space="preserve"> </w:t>
            </w:r>
            <w:r w:rsidR="00C56696" w:rsidRPr="00C56696">
              <w:rPr>
                <w:rFonts w:asciiTheme="majorHAnsi" w:hAnsiTheme="majorHAnsi"/>
                <w:b w:val="0"/>
              </w:rPr>
              <w:t xml:space="preserve"> </w:t>
            </w:r>
            <w:r w:rsidRPr="00C56696">
              <w:rPr>
                <w:rFonts w:asciiTheme="majorHAnsi" w:hAnsiTheme="majorHAnsi"/>
                <w:b w:val="0"/>
              </w:rPr>
              <w:lastRenderedPageBreak/>
              <w:t>Moreover, “[a]</w:t>
            </w:r>
            <w:proofErr w:type="spellStart"/>
            <w:r w:rsidRPr="00C56696">
              <w:rPr>
                <w:rFonts w:asciiTheme="majorHAnsi" w:hAnsiTheme="majorHAnsi"/>
                <w:b w:val="0"/>
              </w:rPr>
              <w:t>lgorithms</w:t>
            </w:r>
            <w:proofErr w:type="spellEnd"/>
            <w:r w:rsidRPr="00C56696">
              <w:rPr>
                <w:rFonts w:asciiTheme="majorHAnsi" w:hAnsiTheme="majorHAnsi"/>
                <w:b w:val="0"/>
              </w:rPr>
              <w:t xml:space="preserve"> have become extremely sophisticated and nuanced to the point where they are [replacing the] human decision-making processes.”</w:t>
            </w:r>
            <w:r w:rsidRPr="00C56696">
              <w:rPr>
                <w:rStyle w:val="FootnoteReference"/>
                <w:rFonts w:asciiTheme="majorHAnsi" w:hAnsiTheme="majorHAnsi"/>
                <w:b w:val="0"/>
              </w:rPr>
              <w:footnoteReference w:id="128"/>
            </w:r>
          </w:p>
          <w:p w14:paraId="311B46A3" w14:textId="70A499A4" w:rsidR="00426BD7" w:rsidRPr="00C56696" w:rsidRDefault="00426BD7" w:rsidP="002C2BCB">
            <w:pPr>
              <w:pStyle w:val="ListParagraph"/>
              <w:numPr>
                <w:ilvl w:val="0"/>
                <w:numId w:val="3"/>
              </w:numPr>
              <w:ind w:left="360"/>
              <w:rPr>
                <w:rFonts w:asciiTheme="majorHAnsi" w:hAnsiTheme="majorHAnsi"/>
                <w:b w:val="0"/>
              </w:rPr>
            </w:pPr>
            <w:r w:rsidRPr="00C56696">
              <w:rPr>
                <w:rFonts w:asciiTheme="majorHAnsi" w:hAnsiTheme="majorHAnsi"/>
                <w:b w:val="0"/>
              </w:rPr>
              <w:t>Another participant suggested that transparency and disclosure should extend to “what [data] informs the algorithms, how … cohorts are defined, and how individuals are separated</w:t>
            </w:r>
            <w:r w:rsidR="005F2AF0" w:rsidRPr="00C56696">
              <w:rPr>
                <w:rFonts w:asciiTheme="majorHAnsi" w:hAnsiTheme="majorHAnsi"/>
                <w:b w:val="0"/>
              </w:rPr>
              <w:t xml:space="preserve">.  </w:t>
            </w:r>
            <w:r w:rsidRPr="00C56696">
              <w:rPr>
                <w:rFonts w:asciiTheme="majorHAnsi" w:hAnsiTheme="majorHAnsi"/>
                <w:b w:val="0"/>
              </w:rPr>
              <w:t xml:space="preserve">If that’s </w:t>
            </w:r>
            <w:proofErr w:type="gramStart"/>
            <w:r w:rsidRPr="00C56696">
              <w:rPr>
                <w:rFonts w:asciiTheme="majorHAnsi" w:hAnsiTheme="majorHAnsi"/>
                <w:b w:val="0"/>
              </w:rPr>
              <w:t>opaque, …</w:t>
            </w:r>
            <w:proofErr w:type="gramEnd"/>
            <w:r w:rsidRPr="00C56696">
              <w:rPr>
                <w:rFonts w:asciiTheme="majorHAnsi" w:hAnsiTheme="majorHAnsi"/>
                <w:b w:val="0"/>
              </w:rPr>
              <w:t xml:space="preserve"> then nobody will ever trust the system.”</w:t>
            </w:r>
            <w:r w:rsidRPr="00C56696">
              <w:rPr>
                <w:rStyle w:val="FootnoteReference"/>
                <w:rFonts w:asciiTheme="majorHAnsi" w:hAnsiTheme="majorHAnsi"/>
                <w:b w:val="0"/>
              </w:rPr>
              <w:footnoteReference w:id="129"/>
            </w:r>
          </w:p>
          <w:p w14:paraId="676D3799" w14:textId="2F0993A8" w:rsidR="00426BD7" w:rsidRPr="005B6247" w:rsidRDefault="00426BD7" w:rsidP="00372491">
            <w:pPr>
              <w:pStyle w:val="ListParagraph"/>
              <w:numPr>
                <w:ilvl w:val="0"/>
                <w:numId w:val="3"/>
              </w:numPr>
              <w:ind w:left="360"/>
              <w:rPr>
                <w:rFonts w:asciiTheme="majorHAnsi" w:hAnsiTheme="majorHAnsi"/>
                <w:b w:val="0"/>
              </w:rPr>
            </w:pPr>
            <w:r w:rsidRPr="00C56696">
              <w:rPr>
                <w:rFonts w:asciiTheme="majorHAnsi" w:hAnsiTheme="majorHAnsi"/>
                <w:b w:val="0"/>
              </w:rPr>
              <w:t>Another participant drew parallels to transparency provisions in the Fair Credit Reporting Act (FCRA)</w:t>
            </w:r>
            <w:r w:rsidR="005F2AF0" w:rsidRPr="00C56696">
              <w:rPr>
                <w:rFonts w:asciiTheme="majorHAnsi" w:hAnsiTheme="majorHAnsi"/>
                <w:b w:val="0"/>
              </w:rPr>
              <w:t xml:space="preserve">.  </w:t>
            </w:r>
            <w:r w:rsidRPr="00C56696">
              <w:rPr>
                <w:rFonts w:asciiTheme="majorHAnsi" w:hAnsiTheme="majorHAnsi"/>
                <w:b w:val="0"/>
              </w:rPr>
              <w:t>When the FCRA was introduced, Credit Rating Agencies said that people were not asking for their credit information; nevertheless, access rights were put in the law</w:t>
            </w:r>
            <w:r w:rsidR="005F2AF0" w:rsidRPr="00C56696">
              <w:rPr>
                <w:rFonts w:asciiTheme="majorHAnsi" w:hAnsiTheme="majorHAnsi"/>
                <w:b w:val="0"/>
              </w:rPr>
              <w:t xml:space="preserve">.  </w:t>
            </w:r>
            <w:r w:rsidRPr="00C56696">
              <w:rPr>
                <w:rFonts w:asciiTheme="majorHAnsi" w:hAnsiTheme="majorHAnsi"/>
                <w:b w:val="0"/>
              </w:rPr>
              <w:t>Today, 91% of people surveyed by the participant stated that it was important to find out to whom their personal information had been disclosed.</w:t>
            </w:r>
            <w:r w:rsidRPr="00C56696">
              <w:rPr>
                <w:rStyle w:val="FootnoteReference"/>
                <w:rFonts w:asciiTheme="majorHAnsi" w:hAnsiTheme="majorHAnsi"/>
                <w:b w:val="0"/>
              </w:rPr>
              <w:footnoteReference w:id="130"/>
            </w:r>
            <w:r w:rsidR="00C56696" w:rsidRPr="00C56696">
              <w:rPr>
                <w:rFonts w:asciiTheme="majorHAnsi" w:hAnsiTheme="majorHAnsi"/>
                <w:b w:val="0"/>
              </w:rPr>
              <w:t xml:space="preserve"> </w:t>
            </w:r>
            <w:r w:rsidRPr="00C56696">
              <w:rPr>
                <w:rFonts w:asciiTheme="majorHAnsi" w:hAnsiTheme="majorHAnsi"/>
                <w:b w:val="0"/>
              </w:rPr>
              <w:t xml:space="preserve"> Although the FCRA is a statute that frames acceptable uses of data, it provides consumers with transparency if data has an adverse impact on them</w:t>
            </w:r>
            <w:r w:rsidR="005F2AF0" w:rsidRPr="00C56696">
              <w:rPr>
                <w:rFonts w:asciiTheme="majorHAnsi" w:hAnsiTheme="majorHAnsi"/>
                <w:b w:val="0"/>
              </w:rPr>
              <w:t xml:space="preserve">.  </w:t>
            </w:r>
            <w:r w:rsidRPr="00C56696">
              <w:rPr>
                <w:rFonts w:asciiTheme="majorHAnsi" w:hAnsiTheme="majorHAnsi"/>
                <w:b w:val="0"/>
              </w:rPr>
              <w:t>Some cautioned that FCRA is tailored to particular circumstances and it may not scale well in the health arena.</w:t>
            </w:r>
            <w:r w:rsidRPr="00C56696">
              <w:rPr>
                <w:rStyle w:val="FootnoteReference"/>
                <w:rFonts w:asciiTheme="majorHAnsi" w:hAnsiTheme="majorHAnsi"/>
                <w:b w:val="0"/>
              </w:rPr>
              <w:footnoteReference w:id="131"/>
            </w:r>
            <w:r w:rsidRPr="00C56696">
              <w:rPr>
                <w:rStyle w:val="CommentReference"/>
                <w:rFonts w:asciiTheme="majorHAnsi" w:hAnsiTheme="majorHAnsi"/>
                <w:b w:val="0"/>
              </w:rPr>
              <w:t xml:space="preserve"> </w:t>
            </w:r>
            <w:r w:rsidR="00C56696" w:rsidRPr="00C56696">
              <w:rPr>
                <w:rStyle w:val="CommentReference"/>
                <w:rFonts w:asciiTheme="majorHAnsi" w:hAnsiTheme="majorHAnsi"/>
                <w:b w:val="0"/>
              </w:rPr>
              <w:t xml:space="preserve"> </w:t>
            </w:r>
          </w:p>
        </w:tc>
      </w:tr>
      <w:tr w:rsidR="00426BD7" w:rsidRPr="0016351D" w14:paraId="14BF1A53" w14:textId="77777777" w:rsidTr="00FE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Borders>
              <w:top w:val="none" w:sz="0" w:space="0" w:color="auto"/>
              <w:left w:val="none" w:sz="0" w:space="0" w:color="auto"/>
              <w:bottom w:val="none" w:sz="0" w:space="0" w:color="auto"/>
              <w:right w:val="none" w:sz="0" w:space="0" w:color="auto"/>
            </w:tcBorders>
            <w:shd w:val="clear" w:color="auto" w:fill="FFFFFF" w:themeFill="background1"/>
          </w:tcPr>
          <w:p w14:paraId="7DD6B856" w14:textId="6469E6E6" w:rsidR="00426BD7" w:rsidRPr="003E5204" w:rsidRDefault="00426BD7" w:rsidP="00636DDA">
            <w:pPr>
              <w:keepNext/>
              <w:rPr>
                <w:rFonts w:asciiTheme="majorHAnsi" w:hAnsiTheme="majorHAnsi"/>
                <w:b w:val="0"/>
                <w:bCs w:val="0"/>
              </w:rPr>
            </w:pPr>
            <w:r w:rsidRPr="00281740">
              <w:rPr>
                <w:rFonts w:asciiTheme="majorHAnsi" w:hAnsiTheme="majorHAnsi"/>
              </w:rPr>
              <w:lastRenderedPageBreak/>
              <w:t xml:space="preserve">Topic: </w:t>
            </w:r>
            <w:r w:rsidRPr="00426BD7">
              <w:rPr>
                <w:rFonts w:asciiTheme="majorHAnsi" w:hAnsiTheme="majorHAnsi"/>
              </w:rPr>
              <w:t>Collection, Use, and Purpose Limitation</w:t>
            </w:r>
            <w:r w:rsidRPr="00281740">
              <w:rPr>
                <w:rFonts w:asciiTheme="majorHAnsi" w:hAnsiTheme="majorHAnsi"/>
              </w:rPr>
              <w:t xml:space="preserve"> </w:t>
            </w:r>
          </w:p>
          <w:p w14:paraId="57A39B57" w14:textId="77777777" w:rsidR="00426BD7" w:rsidRPr="00636DDA" w:rsidRDefault="00426BD7" w:rsidP="00636DDA">
            <w:pPr>
              <w:keepNext/>
              <w:rPr>
                <w:rFonts w:asciiTheme="majorHAnsi" w:hAnsiTheme="majorHAnsi"/>
              </w:rPr>
            </w:pPr>
            <w:r w:rsidRPr="003E5204">
              <w:rPr>
                <w:rFonts w:asciiTheme="majorHAnsi" w:hAnsiTheme="majorHAnsi"/>
              </w:rPr>
              <w:t xml:space="preserve">Testimony: </w:t>
            </w:r>
          </w:p>
          <w:p w14:paraId="77C79F87" w14:textId="34F3664E" w:rsidR="00426BD7" w:rsidRPr="00C56696" w:rsidRDefault="00426BD7" w:rsidP="00746FA8">
            <w:pPr>
              <w:pStyle w:val="ListParagraph"/>
              <w:keepNext/>
              <w:numPr>
                <w:ilvl w:val="0"/>
                <w:numId w:val="34"/>
              </w:numPr>
              <w:rPr>
                <w:rFonts w:asciiTheme="majorHAnsi" w:hAnsiTheme="majorHAnsi"/>
                <w:b w:val="0"/>
              </w:rPr>
            </w:pPr>
            <w:r w:rsidRPr="00C56696">
              <w:rPr>
                <w:rFonts w:asciiTheme="majorHAnsi" w:hAnsiTheme="majorHAnsi"/>
                <w:b w:val="0"/>
              </w:rPr>
              <w:t>Organizations should ask themselves why they need the information they have collected, and they should avoid retaining data for some future, unnamed use simply because they think it might be valuable</w:t>
            </w:r>
            <w:r w:rsidR="005F2AF0" w:rsidRPr="00C56696">
              <w:rPr>
                <w:rFonts w:asciiTheme="majorHAnsi" w:hAnsiTheme="majorHAnsi"/>
                <w:b w:val="0"/>
              </w:rPr>
              <w:t xml:space="preserve">.  </w:t>
            </w:r>
            <w:r w:rsidRPr="00C56696">
              <w:rPr>
                <w:rFonts w:asciiTheme="majorHAnsi" w:hAnsiTheme="majorHAnsi"/>
                <w:b w:val="0"/>
              </w:rPr>
              <w:t>Specifically with regard to health data, there should be a requirement to delimit the collection and use of data, and it is not acceptable to retain data for an unknown purpose.</w:t>
            </w:r>
            <w:r w:rsidRPr="00C56696">
              <w:rPr>
                <w:rStyle w:val="FootnoteReference"/>
                <w:rFonts w:asciiTheme="majorHAnsi" w:hAnsiTheme="majorHAnsi"/>
                <w:b w:val="0"/>
              </w:rPr>
              <w:footnoteReference w:id="132"/>
            </w:r>
          </w:p>
          <w:p w14:paraId="403FE4EB" w14:textId="77777777" w:rsidR="00426BD7" w:rsidRPr="00C56696" w:rsidRDefault="00426BD7" w:rsidP="004817E4">
            <w:pPr>
              <w:pStyle w:val="ListParagraph"/>
              <w:keepNext/>
              <w:numPr>
                <w:ilvl w:val="0"/>
                <w:numId w:val="34"/>
              </w:numPr>
              <w:rPr>
                <w:rFonts w:asciiTheme="majorHAnsi" w:hAnsiTheme="majorHAnsi"/>
                <w:b w:val="0"/>
              </w:rPr>
            </w:pPr>
            <w:r w:rsidRPr="00C56696">
              <w:rPr>
                <w:rFonts w:asciiTheme="majorHAnsi" w:hAnsiTheme="majorHAnsi"/>
                <w:b w:val="0"/>
              </w:rPr>
              <w:t>Concerning use limitation, participants discussed the difficultly in clearly defining acceptable and unacceptable uses of health information in big data analytics.</w:t>
            </w:r>
            <w:r w:rsidRPr="00C56696">
              <w:rPr>
                <w:rStyle w:val="FootnoteReference"/>
                <w:rFonts w:asciiTheme="majorHAnsi" w:hAnsiTheme="majorHAnsi"/>
                <w:b w:val="0"/>
              </w:rPr>
              <w:footnoteReference w:id="133"/>
            </w:r>
            <w:r w:rsidRPr="00C56696">
              <w:rPr>
                <w:rFonts w:asciiTheme="majorHAnsi" w:hAnsiTheme="majorHAnsi"/>
                <w:b w:val="0"/>
              </w:rPr>
              <w:t xml:space="preserve"> Nevertheless, one panelist offered the following recommendations for processing electronic health data:</w:t>
            </w:r>
          </w:p>
          <w:p w14:paraId="6E3DF458" w14:textId="77777777" w:rsidR="00426BD7" w:rsidRPr="00C56696" w:rsidRDefault="00426BD7" w:rsidP="004817E4">
            <w:pPr>
              <w:pStyle w:val="ListParagraph"/>
              <w:keepNext/>
              <w:numPr>
                <w:ilvl w:val="1"/>
                <w:numId w:val="34"/>
              </w:numPr>
              <w:rPr>
                <w:rFonts w:asciiTheme="majorHAnsi" w:hAnsiTheme="majorHAnsi"/>
                <w:b w:val="0"/>
              </w:rPr>
            </w:pPr>
            <w:r w:rsidRPr="00C56696">
              <w:rPr>
                <w:rFonts w:asciiTheme="majorHAnsi" w:hAnsiTheme="majorHAnsi"/>
                <w:b w:val="0"/>
              </w:rPr>
              <w:t>As a general principle, the minimum necessary amount of identifiable data should be used to answer a question;</w:t>
            </w:r>
          </w:p>
          <w:p w14:paraId="59D3C02A" w14:textId="77777777" w:rsidR="00426BD7" w:rsidRPr="00C56696" w:rsidRDefault="00426BD7" w:rsidP="004817E4">
            <w:pPr>
              <w:pStyle w:val="ListParagraph"/>
              <w:keepNext/>
              <w:numPr>
                <w:ilvl w:val="1"/>
                <w:numId w:val="34"/>
              </w:numPr>
              <w:rPr>
                <w:rFonts w:asciiTheme="majorHAnsi" w:hAnsiTheme="majorHAnsi"/>
                <w:b w:val="0"/>
              </w:rPr>
            </w:pPr>
            <w:r w:rsidRPr="00C56696">
              <w:rPr>
                <w:rFonts w:asciiTheme="majorHAnsi" w:hAnsiTheme="majorHAnsi"/>
                <w:b w:val="0"/>
              </w:rPr>
              <w:t>There should be good processes for approval and oversight; and</w:t>
            </w:r>
          </w:p>
          <w:p w14:paraId="662E2E9D" w14:textId="2075A58C" w:rsidR="00426BD7" w:rsidRPr="005B6247" w:rsidRDefault="00426BD7" w:rsidP="00126248">
            <w:pPr>
              <w:pStyle w:val="ListParagraph"/>
              <w:keepNext/>
              <w:numPr>
                <w:ilvl w:val="1"/>
                <w:numId w:val="34"/>
              </w:numPr>
              <w:rPr>
                <w:rFonts w:asciiTheme="majorHAnsi" w:hAnsiTheme="majorHAnsi"/>
                <w:b w:val="0"/>
              </w:rPr>
            </w:pPr>
            <w:r w:rsidRPr="00C56696">
              <w:rPr>
                <w:rFonts w:asciiTheme="majorHAnsi" w:hAnsiTheme="majorHAnsi"/>
                <w:b w:val="0"/>
              </w:rPr>
              <w:t>The uses of data should be stated publicly and the number of individuals who have access to identifiable data should be minimized.</w:t>
            </w:r>
            <w:r w:rsidRPr="00C56696">
              <w:rPr>
                <w:rStyle w:val="FootnoteReference"/>
                <w:rFonts w:asciiTheme="majorHAnsi" w:hAnsiTheme="majorHAnsi"/>
                <w:b w:val="0"/>
              </w:rPr>
              <w:footnoteReference w:id="134"/>
            </w:r>
          </w:p>
        </w:tc>
      </w:tr>
      <w:tr w:rsidR="00426BD7" w:rsidRPr="0016351D" w14:paraId="65F294D7" w14:textId="77777777" w:rsidTr="00FE28A1">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5BAB9E46" w14:textId="3C9A24B4" w:rsidR="00426BD7" w:rsidRPr="003E5204" w:rsidRDefault="00426BD7" w:rsidP="00636DDA">
            <w:pPr>
              <w:rPr>
                <w:rFonts w:asciiTheme="majorHAnsi" w:hAnsiTheme="majorHAnsi"/>
                <w:b w:val="0"/>
                <w:bCs w:val="0"/>
              </w:rPr>
            </w:pPr>
            <w:r w:rsidRPr="00281740">
              <w:rPr>
                <w:rFonts w:asciiTheme="majorHAnsi" w:hAnsiTheme="majorHAnsi"/>
              </w:rPr>
              <w:t xml:space="preserve">Topic: </w:t>
            </w:r>
            <w:r w:rsidRPr="00426BD7">
              <w:rPr>
                <w:rFonts w:asciiTheme="majorHAnsi" w:hAnsiTheme="majorHAnsi"/>
              </w:rPr>
              <w:t>Privacy Harms</w:t>
            </w:r>
            <w:r w:rsidRPr="00281740">
              <w:rPr>
                <w:rFonts w:asciiTheme="majorHAnsi" w:hAnsiTheme="majorHAnsi"/>
              </w:rPr>
              <w:t xml:space="preserve"> </w:t>
            </w:r>
          </w:p>
          <w:p w14:paraId="0B7DD6D2" w14:textId="4BF3C406" w:rsidR="00426BD7" w:rsidRPr="00636DDA" w:rsidRDefault="00426BD7" w:rsidP="00636DDA">
            <w:pPr>
              <w:rPr>
                <w:rFonts w:asciiTheme="majorHAnsi" w:hAnsiTheme="majorHAnsi"/>
              </w:rPr>
            </w:pPr>
            <w:r w:rsidRPr="003E5204">
              <w:rPr>
                <w:rFonts w:asciiTheme="majorHAnsi" w:hAnsiTheme="majorHAnsi"/>
              </w:rPr>
              <w:t>Testimony</w:t>
            </w:r>
            <w:r w:rsidRPr="007352E2">
              <w:rPr>
                <w:rFonts w:asciiTheme="majorHAnsi" w:hAnsiTheme="majorHAnsi"/>
              </w:rPr>
              <w:t xml:space="preserve">: </w:t>
            </w:r>
          </w:p>
          <w:p w14:paraId="59260051" w14:textId="75A6E651" w:rsidR="00426BD7" w:rsidRPr="00C56696" w:rsidRDefault="00426BD7" w:rsidP="00846E17">
            <w:pPr>
              <w:pStyle w:val="ListParagraph"/>
              <w:numPr>
                <w:ilvl w:val="0"/>
                <w:numId w:val="3"/>
              </w:numPr>
              <w:ind w:left="342"/>
              <w:rPr>
                <w:rFonts w:asciiTheme="majorHAnsi" w:hAnsiTheme="majorHAnsi"/>
                <w:b w:val="0"/>
              </w:rPr>
            </w:pPr>
            <w:r w:rsidRPr="00C56696">
              <w:rPr>
                <w:rFonts w:asciiTheme="majorHAnsi" w:hAnsiTheme="majorHAnsi"/>
                <w:b w:val="0"/>
              </w:rPr>
              <w:t>It is very difficult to define or put a frame around what is privacy harm.</w:t>
            </w:r>
            <w:r w:rsidRPr="00C56696">
              <w:rPr>
                <w:rStyle w:val="FootnoteReference"/>
                <w:rFonts w:asciiTheme="majorHAnsi" w:hAnsiTheme="majorHAnsi"/>
                <w:b w:val="0"/>
              </w:rPr>
              <w:footnoteReference w:id="135"/>
            </w:r>
            <w:r w:rsidRPr="00C56696">
              <w:rPr>
                <w:rFonts w:asciiTheme="majorHAnsi" w:hAnsiTheme="majorHAnsi"/>
                <w:b w:val="0"/>
              </w:rPr>
              <w:t xml:space="preserve"> It is similarly difficult to define acceptable uses of data because such an evaluation is naturally subjective, culturally specific, and will change over time.</w:t>
            </w:r>
            <w:r w:rsidRPr="00C56696">
              <w:rPr>
                <w:rStyle w:val="FootnoteReference"/>
                <w:rFonts w:asciiTheme="majorHAnsi" w:hAnsiTheme="majorHAnsi"/>
                <w:b w:val="0"/>
              </w:rPr>
              <w:footnoteReference w:id="136"/>
            </w:r>
            <w:r w:rsidRPr="00C56696">
              <w:rPr>
                <w:rFonts w:asciiTheme="majorHAnsi" w:hAnsiTheme="majorHAnsi"/>
                <w:b w:val="0"/>
              </w:rPr>
              <w:t xml:space="preserve">  </w:t>
            </w:r>
          </w:p>
          <w:p w14:paraId="21E7117F" w14:textId="3EB2577C" w:rsidR="00426BD7" w:rsidRPr="00C56696" w:rsidRDefault="00426BD7" w:rsidP="008143CB">
            <w:pPr>
              <w:pStyle w:val="ListParagraph"/>
              <w:numPr>
                <w:ilvl w:val="0"/>
                <w:numId w:val="3"/>
              </w:numPr>
              <w:ind w:left="342"/>
              <w:rPr>
                <w:rFonts w:asciiTheme="majorHAnsi" w:hAnsiTheme="majorHAnsi"/>
                <w:b w:val="0"/>
              </w:rPr>
            </w:pPr>
            <w:r w:rsidRPr="00C56696">
              <w:rPr>
                <w:rFonts w:asciiTheme="majorHAnsi" w:hAnsiTheme="majorHAnsi"/>
                <w:b w:val="0"/>
              </w:rPr>
              <w:lastRenderedPageBreak/>
              <w:t>Current rules, such as HIPAA and the Common Rule, cover permitted uses, but they do not enumerate “non-permitted abuses.”</w:t>
            </w:r>
            <w:r w:rsidRPr="00C56696">
              <w:rPr>
                <w:rStyle w:val="FootnoteReference"/>
                <w:rFonts w:asciiTheme="majorHAnsi" w:hAnsiTheme="majorHAnsi"/>
                <w:b w:val="0"/>
              </w:rPr>
              <w:footnoteReference w:id="137"/>
            </w:r>
            <w:r w:rsidRPr="00C56696">
              <w:rPr>
                <w:rFonts w:asciiTheme="majorHAnsi" w:hAnsiTheme="majorHAnsi"/>
                <w:b w:val="0"/>
              </w:rPr>
              <w:t xml:space="preserve"> </w:t>
            </w:r>
            <w:r w:rsidR="00C56696">
              <w:rPr>
                <w:rFonts w:asciiTheme="majorHAnsi" w:hAnsiTheme="majorHAnsi"/>
                <w:b w:val="0"/>
              </w:rPr>
              <w:t xml:space="preserve"> </w:t>
            </w:r>
            <w:r w:rsidRPr="00C56696">
              <w:rPr>
                <w:rFonts w:asciiTheme="majorHAnsi" w:hAnsiTheme="majorHAnsi"/>
                <w:b w:val="0"/>
              </w:rPr>
              <w:t>One participant stated that commercial use of personal information, without a clear disclosure, could be viewed as harmful</w:t>
            </w:r>
            <w:r w:rsidR="005F2AF0" w:rsidRPr="00C56696">
              <w:rPr>
                <w:rFonts w:asciiTheme="majorHAnsi" w:hAnsiTheme="majorHAnsi"/>
                <w:b w:val="0"/>
              </w:rPr>
              <w:t xml:space="preserve">.  </w:t>
            </w:r>
            <w:r w:rsidRPr="00C56696">
              <w:rPr>
                <w:rFonts w:asciiTheme="majorHAnsi" w:hAnsiTheme="majorHAnsi"/>
                <w:b w:val="0"/>
              </w:rPr>
              <w:t>Additionally, any sort of discrimination or denial of opportunity, such as the loss of employment or insurance, or any public embarrassment would be classified as harmful.</w:t>
            </w:r>
            <w:r w:rsidRPr="00C56696">
              <w:rPr>
                <w:rStyle w:val="FootnoteReference"/>
                <w:rFonts w:asciiTheme="majorHAnsi" w:hAnsiTheme="majorHAnsi"/>
                <w:b w:val="0"/>
              </w:rPr>
              <w:footnoteReference w:id="138"/>
            </w:r>
            <w:r w:rsidRPr="00C56696">
              <w:rPr>
                <w:rFonts w:asciiTheme="majorHAnsi" w:hAnsiTheme="majorHAnsi"/>
                <w:b w:val="0"/>
              </w:rPr>
              <w:t xml:space="preserve"> </w:t>
            </w:r>
            <w:r w:rsidR="00C56696">
              <w:rPr>
                <w:rFonts w:asciiTheme="majorHAnsi" w:hAnsiTheme="majorHAnsi"/>
                <w:b w:val="0"/>
              </w:rPr>
              <w:t xml:space="preserve"> </w:t>
            </w:r>
            <w:r w:rsidRPr="00C56696">
              <w:rPr>
                <w:rFonts w:asciiTheme="majorHAnsi" w:hAnsiTheme="majorHAnsi"/>
                <w:b w:val="0"/>
              </w:rPr>
              <w:t>Still others distinguished between focusing on harms and focusing on rights; thus, any collection, compilation, or sharing of data in violation of a person’s rights could be harmful, even if the harm is not immediately visible.</w:t>
            </w:r>
            <w:r w:rsidRPr="00C56696">
              <w:rPr>
                <w:rStyle w:val="FootnoteReference"/>
                <w:rFonts w:asciiTheme="majorHAnsi" w:hAnsiTheme="majorHAnsi"/>
                <w:b w:val="0"/>
              </w:rPr>
              <w:footnoteReference w:id="139"/>
            </w:r>
          </w:p>
          <w:p w14:paraId="38970875" w14:textId="77777777" w:rsidR="00426BD7" w:rsidRPr="00C56696" w:rsidRDefault="00426BD7" w:rsidP="00305BA5">
            <w:pPr>
              <w:pStyle w:val="ListParagraph"/>
              <w:numPr>
                <w:ilvl w:val="0"/>
                <w:numId w:val="3"/>
              </w:numPr>
              <w:ind w:left="342"/>
              <w:rPr>
                <w:rFonts w:asciiTheme="majorHAnsi" w:hAnsiTheme="majorHAnsi"/>
                <w:b w:val="0"/>
              </w:rPr>
            </w:pPr>
            <w:r w:rsidRPr="00C56696">
              <w:rPr>
                <w:rFonts w:asciiTheme="majorHAnsi" w:hAnsiTheme="majorHAnsi"/>
                <w:b w:val="0"/>
              </w:rPr>
              <w:t>In one survey, when people were asked about their greatest concern regarding the use of their health information, their top concern was that they would be contacted.</w:t>
            </w:r>
            <w:r w:rsidRPr="00C56696">
              <w:rPr>
                <w:rStyle w:val="FootnoteReference"/>
                <w:rFonts w:asciiTheme="majorHAnsi" w:hAnsiTheme="majorHAnsi"/>
                <w:b w:val="0"/>
              </w:rPr>
              <w:footnoteReference w:id="140"/>
            </w:r>
          </w:p>
          <w:p w14:paraId="5F15E4AC" w14:textId="5BB441AB" w:rsidR="00426BD7" w:rsidRPr="00C56696" w:rsidRDefault="00426BD7" w:rsidP="00126248">
            <w:pPr>
              <w:pStyle w:val="ListParagraph"/>
              <w:numPr>
                <w:ilvl w:val="0"/>
                <w:numId w:val="3"/>
              </w:numPr>
              <w:ind w:left="342"/>
              <w:rPr>
                <w:rFonts w:asciiTheme="majorHAnsi" w:hAnsiTheme="majorHAnsi"/>
                <w:b w:val="0"/>
              </w:rPr>
            </w:pPr>
            <w:r w:rsidRPr="00C56696">
              <w:rPr>
                <w:rFonts w:asciiTheme="majorHAnsi" w:hAnsiTheme="majorHAnsi"/>
                <w:b w:val="0"/>
              </w:rPr>
              <w:t>To arrive at a consensus around harms or non-permitted abuses, an effort could be made to identify laws that may already prohibit certain activities, identify gaps, and catalogue federal laws with non-discrimination provisions.</w:t>
            </w:r>
            <w:r w:rsidRPr="00C56696">
              <w:rPr>
                <w:rStyle w:val="FootnoteReference"/>
                <w:rFonts w:asciiTheme="majorHAnsi" w:hAnsiTheme="majorHAnsi"/>
                <w:b w:val="0"/>
              </w:rPr>
              <w:footnoteReference w:id="141"/>
            </w:r>
            <w:r w:rsidRPr="00C56696">
              <w:rPr>
                <w:rFonts w:asciiTheme="majorHAnsi" w:hAnsiTheme="majorHAnsi"/>
                <w:b w:val="0"/>
              </w:rPr>
              <w:t xml:space="preserve"> Additionally, the FTC can help can help identify boundaries through the cases it pursues under its ability to combat unfairness and deception.</w:t>
            </w:r>
            <w:r w:rsidRPr="00C56696">
              <w:rPr>
                <w:rStyle w:val="FootnoteReference"/>
                <w:rFonts w:asciiTheme="majorHAnsi" w:hAnsiTheme="majorHAnsi"/>
                <w:b w:val="0"/>
              </w:rPr>
              <w:footnoteReference w:id="142"/>
            </w:r>
          </w:p>
        </w:tc>
      </w:tr>
      <w:tr w:rsidR="00426BD7" w:rsidRPr="0016351D" w14:paraId="2CD4AE8C" w14:textId="77777777" w:rsidTr="00FE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Borders>
              <w:top w:val="none" w:sz="0" w:space="0" w:color="auto"/>
              <w:left w:val="none" w:sz="0" w:space="0" w:color="auto"/>
              <w:bottom w:val="none" w:sz="0" w:space="0" w:color="auto"/>
              <w:right w:val="none" w:sz="0" w:space="0" w:color="auto"/>
            </w:tcBorders>
            <w:shd w:val="clear" w:color="auto" w:fill="FFFFFF" w:themeFill="background1"/>
          </w:tcPr>
          <w:p w14:paraId="619CD173" w14:textId="45E7F5B5" w:rsidR="00426BD7" w:rsidRPr="003E5204" w:rsidRDefault="00426BD7" w:rsidP="00967746">
            <w:pPr>
              <w:rPr>
                <w:rFonts w:asciiTheme="majorHAnsi" w:hAnsiTheme="majorHAnsi"/>
                <w:b w:val="0"/>
                <w:bCs w:val="0"/>
              </w:rPr>
            </w:pPr>
            <w:r w:rsidRPr="00281740">
              <w:rPr>
                <w:rFonts w:asciiTheme="majorHAnsi" w:hAnsiTheme="majorHAnsi"/>
              </w:rPr>
              <w:lastRenderedPageBreak/>
              <w:t xml:space="preserve">Topic: </w:t>
            </w:r>
            <w:r w:rsidRPr="00426BD7">
              <w:rPr>
                <w:rFonts w:asciiTheme="majorHAnsi" w:hAnsiTheme="majorHAnsi"/>
              </w:rPr>
              <w:t>Complex Legal Landscape</w:t>
            </w:r>
            <w:r w:rsidRPr="00281740">
              <w:rPr>
                <w:rFonts w:asciiTheme="majorHAnsi" w:hAnsiTheme="majorHAnsi"/>
              </w:rPr>
              <w:t xml:space="preserve"> </w:t>
            </w:r>
          </w:p>
          <w:p w14:paraId="53398337" w14:textId="023EF5F1" w:rsidR="00426BD7" w:rsidRPr="00967746" w:rsidRDefault="00426BD7" w:rsidP="00967746">
            <w:pPr>
              <w:rPr>
                <w:rFonts w:asciiTheme="majorHAnsi" w:hAnsiTheme="majorHAnsi"/>
              </w:rPr>
            </w:pPr>
            <w:r w:rsidRPr="003E5204">
              <w:rPr>
                <w:rFonts w:asciiTheme="majorHAnsi" w:hAnsiTheme="majorHAnsi"/>
              </w:rPr>
              <w:t>Testimony</w:t>
            </w:r>
            <w:r w:rsidRPr="007352E2">
              <w:rPr>
                <w:rFonts w:asciiTheme="majorHAnsi" w:hAnsiTheme="majorHAnsi"/>
              </w:rPr>
              <w:t xml:space="preserve">: </w:t>
            </w:r>
          </w:p>
          <w:p w14:paraId="2D06073E" w14:textId="606BBB1B" w:rsidR="00426BD7" w:rsidRPr="00C56696" w:rsidRDefault="00426BD7" w:rsidP="007E4CD8">
            <w:pPr>
              <w:pStyle w:val="ListParagraph"/>
              <w:numPr>
                <w:ilvl w:val="0"/>
                <w:numId w:val="35"/>
              </w:numPr>
              <w:rPr>
                <w:rFonts w:asciiTheme="majorHAnsi" w:hAnsiTheme="majorHAnsi"/>
                <w:b w:val="0"/>
              </w:rPr>
            </w:pPr>
            <w:r w:rsidRPr="00C56696">
              <w:rPr>
                <w:rFonts w:asciiTheme="majorHAnsi" w:hAnsiTheme="majorHAnsi"/>
                <w:b w:val="0"/>
              </w:rPr>
              <w:t>There continues to be a lack of clarity and understanding of privacy and security laws and rules.</w:t>
            </w:r>
            <w:r w:rsidRPr="00C56696">
              <w:rPr>
                <w:rStyle w:val="FootnoteReference"/>
                <w:rFonts w:asciiTheme="majorHAnsi" w:hAnsiTheme="majorHAnsi"/>
                <w:b w:val="0"/>
              </w:rPr>
              <w:footnoteReference w:id="143"/>
            </w:r>
            <w:r w:rsidRPr="00C56696">
              <w:rPr>
                <w:rFonts w:asciiTheme="majorHAnsi" w:hAnsiTheme="majorHAnsi"/>
                <w:b w:val="0"/>
              </w:rPr>
              <w:t xml:space="preserve"> </w:t>
            </w:r>
          </w:p>
          <w:p w14:paraId="5B509762" w14:textId="77777777" w:rsidR="00426BD7" w:rsidRPr="00C56696" w:rsidRDefault="00426BD7" w:rsidP="007E4CD8">
            <w:pPr>
              <w:pStyle w:val="ListParagraph"/>
              <w:numPr>
                <w:ilvl w:val="0"/>
                <w:numId w:val="35"/>
              </w:numPr>
              <w:rPr>
                <w:rFonts w:asciiTheme="majorHAnsi" w:hAnsiTheme="majorHAnsi" w:cs="Times"/>
                <w:b w:val="0"/>
              </w:rPr>
            </w:pPr>
            <w:r w:rsidRPr="00C56696">
              <w:rPr>
                <w:rFonts w:asciiTheme="majorHAnsi" w:hAnsiTheme="majorHAnsi"/>
                <w:b w:val="0"/>
              </w:rPr>
              <w:t>Legal coverage is extensive and even contradictory in some areas (e.g., research under HIPAA and the Common Rule), while there are significant gaps in coverage other areas.</w:t>
            </w:r>
            <w:r w:rsidRPr="00C56696">
              <w:rPr>
                <w:rStyle w:val="FootnoteReference"/>
                <w:rFonts w:asciiTheme="majorHAnsi" w:hAnsiTheme="majorHAnsi"/>
                <w:b w:val="0"/>
              </w:rPr>
              <w:footnoteReference w:id="144"/>
            </w:r>
            <w:r w:rsidRPr="00C56696">
              <w:rPr>
                <w:rFonts w:asciiTheme="majorHAnsi" w:hAnsiTheme="majorHAnsi" w:cs="Times"/>
                <w:b w:val="0"/>
              </w:rPr>
              <w:t xml:space="preserve"> </w:t>
            </w:r>
          </w:p>
          <w:p w14:paraId="3DCC7DD7" w14:textId="77777777" w:rsidR="00426BD7" w:rsidRPr="00C56696" w:rsidRDefault="00426BD7" w:rsidP="007E4CD8">
            <w:pPr>
              <w:pStyle w:val="ListParagraph"/>
              <w:numPr>
                <w:ilvl w:val="0"/>
                <w:numId w:val="35"/>
              </w:numPr>
              <w:rPr>
                <w:rFonts w:asciiTheme="majorHAnsi" w:hAnsiTheme="majorHAnsi"/>
                <w:b w:val="0"/>
              </w:rPr>
            </w:pPr>
            <w:r w:rsidRPr="00C56696">
              <w:rPr>
                <w:rFonts w:asciiTheme="majorHAnsi" w:hAnsiTheme="majorHAnsi"/>
                <w:b w:val="0"/>
              </w:rPr>
              <w:t>Many state laws add complexity, and these laws can be confusing, outdated, and seldom enforced.</w:t>
            </w:r>
            <w:r w:rsidRPr="00C56696">
              <w:rPr>
                <w:rStyle w:val="FootnoteReference"/>
                <w:rFonts w:asciiTheme="majorHAnsi" w:hAnsiTheme="majorHAnsi"/>
                <w:b w:val="0"/>
              </w:rPr>
              <w:footnoteReference w:id="145"/>
            </w:r>
          </w:p>
          <w:p w14:paraId="6E040F87" w14:textId="4AD8233A" w:rsidR="00426BD7" w:rsidRPr="005B6247" w:rsidRDefault="00426BD7" w:rsidP="003F1D3C">
            <w:pPr>
              <w:pStyle w:val="ListParagraph"/>
              <w:numPr>
                <w:ilvl w:val="0"/>
                <w:numId w:val="35"/>
              </w:numPr>
              <w:rPr>
                <w:rFonts w:asciiTheme="majorHAnsi" w:hAnsiTheme="majorHAnsi"/>
                <w:b w:val="0"/>
              </w:rPr>
            </w:pPr>
            <w:r w:rsidRPr="00C56696">
              <w:rPr>
                <w:rFonts w:asciiTheme="majorHAnsi" w:hAnsiTheme="majorHAnsi"/>
                <w:b w:val="0"/>
              </w:rPr>
              <w:t xml:space="preserve">HIPAA applies only to covered entities (health plans, health care clearinghouses, </w:t>
            </w:r>
            <w:proofErr w:type="gramStart"/>
            <w:r w:rsidRPr="00C56696">
              <w:rPr>
                <w:rFonts w:asciiTheme="majorHAnsi" w:hAnsiTheme="majorHAnsi"/>
                <w:b w:val="0"/>
              </w:rPr>
              <w:t>health</w:t>
            </w:r>
            <w:proofErr w:type="gramEnd"/>
            <w:r w:rsidRPr="00C56696">
              <w:rPr>
                <w:rFonts w:asciiTheme="majorHAnsi" w:hAnsiTheme="majorHAnsi"/>
                <w:b w:val="0"/>
              </w:rPr>
              <w:t xml:space="preserve"> care providers) and business associates acting directly on their behalf</w:t>
            </w:r>
            <w:r w:rsidR="005F2AF0" w:rsidRPr="00C56696">
              <w:rPr>
                <w:rFonts w:asciiTheme="majorHAnsi" w:hAnsiTheme="majorHAnsi"/>
                <w:b w:val="0"/>
              </w:rPr>
              <w:t xml:space="preserve">.  </w:t>
            </w:r>
            <w:r w:rsidRPr="00C56696">
              <w:rPr>
                <w:rFonts w:asciiTheme="majorHAnsi" w:hAnsiTheme="majorHAnsi"/>
                <w:b w:val="0"/>
              </w:rPr>
              <w:t>The bulk of health-related data being generated today falls outside of HIPAA regulation.</w:t>
            </w:r>
            <w:r w:rsidRPr="00C56696">
              <w:rPr>
                <w:rStyle w:val="FootnoteReference"/>
                <w:rFonts w:asciiTheme="majorHAnsi" w:hAnsiTheme="majorHAnsi"/>
                <w:b w:val="0"/>
              </w:rPr>
              <w:footnoteReference w:id="146"/>
            </w:r>
          </w:p>
        </w:tc>
      </w:tr>
      <w:tr w:rsidR="00426BD7" w:rsidRPr="0016351D" w14:paraId="7992E2A0" w14:textId="77777777" w:rsidTr="00FE28A1">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29240847" w14:textId="675B68AA" w:rsidR="00426BD7" w:rsidRPr="003E5204" w:rsidRDefault="00426BD7" w:rsidP="00967746">
            <w:pPr>
              <w:ind w:left="-18"/>
              <w:rPr>
                <w:rFonts w:asciiTheme="majorHAnsi" w:hAnsiTheme="majorHAnsi"/>
                <w:b w:val="0"/>
                <w:bCs w:val="0"/>
              </w:rPr>
            </w:pPr>
            <w:r w:rsidRPr="00281740">
              <w:rPr>
                <w:rFonts w:asciiTheme="majorHAnsi" w:hAnsiTheme="majorHAnsi"/>
              </w:rPr>
              <w:lastRenderedPageBreak/>
              <w:t xml:space="preserve">Topic: </w:t>
            </w:r>
            <w:r w:rsidRPr="00426BD7">
              <w:rPr>
                <w:rFonts w:asciiTheme="majorHAnsi" w:hAnsiTheme="majorHAnsi"/>
              </w:rPr>
              <w:t>Access to Information</w:t>
            </w:r>
            <w:r w:rsidRPr="00281740">
              <w:rPr>
                <w:rFonts w:asciiTheme="majorHAnsi" w:hAnsiTheme="majorHAnsi"/>
              </w:rPr>
              <w:t xml:space="preserve"> </w:t>
            </w:r>
          </w:p>
          <w:p w14:paraId="338F7B0B" w14:textId="386E57DD" w:rsidR="00426BD7" w:rsidRPr="00967746" w:rsidRDefault="00426BD7" w:rsidP="00967746">
            <w:pPr>
              <w:ind w:left="-18"/>
              <w:rPr>
                <w:rFonts w:asciiTheme="majorHAnsi" w:hAnsiTheme="majorHAnsi"/>
              </w:rPr>
            </w:pPr>
            <w:r w:rsidRPr="003E5204">
              <w:rPr>
                <w:rFonts w:asciiTheme="majorHAnsi" w:hAnsiTheme="majorHAnsi"/>
              </w:rPr>
              <w:t>Testimony</w:t>
            </w:r>
            <w:r w:rsidRPr="007352E2">
              <w:rPr>
                <w:rFonts w:asciiTheme="majorHAnsi" w:hAnsiTheme="majorHAnsi"/>
              </w:rPr>
              <w:t xml:space="preserve">: </w:t>
            </w:r>
          </w:p>
          <w:p w14:paraId="00D05730" w14:textId="0B731D57" w:rsidR="00426BD7" w:rsidRPr="00C56696" w:rsidRDefault="00426BD7" w:rsidP="007E4CD8">
            <w:pPr>
              <w:pStyle w:val="ListParagraph"/>
              <w:numPr>
                <w:ilvl w:val="0"/>
                <w:numId w:val="37"/>
              </w:numPr>
              <w:rPr>
                <w:rFonts w:asciiTheme="majorHAnsi" w:hAnsiTheme="majorHAnsi"/>
                <w:b w:val="0"/>
              </w:rPr>
            </w:pPr>
            <w:r w:rsidRPr="00C56696">
              <w:rPr>
                <w:rFonts w:asciiTheme="majorHAnsi" w:hAnsiTheme="majorHAnsi"/>
                <w:b w:val="0"/>
              </w:rPr>
              <w:t>Generally, there is a need for greater data liquidity</w:t>
            </w:r>
            <w:r w:rsidR="005F2AF0" w:rsidRPr="00C56696">
              <w:rPr>
                <w:rFonts w:asciiTheme="majorHAnsi" w:hAnsiTheme="majorHAnsi"/>
                <w:b w:val="0"/>
              </w:rPr>
              <w:t xml:space="preserve">.  </w:t>
            </w:r>
            <w:r w:rsidRPr="00C56696">
              <w:rPr>
                <w:rFonts w:asciiTheme="majorHAnsi" w:hAnsiTheme="majorHAnsi"/>
                <w:b w:val="0"/>
              </w:rPr>
              <w:t>On a personal level, patients want to access and combine their data in meaningful ways, but they face significant impediments</w:t>
            </w:r>
            <w:r w:rsidR="005F2AF0" w:rsidRPr="00C56696">
              <w:rPr>
                <w:rFonts w:asciiTheme="majorHAnsi" w:hAnsiTheme="majorHAnsi"/>
                <w:b w:val="0"/>
              </w:rPr>
              <w:t xml:space="preserve">.  </w:t>
            </w:r>
            <w:r w:rsidRPr="00C56696">
              <w:rPr>
                <w:rFonts w:asciiTheme="majorHAnsi" w:hAnsiTheme="majorHAnsi"/>
                <w:b w:val="0"/>
              </w:rPr>
              <w:t>Privacy and security are seen as some of the biggest burdens/barriers.</w:t>
            </w:r>
            <w:r w:rsidRPr="00C56696">
              <w:rPr>
                <w:rStyle w:val="FootnoteReference"/>
                <w:rFonts w:asciiTheme="majorHAnsi" w:hAnsiTheme="majorHAnsi"/>
                <w:b w:val="0"/>
              </w:rPr>
              <w:footnoteReference w:id="147"/>
            </w:r>
          </w:p>
          <w:p w14:paraId="53AD787F" w14:textId="6111B302" w:rsidR="00426BD7" w:rsidRPr="00C56696" w:rsidRDefault="00426BD7" w:rsidP="007E4CD8">
            <w:pPr>
              <w:pStyle w:val="ListParagraph"/>
              <w:numPr>
                <w:ilvl w:val="0"/>
                <w:numId w:val="37"/>
              </w:numPr>
              <w:rPr>
                <w:rFonts w:asciiTheme="majorHAnsi" w:hAnsiTheme="majorHAnsi"/>
                <w:b w:val="0"/>
              </w:rPr>
            </w:pPr>
            <w:r w:rsidRPr="00C56696">
              <w:rPr>
                <w:rFonts w:asciiTheme="majorHAnsi" w:hAnsiTheme="majorHAnsi"/>
                <w:b w:val="0"/>
              </w:rPr>
              <w:t>Public access to data is also very important</w:t>
            </w:r>
            <w:r w:rsidR="005F2AF0" w:rsidRPr="00C56696">
              <w:rPr>
                <w:rFonts w:asciiTheme="majorHAnsi" w:hAnsiTheme="majorHAnsi"/>
                <w:b w:val="0"/>
              </w:rPr>
              <w:t xml:space="preserve">.  </w:t>
            </w:r>
            <w:r w:rsidRPr="00C56696">
              <w:rPr>
                <w:rFonts w:asciiTheme="majorHAnsi" w:hAnsiTheme="majorHAnsi"/>
                <w:b w:val="0"/>
              </w:rPr>
              <w:t>Health data can be viewed as a social asset; there is a social responsibility to give back to the community by making data available to researchers and to patient groups.</w:t>
            </w:r>
            <w:r w:rsidRPr="00C56696">
              <w:rPr>
                <w:rStyle w:val="FootnoteReference"/>
                <w:rFonts w:asciiTheme="majorHAnsi" w:hAnsiTheme="majorHAnsi"/>
                <w:b w:val="0"/>
              </w:rPr>
              <w:footnoteReference w:id="148"/>
            </w:r>
          </w:p>
          <w:p w14:paraId="40F4727C" w14:textId="35CD841C" w:rsidR="00426BD7" w:rsidRPr="00C56696" w:rsidRDefault="00426BD7" w:rsidP="000D2D80">
            <w:pPr>
              <w:pStyle w:val="ListParagraph"/>
              <w:numPr>
                <w:ilvl w:val="0"/>
                <w:numId w:val="37"/>
              </w:numPr>
              <w:rPr>
                <w:rFonts w:asciiTheme="majorHAnsi" w:hAnsiTheme="majorHAnsi" w:cs="Times"/>
                <w:b w:val="0"/>
              </w:rPr>
            </w:pPr>
            <w:r w:rsidRPr="00C56696">
              <w:rPr>
                <w:rFonts w:asciiTheme="majorHAnsi" w:hAnsiTheme="majorHAnsi"/>
                <w:b w:val="0"/>
              </w:rPr>
              <w:t>Within HIPAA, patient consent is not required for the use and exchange of protected health information (PHI) for treatment, payment, or healthcare operations purposes.</w:t>
            </w:r>
            <w:r w:rsidRPr="00C56696">
              <w:rPr>
                <w:rStyle w:val="FootnoteReference"/>
                <w:rFonts w:asciiTheme="majorHAnsi" w:hAnsiTheme="majorHAnsi"/>
                <w:b w:val="0"/>
              </w:rPr>
              <w:footnoteReference w:id="149"/>
            </w:r>
            <w:r w:rsidRPr="00C56696">
              <w:rPr>
                <w:rFonts w:asciiTheme="majorHAnsi" w:hAnsiTheme="majorHAnsi"/>
                <w:b w:val="0"/>
              </w:rPr>
              <w:t xml:space="preserve"> </w:t>
            </w:r>
            <w:r w:rsidR="00793737">
              <w:rPr>
                <w:rFonts w:asciiTheme="majorHAnsi" w:hAnsiTheme="majorHAnsi"/>
                <w:b w:val="0"/>
              </w:rPr>
              <w:t xml:space="preserve"> </w:t>
            </w:r>
            <w:r w:rsidRPr="00C56696">
              <w:rPr>
                <w:rFonts w:asciiTheme="majorHAnsi" w:hAnsiTheme="majorHAnsi"/>
                <w:b w:val="0"/>
              </w:rPr>
              <w:t>One presenter cited this concept of normal, routine uses as one of HIPAA’s greatest strengths.</w:t>
            </w:r>
            <w:r w:rsidRPr="00C56696">
              <w:rPr>
                <w:rStyle w:val="FootnoteReference"/>
                <w:rFonts w:asciiTheme="majorHAnsi" w:hAnsiTheme="majorHAnsi"/>
                <w:b w:val="0"/>
              </w:rPr>
              <w:footnoteReference w:id="150"/>
            </w:r>
          </w:p>
          <w:p w14:paraId="25925350" w14:textId="70CD4E1A" w:rsidR="00426BD7" w:rsidRPr="005B6247" w:rsidRDefault="00426BD7" w:rsidP="00126248">
            <w:pPr>
              <w:pStyle w:val="ListParagraph"/>
              <w:numPr>
                <w:ilvl w:val="0"/>
                <w:numId w:val="37"/>
              </w:numPr>
              <w:rPr>
                <w:rFonts w:asciiTheme="majorHAnsi" w:hAnsiTheme="majorHAnsi" w:cs="Times"/>
                <w:b w:val="0"/>
              </w:rPr>
            </w:pPr>
            <w:r w:rsidRPr="00C56696">
              <w:rPr>
                <w:rFonts w:asciiTheme="majorHAnsi" w:hAnsiTheme="majorHAnsi"/>
                <w:b w:val="0"/>
              </w:rPr>
              <w:t>Participants cited some progress regarding data liquidity</w:t>
            </w:r>
            <w:r w:rsidR="005F2AF0" w:rsidRPr="00C56696">
              <w:rPr>
                <w:rFonts w:asciiTheme="majorHAnsi" w:hAnsiTheme="majorHAnsi"/>
                <w:b w:val="0"/>
              </w:rPr>
              <w:t xml:space="preserve">.  </w:t>
            </w:r>
            <w:r w:rsidRPr="00C56696">
              <w:rPr>
                <w:rFonts w:asciiTheme="majorHAnsi" w:hAnsiTheme="majorHAnsi"/>
                <w:b w:val="0"/>
              </w:rPr>
              <w:t>The recently finalized HIPAA Omnibus Rule introduced important changes, including (1) authorization to permit future research and (2) the ability to permit compound authorizations for research purposes</w:t>
            </w:r>
            <w:r w:rsidR="005F2AF0" w:rsidRPr="00C56696">
              <w:rPr>
                <w:rFonts w:asciiTheme="majorHAnsi" w:hAnsiTheme="majorHAnsi"/>
                <w:b w:val="0"/>
              </w:rPr>
              <w:t xml:space="preserve">.  </w:t>
            </w:r>
            <w:r w:rsidRPr="00C56696">
              <w:rPr>
                <w:rStyle w:val="FootnoteReference"/>
                <w:rFonts w:asciiTheme="majorHAnsi" w:hAnsiTheme="majorHAnsi"/>
                <w:b w:val="0"/>
              </w:rPr>
              <w:footnoteReference w:id="151"/>
            </w:r>
          </w:p>
        </w:tc>
      </w:tr>
      <w:tr w:rsidR="00426BD7" w:rsidRPr="0016351D" w14:paraId="555EB428" w14:textId="77777777" w:rsidTr="00FE2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Borders>
              <w:top w:val="none" w:sz="0" w:space="0" w:color="auto"/>
              <w:left w:val="none" w:sz="0" w:space="0" w:color="auto"/>
              <w:bottom w:val="none" w:sz="0" w:space="0" w:color="auto"/>
              <w:right w:val="none" w:sz="0" w:space="0" w:color="auto"/>
            </w:tcBorders>
            <w:shd w:val="clear" w:color="auto" w:fill="FFFFFF" w:themeFill="background1"/>
          </w:tcPr>
          <w:p w14:paraId="6EA491F8" w14:textId="767C753E" w:rsidR="00426BD7" w:rsidRPr="003E5204" w:rsidRDefault="00426BD7" w:rsidP="00967746">
            <w:pPr>
              <w:rPr>
                <w:rFonts w:asciiTheme="majorHAnsi" w:hAnsiTheme="majorHAnsi"/>
                <w:b w:val="0"/>
                <w:bCs w:val="0"/>
              </w:rPr>
            </w:pPr>
            <w:r w:rsidRPr="00281740">
              <w:rPr>
                <w:rFonts w:asciiTheme="majorHAnsi" w:hAnsiTheme="majorHAnsi"/>
              </w:rPr>
              <w:t xml:space="preserve">Topic: </w:t>
            </w:r>
            <w:r w:rsidRPr="00426BD7">
              <w:rPr>
                <w:rFonts w:asciiTheme="majorHAnsi" w:hAnsiTheme="majorHAnsi"/>
              </w:rPr>
              <w:t>Under-Regulation</w:t>
            </w:r>
            <w:r w:rsidRPr="00281740">
              <w:rPr>
                <w:rFonts w:asciiTheme="majorHAnsi" w:hAnsiTheme="majorHAnsi"/>
              </w:rPr>
              <w:t xml:space="preserve"> </w:t>
            </w:r>
          </w:p>
          <w:p w14:paraId="767A91E1" w14:textId="77777777" w:rsidR="00426BD7" w:rsidRPr="00967746" w:rsidRDefault="00426BD7" w:rsidP="00967746">
            <w:pPr>
              <w:rPr>
                <w:rFonts w:asciiTheme="majorHAnsi" w:hAnsiTheme="majorHAnsi"/>
              </w:rPr>
            </w:pPr>
            <w:r w:rsidRPr="003E5204">
              <w:rPr>
                <w:rFonts w:asciiTheme="majorHAnsi" w:hAnsiTheme="majorHAnsi"/>
              </w:rPr>
              <w:t xml:space="preserve">Testimony: </w:t>
            </w:r>
          </w:p>
          <w:p w14:paraId="2C1FE624" w14:textId="573B5953" w:rsidR="00426BD7" w:rsidRPr="00C56696" w:rsidRDefault="00426BD7" w:rsidP="00564FDF">
            <w:pPr>
              <w:pStyle w:val="ListParagraph"/>
              <w:numPr>
                <w:ilvl w:val="0"/>
                <w:numId w:val="45"/>
              </w:numPr>
              <w:rPr>
                <w:rFonts w:asciiTheme="majorHAnsi" w:hAnsiTheme="majorHAnsi"/>
                <w:b w:val="0"/>
              </w:rPr>
            </w:pPr>
            <w:r w:rsidRPr="00C56696">
              <w:rPr>
                <w:rFonts w:asciiTheme="majorHAnsi" w:hAnsiTheme="majorHAnsi"/>
                <w:b w:val="0"/>
              </w:rPr>
              <w:t>[</w:t>
            </w:r>
            <w:r w:rsidRPr="00C56696">
              <w:rPr>
                <w:rFonts w:asciiTheme="majorHAnsi" w:hAnsiTheme="majorHAnsi"/>
                <w:b w:val="0"/>
                <w:i/>
              </w:rPr>
              <w:t>For the purposes of the PSWG’s investigation, “under-regulation” refers to the gaps in law in which health-related data is not afforded the same privacy and security protections that exist under a regime like HIPAA</w:t>
            </w:r>
            <w:r w:rsidRPr="00C56696">
              <w:rPr>
                <w:rFonts w:asciiTheme="majorHAnsi" w:hAnsiTheme="majorHAnsi"/>
                <w:b w:val="0"/>
              </w:rPr>
              <w:t>.]</w:t>
            </w:r>
          </w:p>
          <w:p w14:paraId="5ECCADF8" w14:textId="46DE6EC3" w:rsidR="00426BD7" w:rsidRPr="00C56696" w:rsidRDefault="00426BD7" w:rsidP="00E57E2F">
            <w:pPr>
              <w:pStyle w:val="ListParagraph"/>
              <w:numPr>
                <w:ilvl w:val="0"/>
                <w:numId w:val="38"/>
              </w:numPr>
              <w:rPr>
                <w:rFonts w:asciiTheme="majorHAnsi" w:hAnsiTheme="majorHAnsi"/>
                <w:b w:val="0"/>
              </w:rPr>
            </w:pPr>
            <w:r w:rsidRPr="00C56696">
              <w:rPr>
                <w:rFonts w:asciiTheme="majorHAnsi" w:hAnsiTheme="majorHAnsi"/>
                <w:b w:val="0"/>
              </w:rPr>
              <w:t>A rapidly growing amount of health-related information is not regulated by the HIPAA</w:t>
            </w:r>
            <w:r w:rsidR="005F2AF0" w:rsidRPr="00C56696">
              <w:rPr>
                <w:rFonts w:asciiTheme="majorHAnsi" w:hAnsiTheme="majorHAnsi"/>
                <w:b w:val="0"/>
              </w:rPr>
              <w:t xml:space="preserve">.  </w:t>
            </w:r>
            <w:r w:rsidRPr="00C56696">
              <w:rPr>
                <w:rFonts w:asciiTheme="majorHAnsi" w:hAnsiTheme="majorHAnsi"/>
                <w:b w:val="0"/>
              </w:rPr>
              <w:t>These include mobile applications, websites, and personal health records.</w:t>
            </w:r>
            <w:r w:rsidRPr="00C56696">
              <w:rPr>
                <w:rStyle w:val="FootnoteReference"/>
                <w:rFonts w:asciiTheme="majorHAnsi" w:hAnsiTheme="majorHAnsi"/>
                <w:b w:val="0"/>
              </w:rPr>
              <w:footnoteReference w:id="152"/>
            </w:r>
          </w:p>
          <w:p w14:paraId="6D3AFA74" w14:textId="02DE7381" w:rsidR="00426BD7" w:rsidRPr="00C56696" w:rsidRDefault="00426BD7" w:rsidP="00E57E2F">
            <w:pPr>
              <w:pStyle w:val="ListParagraph"/>
              <w:numPr>
                <w:ilvl w:val="0"/>
                <w:numId w:val="38"/>
              </w:numPr>
              <w:rPr>
                <w:rFonts w:asciiTheme="majorHAnsi" w:hAnsiTheme="majorHAnsi"/>
                <w:b w:val="0"/>
              </w:rPr>
            </w:pPr>
            <w:r w:rsidRPr="00C56696">
              <w:rPr>
                <w:rFonts w:asciiTheme="majorHAnsi" w:hAnsiTheme="majorHAnsi"/>
                <w:b w:val="0"/>
              </w:rPr>
              <w:t>The FTC has become the default regulator of privacy and security over the past decade, but the FTC’s Section 5 authority only extends to enforcement against organizations engaging in deceptive or unfair acts or practices</w:t>
            </w:r>
            <w:r w:rsidR="005F2AF0" w:rsidRPr="00C56696">
              <w:rPr>
                <w:rFonts w:asciiTheme="majorHAnsi" w:hAnsiTheme="majorHAnsi"/>
                <w:b w:val="0"/>
              </w:rPr>
              <w:t xml:space="preserve">.  </w:t>
            </w:r>
            <w:r w:rsidRPr="00C56696">
              <w:rPr>
                <w:rFonts w:asciiTheme="majorHAnsi" w:hAnsiTheme="majorHAnsi"/>
                <w:b w:val="0"/>
              </w:rPr>
              <w:t>A company acts deceptively if it makes materially misleading statements or omissions about a matter, and such statements or omissions are likely to mislead reasonable consumers.</w:t>
            </w:r>
            <w:r w:rsidRPr="00C56696">
              <w:rPr>
                <w:rStyle w:val="FootnoteReference"/>
                <w:rFonts w:asciiTheme="majorHAnsi" w:hAnsiTheme="majorHAnsi"/>
                <w:b w:val="0"/>
              </w:rPr>
              <w:footnoteReference w:id="153"/>
            </w:r>
            <w:r w:rsidRPr="00C56696">
              <w:rPr>
                <w:rFonts w:asciiTheme="majorHAnsi" w:hAnsiTheme="majorHAnsi"/>
                <w:b w:val="0"/>
              </w:rPr>
              <w:t xml:space="preserve">  A company engages in unfair acts or practices if its practices cause or are likely to cause </w:t>
            </w:r>
            <w:r w:rsidRPr="00C56696">
              <w:rPr>
                <w:rFonts w:asciiTheme="majorHAnsi" w:hAnsiTheme="majorHAnsi"/>
                <w:b w:val="0"/>
              </w:rPr>
              <w:lastRenderedPageBreak/>
              <w:t>substantial injury to consumers that is neither reasonably avoidable by consumers nor outweighed by countervailing benefits to consumers or to competition.</w:t>
            </w:r>
            <w:r w:rsidRPr="00C56696">
              <w:rPr>
                <w:rStyle w:val="FootnoteReference"/>
                <w:rFonts w:asciiTheme="majorHAnsi" w:hAnsiTheme="majorHAnsi"/>
                <w:b w:val="0"/>
              </w:rPr>
              <w:footnoteReference w:id="154"/>
            </w:r>
            <w:r w:rsidRPr="00C56696">
              <w:rPr>
                <w:rFonts w:asciiTheme="majorHAnsi" w:hAnsiTheme="majorHAnsi"/>
                <w:b w:val="0"/>
              </w:rPr>
              <w:t xml:space="preserve">  The FTC has used its authority under Section 5 in cases where, for example, the FTC has reason to believe that a business made false or misleading claims about its privacy or data security procedures, or failed to employ reasonable security measures and, as a result, causes or is likely to cause substantial consumer injury</w:t>
            </w:r>
            <w:r w:rsidR="00C56696">
              <w:rPr>
                <w:rFonts w:asciiTheme="majorHAnsi" w:hAnsiTheme="majorHAnsi"/>
                <w:b w:val="0"/>
              </w:rPr>
              <w:t xml:space="preserve">. </w:t>
            </w:r>
            <w:r w:rsidRPr="00C56696">
              <w:rPr>
                <w:rFonts w:asciiTheme="majorHAnsi" w:hAnsiTheme="majorHAnsi"/>
                <w:b w:val="0"/>
              </w:rPr>
              <w:t xml:space="preserve"> In the absence of a specific showing of deception or unfairness, however, the FTC cannot, as an enforcement matter, mandate certain basic privacy and data security protections.</w:t>
            </w:r>
            <w:r w:rsidRPr="00C56696">
              <w:rPr>
                <w:rStyle w:val="FootnoteReference"/>
                <w:rFonts w:asciiTheme="majorHAnsi" w:hAnsiTheme="majorHAnsi"/>
                <w:b w:val="0"/>
              </w:rPr>
              <w:footnoteReference w:id="155"/>
            </w:r>
          </w:p>
          <w:p w14:paraId="47D87073" w14:textId="327991B8" w:rsidR="00426BD7" w:rsidRPr="005B6247" w:rsidRDefault="00426BD7" w:rsidP="00CC696F">
            <w:pPr>
              <w:pStyle w:val="ListParagraph"/>
              <w:numPr>
                <w:ilvl w:val="0"/>
                <w:numId w:val="38"/>
              </w:numPr>
              <w:rPr>
                <w:rFonts w:asciiTheme="majorHAnsi" w:hAnsiTheme="majorHAnsi"/>
                <w:b w:val="0"/>
              </w:rPr>
            </w:pPr>
            <w:r w:rsidRPr="00C56696">
              <w:rPr>
                <w:rFonts w:asciiTheme="majorHAnsi" w:hAnsiTheme="majorHAnsi"/>
                <w:b w:val="0"/>
              </w:rPr>
              <w:t>The HIPAA model could be extended to define covered entities in a broader way</w:t>
            </w:r>
            <w:r w:rsidR="005F2AF0" w:rsidRPr="00C56696">
              <w:rPr>
                <w:rFonts w:asciiTheme="majorHAnsi" w:hAnsiTheme="majorHAnsi"/>
                <w:b w:val="0"/>
              </w:rPr>
              <w:t xml:space="preserve">.  </w:t>
            </w:r>
            <w:r w:rsidRPr="00C56696">
              <w:rPr>
                <w:rFonts w:asciiTheme="majorHAnsi" w:hAnsiTheme="majorHAnsi"/>
                <w:b w:val="0"/>
              </w:rPr>
              <w:t>For example, in Texas, anyone who touches healthcare data is considered to be covered entity</w:t>
            </w:r>
            <w:r w:rsidR="005F2AF0" w:rsidRPr="00C56696">
              <w:rPr>
                <w:rFonts w:asciiTheme="majorHAnsi" w:hAnsiTheme="majorHAnsi"/>
                <w:b w:val="0"/>
              </w:rPr>
              <w:t xml:space="preserve">.  </w:t>
            </w:r>
            <w:r w:rsidRPr="00C56696">
              <w:rPr>
                <w:rFonts w:asciiTheme="majorHAnsi" w:hAnsiTheme="majorHAnsi"/>
                <w:b w:val="0"/>
              </w:rPr>
              <w:t>This, however, alters the legal approach by shifting the analysis from which entities process personal information (i.e., whether the entity is a covered entities) to what kind of personal information is being processed (i.e.,</w:t>
            </w:r>
            <w:r w:rsidRPr="00426BD7">
              <w:rPr>
                <w:rFonts w:asciiTheme="majorHAnsi" w:hAnsiTheme="majorHAnsi"/>
              </w:rPr>
              <w:t xml:space="preserve"> </w:t>
            </w:r>
            <w:r w:rsidRPr="00C56696">
              <w:rPr>
                <w:rFonts w:asciiTheme="majorHAnsi" w:hAnsiTheme="majorHAnsi"/>
                <w:b w:val="0"/>
              </w:rPr>
              <w:t>whether the data is health data).</w:t>
            </w:r>
            <w:r w:rsidRPr="00C56696">
              <w:rPr>
                <w:rStyle w:val="FootnoteReference"/>
                <w:rFonts w:asciiTheme="majorHAnsi" w:hAnsiTheme="majorHAnsi"/>
                <w:b w:val="0"/>
              </w:rPr>
              <w:footnoteReference w:id="156"/>
            </w:r>
            <w:r w:rsidRPr="00C56696">
              <w:rPr>
                <w:rFonts w:asciiTheme="majorHAnsi" w:hAnsiTheme="majorHAnsi"/>
                <w:b w:val="0"/>
              </w:rPr>
              <w:t xml:space="preserve"> This change would be difficult in a big data world in which health data is not clearly defined and information flows through many different people who don’t necessarily have a direct relationship with the individual</w:t>
            </w:r>
            <w:r w:rsidR="005F2AF0" w:rsidRPr="00C56696">
              <w:rPr>
                <w:rFonts w:asciiTheme="majorHAnsi" w:hAnsiTheme="majorHAnsi"/>
                <w:b w:val="0"/>
              </w:rPr>
              <w:t xml:space="preserve">.  </w:t>
            </w:r>
            <w:r w:rsidRPr="00C56696">
              <w:rPr>
                <w:rStyle w:val="FootnoteReference"/>
                <w:rFonts w:asciiTheme="majorHAnsi" w:hAnsiTheme="majorHAnsi"/>
                <w:b w:val="0"/>
              </w:rPr>
              <w:footnoteReference w:id="157"/>
            </w:r>
          </w:p>
        </w:tc>
      </w:tr>
      <w:tr w:rsidR="00426BD7" w:rsidRPr="0016351D" w14:paraId="3FA129B6" w14:textId="77777777" w:rsidTr="00FE28A1">
        <w:tc>
          <w:tcPr>
            <w:cnfStyle w:val="001000000000" w:firstRow="0" w:lastRow="0" w:firstColumn="1" w:lastColumn="0" w:oddVBand="0" w:evenVBand="0" w:oddHBand="0" w:evenHBand="0" w:firstRowFirstColumn="0" w:firstRowLastColumn="0" w:lastRowFirstColumn="0" w:lastRowLastColumn="0"/>
            <w:tcW w:w="8990" w:type="dxa"/>
            <w:shd w:val="clear" w:color="auto" w:fill="FFFFFF" w:themeFill="background1"/>
          </w:tcPr>
          <w:p w14:paraId="6980350B" w14:textId="22D019EB" w:rsidR="00426BD7" w:rsidRPr="00281740" w:rsidRDefault="00426BD7" w:rsidP="00967746">
            <w:pPr>
              <w:rPr>
                <w:rFonts w:asciiTheme="majorHAnsi" w:hAnsiTheme="majorHAnsi"/>
                <w:b w:val="0"/>
                <w:bCs w:val="0"/>
              </w:rPr>
            </w:pPr>
            <w:r w:rsidRPr="00281740">
              <w:rPr>
                <w:rFonts w:asciiTheme="majorHAnsi" w:hAnsiTheme="majorHAnsi"/>
              </w:rPr>
              <w:lastRenderedPageBreak/>
              <w:t>T</w:t>
            </w:r>
            <w:r w:rsidR="00F53145">
              <w:rPr>
                <w:rFonts w:asciiTheme="majorHAnsi" w:hAnsiTheme="majorHAnsi"/>
              </w:rPr>
              <w:t>o</w:t>
            </w:r>
            <w:r w:rsidRPr="00281740">
              <w:rPr>
                <w:rFonts w:asciiTheme="majorHAnsi" w:hAnsiTheme="majorHAnsi"/>
              </w:rPr>
              <w:t xml:space="preserve">pic: </w:t>
            </w:r>
            <w:r w:rsidRPr="00F53145">
              <w:rPr>
                <w:rFonts w:asciiTheme="majorHAnsi" w:hAnsiTheme="majorHAnsi"/>
              </w:rPr>
              <w:t>Over-Regulation</w:t>
            </w:r>
            <w:r w:rsidRPr="00281740">
              <w:rPr>
                <w:rFonts w:asciiTheme="majorHAnsi" w:hAnsiTheme="majorHAnsi"/>
              </w:rPr>
              <w:t xml:space="preserve"> </w:t>
            </w:r>
          </w:p>
          <w:p w14:paraId="6F7B11AB" w14:textId="77777777" w:rsidR="00F53145" w:rsidRPr="00967746" w:rsidRDefault="00426BD7" w:rsidP="00967746">
            <w:pPr>
              <w:rPr>
                <w:rFonts w:asciiTheme="majorHAnsi" w:hAnsiTheme="majorHAnsi"/>
              </w:rPr>
            </w:pPr>
            <w:r w:rsidRPr="003E5204">
              <w:rPr>
                <w:rFonts w:asciiTheme="majorHAnsi" w:hAnsiTheme="majorHAnsi"/>
              </w:rPr>
              <w:t xml:space="preserve">Testimony: </w:t>
            </w:r>
          </w:p>
          <w:p w14:paraId="098CEAF4" w14:textId="5F61B21F" w:rsidR="00426BD7" w:rsidRPr="00C56696" w:rsidRDefault="00426BD7" w:rsidP="00821062">
            <w:pPr>
              <w:pStyle w:val="ListParagraph"/>
              <w:numPr>
                <w:ilvl w:val="0"/>
                <w:numId w:val="39"/>
              </w:numPr>
              <w:rPr>
                <w:rFonts w:asciiTheme="majorHAnsi" w:hAnsiTheme="majorHAnsi"/>
                <w:b w:val="0"/>
              </w:rPr>
            </w:pPr>
            <w:r w:rsidRPr="00C56696">
              <w:rPr>
                <w:rFonts w:asciiTheme="majorHAnsi" w:hAnsiTheme="majorHAnsi"/>
                <w:b w:val="0"/>
              </w:rPr>
              <w:t>[</w:t>
            </w:r>
            <w:r w:rsidRPr="00C56696">
              <w:rPr>
                <w:rFonts w:asciiTheme="majorHAnsi" w:hAnsiTheme="majorHAnsi"/>
                <w:b w:val="0"/>
                <w:i/>
              </w:rPr>
              <w:t>The PSWG used the term “over-regulation” to refer to the multiplicity of laws addressing certain holders of health and health-related data and the extent to which those laws help leverage beneficial uses of health big data.</w:t>
            </w:r>
            <w:r w:rsidRPr="00C56696">
              <w:rPr>
                <w:rFonts w:asciiTheme="majorHAnsi" w:hAnsiTheme="majorHAnsi"/>
                <w:b w:val="0"/>
              </w:rPr>
              <w:t>]</w:t>
            </w:r>
          </w:p>
          <w:p w14:paraId="7E1E3A93" w14:textId="77777777" w:rsidR="00426BD7" w:rsidRPr="00C56696" w:rsidRDefault="00426BD7" w:rsidP="003E30DD">
            <w:pPr>
              <w:pStyle w:val="ListParagraph"/>
              <w:numPr>
                <w:ilvl w:val="0"/>
                <w:numId w:val="39"/>
              </w:numPr>
              <w:rPr>
                <w:rFonts w:asciiTheme="majorHAnsi" w:hAnsiTheme="majorHAnsi"/>
                <w:b w:val="0"/>
              </w:rPr>
            </w:pPr>
            <w:r w:rsidRPr="00C56696">
              <w:rPr>
                <w:rFonts w:asciiTheme="majorHAnsi" w:hAnsiTheme="majorHAnsi"/>
                <w:b w:val="0"/>
              </w:rPr>
              <w:t>One panelist stated that the HIPAA Privacy Rule does not protect privacy as well as it should, and in fact, HIPAA impedes the use of data for important health research.</w:t>
            </w:r>
            <w:r w:rsidRPr="00C56696">
              <w:rPr>
                <w:rStyle w:val="FootnoteReference"/>
                <w:rFonts w:asciiTheme="majorHAnsi" w:hAnsiTheme="majorHAnsi"/>
                <w:b w:val="0"/>
              </w:rPr>
              <w:footnoteReference w:id="158"/>
            </w:r>
            <w:r w:rsidRPr="00C56696">
              <w:rPr>
                <w:rFonts w:asciiTheme="majorHAnsi" w:hAnsiTheme="majorHAnsi"/>
                <w:b w:val="0"/>
              </w:rPr>
              <w:t xml:space="preserve"> Others cited HIPAA’s strengths, noting that it establishes </w:t>
            </w:r>
            <w:proofErr w:type="gramStart"/>
            <w:r w:rsidRPr="00C56696">
              <w:rPr>
                <w:rFonts w:asciiTheme="majorHAnsi" w:hAnsiTheme="majorHAnsi"/>
                <w:b w:val="0"/>
              </w:rPr>
              <w:t>common rules that apply uniformly; which serves</w:t>
            </w:r>
            <w:proofErr w:type="gramEnd"/>
            <w:r w:rsidRPr="00C56696">
              <w:rPr>
                <w:rFonts w:asciiTheme="majorHAnsi" w:hAnsiTheme="majorHAnsi"/>
                <w:b w:val="0"/>
              </w:rPr>
              <w:t xml:space="preserve"> to improve access to information.</w:t>
            </w:r>
            <w:r w:rsidRPr="00C56696">
              <w:rPr>
                <w:rStyle w:val="FootnoteReference"/>
                <w:rFonts w:asciiTheme="majorHAnsi" w:hAnsiTheme="majorHAnsi"/>
                <w:b w:val="0"/>
              </w:rPr>
              <w:footnoteReference w:id="159"/>
            </w:r>
          </w:p>
          <w:p w14:paraId="68BA127C" w14:textId="77777777" w:rsidR="00426BD7" w:rsidRPr="00C56696" w:rsidRDefault="00426BD7" w:rsidP="003E30DD">
            <w:pPr>
              <w:pStyle w:val="ListParagraph"/>
              <w:numPr>
                <w:ilvl w:val="0"/>
                <w:numId w:val="39"/>
              </w:numPr>
              <w:rPr>
                <w:rFonts w:asciiTheme="majorHAnsi" w:hAnsiTheme="majorHAnsi"/>
                <w:b w:val="0"/>
              </w:rPr>
            </w:pPr>
            <w:r w:rsidRPr="00C56696">
              <w:rPr>
                <w:rFonts w:asciiTheme="majorHAnsi" w:hAnsiTheme="majorHAnsi"/>
                <w:b w:val="0"/>
              </w:rPr>
              <w:t>Ideally, entities should not be penalized and disincentives should not be created when organizations contribute to the general knowledge base for healthcare.</w:t>
            </w:r>
            <w:r w:rsidRPr="00C56696">
              <w:rPr>
                <w:rStyle w:val="FootnoteReference"/>
                <w:rFonts w:asciiTheme="majorHAnsi" w:hAnsiTheme="majorHAnsi"/>
                <w:b w:val="0"/>
              </w:rPr>
              <w:footnoteReference w:id="160"/>
            </w:r>
          </w:p>
          <w:p w14:paraId="45640D44" w14:textId="3EA271C9" w:rsidR="00426BD7" w:rsidRPr="00C56696" w:rsidRDefault="00426BD7" w:rsidP="00821062">
            <w:pPr>
              <w:pStyle w:val="ListParagraph"/>
              <w:numPr>
                <w:ilvl w:val="0"/>
                <w:numId w:val="39"/>
              </w:numPr>
              <w:rPr>
                <w:rFonts w:asciiTheme="majorHAnsi" w:hAnsiTheme="majorHAnsi"/>
                <w:b w:val="0"/>
              </w:rPr>
            </w:pPr>
            <w:r w:rsidRPr="00C56696">
              <w:rPr>
                <w:rFonts w:asciiTheme="majorHAnsi" w:hAnsiTheme="majorHAnsi"/>
                <w:b w:val="0"/>
              </w:rPr>
              <w:t>There is an apparent paradox in HIPAA</w:t>
            </w:r>
            <w:r w:rsidR="005F2AF0" w:rsidRPr="00C56696">
              <w:rPr>
                <w:rFonts w:asciiTheme="majorHAnsi" w:hAnsiTheme="majorHAnsi"/>
                <w:b w:val="0"/>
              </w:rPr>
              <w:t xml:space="preserve">.  </w:t>
            </w:r>
            <w:r w:rsidRPr="00C56696">
              <w:rPr>
                <w:rFonts w:asciiTheme="majorHAnsi" w:hAnsiTheme="majorHAnsi"/>
                <w:b w:val="0"/>
              </w:rPr>
              <w:t>While the definition of “research” is the same under both HIPAA and Common Rule,</w:t>
            </w:r>
            <w:r w:rsidRPr="00C56696">
              <w:rPr>
                <w:rStyle w:val="FootnoteReference"/>
                <w:rFonts w:asciiTheme="majorHAnsi" w:hAnsiTheme="majorHAnsi"/>
                <w:b w:val="0"/>
              </w:rPr>
              <w:footnoteReference w:id="161"/>
            </w:r>
            <w:r w:rsidRPr="00C56696">
              <w:rPr>
                <w:rFonts w:asciiTheme="majorHAnsi" w:hAnsiTheme="majorHAnsi"/>
                <w:b w:val="0"/>
              </w:rPr>
              <w:t xml:space="preserve"> different rules about patient consent are applied depending on whether the research results are shared for “generalizable knowledge” or are used for quality improvement purposes and kept within an </w:t>
            </w:r>
            <w:r w:rsidRPr="00C56696">
              <w:rPr>
                <w:rFonts w:asciiTheme="majorHAnsi" w:hAnsiTheme="majorHAnsi"/>
                <w:b w:val="0"/>
              </w:rPr>
              <w:lastRenderedPageBreak/>
              <w:t>organization (i.e., covered under “healthcare operations”)</w:t>
            </w:r>
            <w:r w:rsidR="00C56696">
              <w:rPr>
                <w:rFonts w:asciiTheme="majorHAnsi" w:hAnsiTheme="majorHAnsi"/>
                <w:b w:val="0"/>
              </w:rPr>
              <w:t xml:space="preserve">. </w:t>
            </w:r>
            <w:r w:rsidRPr="00C56696">
              <w:rPr>
                <w:rFonts w:asciiTheme="majorHAnsi" w:hAnsiTheme="majorHAnsi"/>
                <w:b w:val="0"/>
              </w:rPr>
              <w:t xml:space="preserve"> “</w:t>
            </w:r>
            <w:r w:rsidRPr="00C56696">
              <w:rPr>
                <w:rFonts w:asciiTheme="majorHAnsi" w:hAnsiTheme="majorHAnsi" w:cs="Calibri"/>
                <w:b w:val="0"/>
              </w:rPr>
              <w:t xml:space="preserve">Two studies that use data for quality improvement purposes using the same data points done to address the same question … by the same institution will be treated as operations if the results are </w:t>
            </w:r>
            <w:r w:rsidRPr="00C56696">
              <w:rPr>
                <w:rFonts w:asciiTheme="majorHAnsi" w:hAnsiTheme="majorHAnsi" w:cs="Calibri"/>
                <w:b w:val="0"/>
                <w:i/>
              </w:rPr>
              <w:t>not</w:t>
            </w:r>
            <w:r w:rsidRPr="00C56696">
              <w:rPr>
                <w:rFonts w:asciiTheme="majorHAnsi" w:hAnsiTheme="majorHAnsi" w:cs="Calibri"/>
                <w:b w:val="0"/>
              </w:rPr>
              <w:t xml:space="preserve"> intended to contribute to generalizable knowledge, … but treated as research [requiring consent] if you intend to share the results with others so that learning may occur.”</w:t>
            </w:r>
            <w:r w:rsidRPr="00C56696">
              <w:rPr>
                <w:rStyle w:val="FootnoteReference"/>
                <w:rFonts w:asciiTheme="majorHAnsi" w:hAnsiTheme="majorHAnsi"/>
                <w:b w:val="0"/>
              </w:rPr>
              <w:footnoteReference w:id="162"/>
            </w:r>
            <w:r w:rsidRPr="00C56696">
              <w:rPr>
                <w:rStyle w:val="CommentReference"/>
                <w:rFonts w:asciiTheme="majorHAnsi" w:hAnsiTheme="majorHAnsi"/>
                <w:b w:val="0"/>
              </w:rPr>
              <w:t xml:space="preserve"> </w:t>
            </w:r>
          </w:p>
          <w:p w14:paraId="2A5DCAF6" w14:textId="77777777" w:rsidR="00426BD7" w:rsidRPr="00C56696" w:rsidRDefault="00426BD7" w:rsidP="00821062">
            <w:pPr>
              <w:pStyle w:val="ListParagraph"/>
              <w:numPr>
                <w:ilvl w:val="0"/>
                <w:numId w:val="39"/>
              </w:numPr>
              <w:rPr>
                <w:rFonts w:asciiTheme="majorHAnsi" w:hAnsiTheme="majorHAnsi"/>
                <w:b w:val="0"/>
              </w:rPr>
            </w:pPr>
            <w:r w:rsidRPr="00C56696">
              <w:rPr>
                <w:rFonts w:asciiTheme="majorHAnsi" w:hAnsiTheme="majorHAnsi"/>
                <w:b w:val="0"/>
              </w:rPr>
              <w:t>The question arose, how the learning health system (and data protection) can be advanced if a rule is based on what an entity intends to do with the results, not how data is safeguarded and treated in the underlying research project?</w:t>
            </w:r>
            <w:r w:rsidRPr="00C56696">
              <w:rPr>
                <w:rStyle w:val="FootnoteReference"/>
                <w:rFonts w:asciiTheme="majorHAnsi" w:hAnsiTheme="majorHAnsi"/>
                <w:b w:val="0"/>
              </w:rPr>
              <w:footnoteReference w:id="163"/>
            </w:r>
            <w:r w:rsidRPr="00C56696">
              <w:rPr>
                <w:rFonts w:asciiTheme="majorHAnsi" w:hAnsiTheme="majorHAnsi"/>
                <w:b w:val="0"/>
              </w:rPr>
              <w:t xml:space="preserve"> People should not be penalized and disincentives should not be created when organizations contribute to the general knowledge base for healthcare in the United States.</w:t>
            </w:r>
            <w:r w:rsidRPr="00C56696">
              <w:rPr>
                <w:rStyle w:val="FootnoteReference"/>
                <w:rFonts w:asciiTheme="majorHAnsi" w:hAnsiTheme="majorHAnsi"/>
                <w:b w:val="0"/>
              </w:rPr>
              <w:footnoteReference w:id="164"/>
            </w:r>
          </w:p>
          <w:p w14:paraId="6B40105D" w14:textId="77777777" w:rsidR="00426BD7" w:rsidRPr="00C56696" w:rsidRDefault="00426BD7" w:rsidP="00821062">
            <w:pPr>
              <w:pStyle w:val="ListParagraph"/>
              <w:numPr>
                <w:ilvl w:val="0"/>
                <w:numId w:val="39"/>
              </w:numPr>
              <w:rPr>
                <w:rFonts w:asciiTheme="majorHAnsi" w:hAnsiTheme="majorHAnsi"/>
                <w:b w:val="0"/>
              </w:rPr>
            </w:pPr>
            <w:r w:rsidRPr="00C56696">
              <w:rPr>
                <w:rFonts w:asciiTheme="majorHAnsi" w:hAnsiTheme="majorHAnsi"/>
                <w:b w:val="0"/>
              </w:rPr>
              <w:t>It was noted that the PSWG’s predecessor, the Privacy and Security Tiger Team, provided recommendations</w:t>
            </w:r>
            <w:r w:rsidRPr="00C56696">
              <w:rPr>
                <w:rStyle w:val="FootnoteReference"/>
                <w:rFonts w:asciiTheme="majorHAnsi" w:hAnsiTheme="majorHAnsi"/>
                <w:b w:val="0"/>
              </w:rPr>
              <w:footnoteReference w:id="165"/>
            </w:r>
            <w:r w:rsidRPr="00C56696">
              <w:rPr>
                <w:rFonts w:asciiTheme="majorHAnsi" w:hAnsiTheme="majorHAnsi"/>
                <w:b w:val="0"/>
              </w:rPr>
              <w:t xml:space="preserve"> in the past on the topic of modernizing the Common Rule and creating more consistency with in </w:t>
            </w:r>
            <w:proofErr w:type="gramStart"/>
            <w:r w:rsidRPr="00C56696">
              <w:rPr>
                <w:rFonts w:asciiTheme="majorHAnsi" w:hAnsiTheme="majorHAnsi"/>
                <w:b w:val="0"/>
              </w:rPr>
              <w:t>HIPAA,</w:t>
            </w:r>
            <w:proofErr w:type="gramEnd"/>
            <w:r w:rsidRPr="00C56696">
              <w:rPr>
                <w:rFonts w:asciiTheme="majorHAnsi" w:hAnsiTheme="majorHAnsi"/>
                <w:b w:val="0"/>
              </w:rPr>
              <w:t xml:space="preserve"> and these were approved by the HITPC.</w:t>
            </w:r>
            <w:r w:rsidRPr="00C56696">
              <w:rPr>
                <w:rStyle w:val="FootnoteReference"/>
                <w:rFonts w:asciiTheme="majorHAnsi" w:hAnsiTheme="majorHAnsi"/>
                <w:b w:val="0"/>
              </w:rPr>
              <w:footnoteReference w:id="166"/>
            </w:r>
            <w:r w:rsidRPr="00C56696">
              <w:rPr>
                <w:rFonts w:asciiTheme="majorHAnsi" w:hAnsiTheme="majorHAnsi"/>
                <w:b w:val="0"/>
              </w:rPr>
              <w:t xml:space="preserve"> </w:t>
            </w:r>
          </w:p>
          <w:p w14:paraId="60DAA963" w14:textId="3F9327FC" w:rsidR="00426BD7" w:rsidRPr="005B6247" w:rsidRDefault="00426BD7" w:rsidP="000E0B1F">
            <w:pPr>
              <w:pStyle w:val="ListParagraph"/>
              <w:numPr>
                <w:ilvl w:val="0"/>
                <w:numId w:val="39"/>
              </w:numPr>
              <w:rPr>
                <w:rFonts w:asciiTheme="majorHAnsi" w:hAnsiTheme="majorHAnsi"/>
                <w:b w:val="0"/>
              </w:rPr>
            </w:pPr>
            <w:r w:rsidRPr="00C56696">
              <w:rPr>
                <w:rFonts w:asciiTheme="majorHAnsi" w:hAnsiTheme="majorHAnsi"/>
                <w:b w:val="0"/>
              </w:rPr>
              <w:t>Acknowledging that the learning health system requires more widespread dissemination of information, the Tiger Team recommended that uses of EHR data to evaluate the safety, quality, and effectiveness of prevention and treatment activities should not require consent or IRB approval</w:t>
            </w:r>
            <w:r w:rsidR="005F2AF0" w:rsidRPr="00C56696">
              <w:rPr>
                <w:rFonts w:asciiTheme="majorHAnsi" w:hAnsiTheme="majorHAnsi"/>
                <w:b w:val="0"/>
              </w:rPr>
              <w:t xml:space="preserve">.  </w:t>
            </w:r>
            <w:r w:rsidRPr="00C56696">
              <w:rPr>
                <w:rFonts w:asciiTheme="majorHAnsi" w:hAnsiTheme="majorHAnsi"/>
                <w:b w:val="0"/>
              </w:rPr>
              <w:t>Thus, such investigations should not be labeled as research – even if the results are used for generalizable knowledge – because doing so would pose an obstacle to learning</w:t>
            </w:r>
            <w:r w:rsidR="005F2AF0" w:rsidRPr="00C56696">
              <w:rPr>
                <w:rFonts w:asciiTheme="majorHAnsi" w:hAnsiTheme="majorHAnsi"/>
                <w:b w:val="0"/>
              </w:rPr>
              <w:t xml:space="preserve">.  </w:t>
            </w:r>
            <w:r w:rsidRPr="00C56696">
              <w:rPr>
                <w:rFonts w:asciiTheme="majorHAnsi" w:hAnsiTheme="majorHAnsi"/>
                <w:b w:val="0"/>
              </w:rPr>
              <w:t>This exemption should be granted when the provider entity retains oversight and control over EHR data.</w:t>
            </w:r>
            <w:r w:rsidRPr="00C56696">
              <w:rPr>
                <w:rStyle w:val="FootnoteReference"/>
                <w:rFonts w:asciiTheme="majorHAnsi" w:hAnsiTheme="majorHAnsi"/>
                <w:b w:val="0"/>
              </w:rPr>
              <w:footnoteReference w:id="167"/>
            </w:r>
          </w:p>
        </w:tc>
      </w:tr>
    </w:tbl>
    <w:p w14:paraId="24C9F06E" w14:textId="77777777" w:rsidR="00426D95" w:rsidRPr="0016351D" w:rsidRDefault="00426D95" w:rsidP="00CA39E1">
      <w:pPr>
        <w:rPr>
          <w:rFonts w:asciiTheme="majorHAnsi" w:hAnsiTheme="majorHAnsi"/>
        </w:rPr>
      </w:pPr>
    </w:p>
    <w:p w14:paraId="7219601C" w14:textId="77777777" w:rsidR="00633E97" w:rsidRDefault="00633E97" w:rsidP="00CA39E1">
      <w:pPr>
        <w:rPr>
          <w:rFonts w:asciiTheme="majorHAnsi" w:hAnsiTheme="majorHAnsi"/>
        </w:rPr>
        <w:sectPr w:rsidR="00633E97" w:rsidSect="003A224A">
          <w:pgSz w:w="12240" w:h="15840"/>
          <w:pgMar w:top="1440" w:right="1800" w:bottom="1440" w:left="1800" w:header="720" w:footer="720" w:gutter="0"/>
          <w:cols w:space="720"/>
          <w:titlePg/>
          <w:docGrid w:linePitch="360"/>
        </w:sectPr>
      </w:pPr>
    </w:p>
    <w:p w14:paraId="5288FC32" w14:textId="77777777" w:rsidR="00CA39E1" w:rsidRDefault="00633E97" w:rsidP="00F61631">
      <w:pPr>
        <w:pStyle w:val="Heading1"/>
      </w:pPr>
      <w:bookmarkStart w:id="38" w:name="_Toc425145088"/>
      <w:r>
        <w:lastRenderedPageBreak/>
        <w:t>Appendix C – Other Big Data Related Activities</w:t>
      </w:r>
      <w:bookmarkEnd w:id="38"/>
    </w:p>
    <w:p w14:paraId="6C3FE4E6" w14:textId="0F9F1136" w:rsidR="00633E97" w:rsidRPr="0016351D" w:rsidRDefault="00633E97" w:rsidP="00633E97">
      <w:pPr>
        <w:rPr>
          <w:rFonts w:asciiTheme="majorHAnsi" w:hAnsiTheme="majorHAnsi"/>
        </w:rPr>
      </w:pPr>
      <w:r w:rsidRPr="0016351D">
        <w:rPr>
          <w:rFonts w:asciiTheme="majorHAnsi" w:hAnsiTheme="majorHAnsi"/>
        </w:rPr>
        <w:t>The PSWG recognized the important big-data-related work that is being performed by both public and private stakeholders, often in partnership</w:t>
      </w:r>
      <w:r w:rsidR="00C332D9">
        <w:rPr>
          <w:rFonts w:asciiTheme="majorHAnsi" w:hAnsiTheme="majorHAnsi"/>
        </w:rPr>
        <w:t>.</w:t>
      </w:r>
      <w:r w:rsidR="005F2AF0">
        <w:rPr>
          <w:rFonts w:asciiTheme="majorHAnsi" w:hAnsiTheme="majorHAnsi"/>
        </w:rPr>
        <w:t xml:space="preserve"> </w:t>
      </w:r>
      <w:r w:rsidRPr="0016351D">
        <w:rPr>
          <w:rFonts w:asciiTheme="majorHAnsi" w:hAnsiTheme="majorHAnsi"/>
        </w:rPr>
        <w:t xml:space="preserve"> The PSWG strove to complement these efforts and address gaps where they were identified</w:t>
      </w:r>
      <w:r w:rsidR="005F2AF0">
        <w:rPr>
          <w:rFonts w:asciiTheme="majorHAnsi" w:hAnsiTheme="majorHAnsi"/>
        </w:rPr>
        <w:t xml:space="preserve">.  </w:t>
      </w:r>
      <w:r w:rsidRPr="0016351D">
        <w:rPr>
          <w:rFonts w:asciiTheme="majorHAnsi" w:hAnsiTheme="majorHAnsi"/>
        </w:rPr>
        <w:t>Below are brief descriptions of some of the efforts that are currently underway</w:t>
      </w:r>
      <w:r w:rsidR="005F2AF0">
        <w:rPr>
          <w:rFonts w:asciiTheme="majorHAnsi" w:hAnsiTheme="majorHAnsi"/>
        </w:rPr>
        <w:t xml:space="preserve">.  </w:t>
      </w:r>
    </w:p>
    <w:p w14:paraId="6A3D4A7B" w14:textId="77777777" w:rsidR="00633E97" w:rsidRPr="0016351D" w:rsidRDefault="00633E97" w:rsidP="00F61631">
      <w:pPr>
        <w:pStyle w:val="Heading2"/>
      </w:pPr>
      <w:bookmarkStart w:id="39" w:name="_Toc425145089"/>
      <w:r w:rsidRPr="0016351D">
        <w:t xml:space="preserve">Federal </w:t>
      </w:r>
      <w:r w:rsidRPr="00F61631">
        <w:t>Trade</w:t>
      </w:r>
      <w:r w:rsidRPr="0016351D">
        <w:t xml:space="preserve"> Commission Internet of Things Report</w:t>
      </w:r>
      <w:r w:rsidR="00222B68">
        <w:t xml:space="preserve"> and Big Data Workshop</w:t>
      </w:r>
      <w:bookmarkEnd w:id="39"/>
    </w:p>
    <w:p w14:paraId="4C5F457F" w14:textId="6F879D33" w:rsidR="00633E97" w:rsidRPr="0016351D" w:rsidRDefault="00633E97" w:rsidP="00633E97">
      <w:pPr>
        <w:rPr>
          <w:rFonts w:asciiTheme="majorHAnsi" w:hAnsiTheme="majorHAnsi"/>
        </w:rPr>
      </w:pPr>
      <w:r w:rsidRPr="0016351D">
        <w:rPr>
          <w:rFonts w:asciiTheme="majorHAnsi" w:hAnsiTheme="majorHAnsi"/>
        </w:rPr>
        <w:t>In January 2015</w:t>
      </w:r>
      <w:r w:rsidR="00036BD2">
        <w:rPr>
          <w:rFonts w:asciiTheme="majorHAnsi" w:hAnsiTheme="majorHAnsi"/>
        </w:rPr>
        <w:t>,</w:t>
      </w:r>
      <w:r w:rsidRPr="0016351D">
        <w:rPr>
          <w:rFonts w:asciiTheme="majorHAnsi" w:hAnsiTheme="majorHAnsi"/>
        </w:rPr>
        <w:t xml:space="preserve"> the Federal Trade Commission (FTC) released a report on the Internet of Things (</w:t>
      </w:r>
      <w:proofErr w:type="spellStart"/>
      <w:r w:rsidRPr="0016351D">
        <w:rPr>
          <w:rFonts w:asciiTheme="majorHAnsi" w:hAnsiTheme="majorHAnsi"/>
        </w:rPr>
        <w:t>IoT</w:t>
      </w:r>
      <w:proofErr w:type="spellEnd"/>
      <w:r w:rsidRPr="0016351D">
        <w:rPr>
          <w:rFonts w:asciiTheme="majorHAnsi" w:hAnsiTheme="majorHAnsi"/>
        </w:rPr>
        <w:t>).</w:t>
      </w:r>
      <w:r w:rsidR="00036BD2" w:rsidRPr="0016351D">
        <w:rPr>
          <w:rStyle w:val="FootnoteReference"/>
          <w:rFonts w:asciiTheme="majorHAnsi" w:hAnsiTheme="majorHAnsi"/>
        </w:rPr>
        <w:footnoteReference w:id="168"/>
      </w:r>
      <w:r w:rsidR="00C56696">
        <w:rPr>
          <w:rFonts w:asciiTheme="majorHAnsi" w:hAnsiTheme="majorHAnsi"/>
        </w:rPr>
        <w:t xml:space="preserve"> </w:t>
      </w:r>
      <w:r w:rsidRPr="0016351D">
        <w:rPr>
          <w:rFonts w:asciiTheme="majorHAnsi" w:hAnsiTheme="majorHAnsi"/>
        </w:rPr>
        <w:t xml:space="preserve"> The report, which summarized the discussions from a workshop held by the FTC in 2013, focused on FIPPs-related issues such as security, data minimization, and notice and consent</w:t>
      </w:r>
      <w:r w:rsidR="005F2AF0">
        <w:rPr>
          <w:rFonts w:asciiTheme="majorHAnsi" w:hAnsiTheme="majorHAnsi"/>
        </w:rPr>
        <w:t xml:space="preserve">.  </w:t>
      </w:r>
      <w:r w:rsidRPr="0016351D">
        <w:rPr>
          <w:rFonts w:asciiTheme="majorHAnsi" w:hAnsiTheme="majorHAnsi"/>
        </w:rPr>
        <w:t xml:space="preserve">One of the report’s recommendations </w:t>
      </w:r>
      <w:r w:rsidR="00003B31">
        <w:rPr>
          <w:rFonts w:asciiTheme="majorHAnsi" w:hAnsiTheme="majorHAnsi"/>
        </w:rPr>
        <w:t>was</w:t>
      </w:r>
      <w:r w:rsidR="00003B31" w:rsidRPr="0016351D">
        <w:rPr>
          <w:rFonts w:asciiTheme="majorHAnsi" w:hAnsiTheme="majorHAnsi"/>
        </w:rPr>
        <w:t xml:space="preserve"> </w:t>
      </w:r>
      <w:r w:rsidRPr="0016351D">
        <w:rPr>
          <w:rFonts w:asciiTheme="majorHAnsi" w:hAnsiTheme="majorHAnsi"/>
        </w:rPr>
        <w:t>that Congress should enact general data security legislation.</w:t>
      </w:r>
      <w:r w:rsidRPr="0016351D">
        <w:rPr>
          <w:rStyle w:val="FootnoteReference"/>
          <w:rFonts w:asciiTheme="majorHAnsi" w:hAnsiTheme="majorHAnsi"/>
        </w:rPr>
        <w:footnoteReference w:id="169"/>
      </w:r>
      <w:r w:rsidR="00C56696">
        <w:rPr>
          <w:rFonts w:asciiTheme="majorHAnsi" w:hAnsiTheme="majorHAnsi"/>
        </w:rPr>
        <w:t xml:space="preserve"> </w:t>
      </w:r>
      <w:r w:rsidRPr="0016351D">
        <w:rPr>
          <w:rFonts w:asciiTheme="majorHAnsi" w:hAnsiTheme="majorHAnsi"/>
        </w:rPr>
        <w:t xml:space="preserve"> The Commission also reaffirmed its commitment to strengthen data security enforcement tools, enforce existing privacy laws, educate consumers and businesses, participate in multi-stakeholder groups, and advocate for consumers</w:t>
      </w:r>
      <w:r w:rsidR="005F2AF0">
        <w:rPr>
          <w:rFonts w:asciiTheme="majorHAnsi" w:hAnsiTheme="majorHAnsi"/>
        </w:rPr>
        <w:t xml:space="preserve">.  </w:t>
      </w:r>
      <w:r w:rsidR="00222B68">
        <w:rPr>
          <w:rFonts w:asciiTheme="majorHAnsi" w:hAnsiTheme="majorHAnsi"/>
        </w:rPr>
        <w:t>In September 2014, the FTC hosted a workshop</w:t>
      </w:r>
      <w:r w:rsidR="00892CB7">
        <w:rPr>
          <w:rStyle w:val="FootnoteReference"/>
          <w:rFonts w:asciiTheme="majorHAnsi" w:hAnsiTheme="majorHAnsi"/>
        </w:rPr>
        <w:footnoteReference w:id="170"/>
      </w:r>
      <w:r w:rsidR="00222B68">
        <w:rPr>
          <w:rFonts w:asciiTheme="majorHAnsi" w:hAnsiTheme="majorHAnsi"/>
        </w:rPr>
        <w:t xml:space="preserve"> entitled “Big Data: A Tool for Inclusion or Exclusion?” to examine the potentially positive and negative effects of big data on low income and underserved populations</w:t>
      </w:r>
      <w:r w:rsidR="005F2AF0">
        <w:rPr>
          <w:rFonts w:asciiTheme="majorHAnsi" w:hAnsiTheme="majorHAnsi"/>
        </w:rPr>
        <w:t xml:space="preserve">.  </w:t>
      </w:r>
      <w:r w:rsidR="00222B68">
        <w:rPr>
          <w:rFonts w:asciiTheme="majorHAnsi" w:hAnsiTheme="majorHAnsi"/>
        </w:rPr>
        <w:t>A report from that workshop will be forthcoming.</w:t>
      </w:r>
    </w:p>
    <w:p w14:paraId="7DF9F9CA" w14:textId="77777777" w:rsidR="00633E97" w:rsidRPr="0016351D" w:rsidRDefault="00633E97" w:rsidP="00F61631">
      <w:pPr>
        <w:pStyle w:val="Heading2"/>
      </w:pPr>
      <w:bookmarkStart w:id="40" w:name="_Toc425145090"/>
      <w:r w:rsidRPr="0016351D">
        <w:t>Precision Medicine Initiative</w:t>
      </w:r>
      <w:bookmarkEnd w:id="40"/>
    </w:p>
    <w:p w14:paraId="79F0C6B8" w14:textId="13F16C3E" w:rsidR="00633E97" w:rsidRPr="00BF0A43" w:rsidRDefault="00633E97" w:rsidP="00633E97">
      <w:pPr>
        <w:rPr>
          <w:rFonts w:asciiTheme="majorHAnsi" w:eastAsia="Times New Roman" w:hAnsiTheme="majorHAnsi" w:cs="Arial"/>
          <w:lang w:val="en"/>
        </w:rPr>
      </w:pPr>
      <w:r w:rsidRPr="00BF0A43">
        <w:rPr>
          <w:rFonts w:asciiTheme="majorHAnsi" w:eastAsia="Times New Roman" w:hAnsiTheme="majorHAnsi" w:cs="Arial"/>
          <w:lang w:val="en"/>
        </w:rPr>
        <w:t>Launched in 2015, the Precision Medicine Initiative aims to “generate the scientific evidence needed to move the concept of precision medicine into clinical practice.”</w:t>
      </w:r>
      <w:r w:rsidRPr="00BF0A43">
        <w:rPr>
          <w:rStyle w:val="FootnoteReference"/>
          <w:rFonts w:asciiTheme="majorHAnsi" w:eastAsia="Times New Roman" w:hAnsiTheme="majorHAnsi" w:cs="Arial"/>
          <w:lang w:val="en"/>
        </w:rPr>
        <w:footnoteReference w:id="171"/>
      </w:r>
      <w:r w:rsidRPr="00BF0A43">
        <w:rPr>
          <w:rFonts w:asciiTheme="majorHAnsi" w:eastAsia="Times New Roman" w:hAnsiTheme="majorHAnsi" w:cs="Arial"/>
          <w:lang w:val="en"/>
        </w:rPr>
        <w:t xml:space="preserve"> Among the Initiative’s objectives is a commitment to protecting privacy</w:t>
      </w:r>
      <w:r w:rsidR="00C56696">
        <w:rPr>
          <w:rFonts w:asciiTheme="majorHAnsi" w:eastAsia="Times New Roman" w:hAnsiTheme="majorHAnsi" w:cs="Arial"/>
          <w:lang w:val="en"/>
        </w:rPr>
        <w:t xml:space="preserve">.  </w:t>
      </w:r>
      <w:r w:rsidRPr="00BF0A43">
        <w:rPr>
          <w:rFonts w:asciiTheme="majorHAnsi" w:eastAsia="Times New Roman" w:hAnsiTheme="majorHAnsi" w:cs="Arial"/>
          <w:lang w:val="en"/>
        </w:rPr>
        <w:t>The White House intends to accomplish this via a “multi-stakeholder process with HHS and other Federal agencies to solicit input from patient groups, bioethicists, privacy, and civil liberties advocates, technologists, and other experts in order to identify and address any legal and technical issues related to the privacy and security of data in the context of precision medicine.”</w:t>
      </w:r>
      <w:r w:rsidR="00C56696">
        <w:rPr>
          <w:rFonts w:asciiTheme="majorHAnsi" w:eastAsia="Times New Roman" w:hAnsiTheme="majorHAnsi" w:cs="Arial"/>
          <w:lang w:val="en"/>
        </w:rPr>
        <w:t xml:space="preserve"> </w:t>
      </w:r>
      <w:r w:rsidRPr="00BF0A43">
        <w:rPr>
          <w:rFonts w:asciiTheme="majorHAnsi" w:eastAsia="Times New Roman" w:hAnsiTheme="majorHAnsi" w:cs="Arial"/>
          <w:lang w:val="en"/>
        </w:rPr>
        <w:t xml:space="preserve"> The initiative also seeks to modernize regulations by evaluating what changes are needed to support new research and care models, incl</w:t>
      </w:r>
      <w:r w:rsidR="00ED7A42">
        <w:rPr>
          <w:rFonts w:asciiTheme="majorHAnsi" w:eastAsia="Times New Roman" w:hAnsiTheme="majorHAnsi" w:cs="Arial"/>
          <w:lang w:val="en"/>
        </w:rPr>
        <w:t xml:space="preserve">uding a privacy and trust principles </w:t>
      </w:r>
      <w:r w:rsidRPr="00BF0A43">
        <w:rPr>
          <w:rFonts w:asciiTheme="majorHAnsi" w:eastAsia="Times New Roman" w:hAnsiTheme="majorHAnsi" w:cs="Arial"/>
          <w:lang w:val="en"/>
        </w:rPr>
        <w:t>framework.</w:t>
      </w:r>
      <w:r w:rsidRPr="00BF0A43">
        <w:rPr>
          <w:rStyle w:val="FootnoteReference"/>
          <w:rFonts w:asciiTheme="majorHAnsi" w:eastAsia="Times New Roman" w:hAnsiTheme="majorHAnsi" w:cs="Arial"/>
          <w:lang w:val="en"/>
        </w:rPr>
        <w:footnoteReference w:id="172"/>
      </w:r>
    </w:p>
    <w:p w14:paraId="2504894A" w14:textId="77777777" w:rsidR="00633E97" w:rsidRPr="0016351D" w:rsidRDefault="00633E97" w:rsidP="00F61631">
      <w:pPr>
        <w:pStyle w:val="Heading2"/>
      </w:pPr>
      <w:bookmarkStart w:id="41" w:name="_Toc425145091"/>
      <w:r w:rsidRPr="0016351D">
        <w:lastRenderedPageBreak/>
        <w:t>21</w:t>
      </w:r>
      <w:r w:rsidRPr="0016351D">
        <w:rPr>
          <w:vertAlign w:val="superscript"/>
        </w:rPr>
        <w:t>st</w:t>
      </w:r>
      <w:r w:rsidRPr="0016351D">
        <w:t xml:space="preserve"> Century Cures</w:t>
      </w:r>
      <w:bookmarkEnd w:id="41"/>
    </w:p>
    <w:p w14:paraId="3A13ACE2" w14:textId="2793C60F" w:rsidR="00633E97" w:rsidRPr="0016351D" w:rsidRDefault="00633E97" w:rsidP="00633E97">
      <w:pPr>
        <w:pStyle w:val="NoSpacing"/>
        <w:rPr>
          <w:rFonts w:asciiTheme="majorHAnsi" w:hAnsiTheme="majorHAnsi" w:cs="Arial"/>
          <w:sz w:val="24"/>
          <w:szCs w:val="24"/>
        </w:rPr>
      </w:pPr>
      <w:r w:rsidRPr="0016351D">
        <w:rPr>
          <w:rFonts w:asciiTheme="majorHAnsi" w:hAnsiTheme="majorHAnsi" w:cs="Arial"/>
          <w:sz w:val="24"/>
          <w:szCs w:val="24"/>
        </w:rPr>
        <w:t>Launched in 2014, the 21</w:t>
      </w:r>
      <w:r w:rsidRPr="0016351D">
        <w:rPr>
          <w:rFonts w:asciiTheme="majorHAnsi" w:hAnsiTheme="majorHAnsi" w:cs="Arial"/>
          <w:sz w:val="24"/>
          <w:szCs w:val="24"/>
          <w:vertAlign w:val="superscript"/>
        </w:rPr>
        <w:t>st</w:t>
      </w:r>
      <w:r w:rsidRPr="0016351D">
        <w:rPr>
          <w:rFonts w:asciiTheme="majorHAnsi" w:hAnsiTheme="majorHAnsi" w:cs="Arial"/>
          <w:sz w:val="24"/>
          <w:szCs w:val="24"/>
        </w:rPr>
        <w:t xml:space="preserve"> Century Cures initiative aims to “help accelerate the discovery, development, and delivery of promising new treatments and cures for patients and maintain the nation’s standing as the biomedical innovation capital of the world.”</w:t>
      </w:r>
      <w:r w:rsidRPr="0016351D">
        <w:rPr>
          <w:rStyle w:val="FootnoteReference"/>
          <w:rFonts w:asciiTheme="majorHAnsi" w:hAnsiTheme="majorHAnsi" w:cs="Arial"/>
          <w:color w:val="000000"/>
          <w:sz w:val="24"/>
          <w:szCs w:val="24"/>
        </w:rPr>
        <w:footnoteReference w:id="173"/>
      </w:r>
      <w:r w:rsidRPr="0016351D">
        <w:rPr>
          <w:rFonts w:asciiTheme="majorHAnsi" w:hAnsiTheme="majorHAnsi" w:cs="Arial"/>
          <w:sz w:val="24"/>
          <w:szCs w:val="24"/>
        </w:rPr>
        <w:t xml:space="preserve"> </w:t>
      </w:r>
      <w:r w:rsidR="00C56696">
        <w:rPr>
          <w:rFonts w:asciiTheme="majorHAnsi" w:hAnsiTheme="majorHAnsi" w:cs="Arial"/>
          <w:sz w:val="24"/>
          <w:szCs w:val="24"/>
        </w:rPr>
        <w:t xml:space="preserve"> </w:t>
      </w:r>
      <w:r w:rsidRPr="0016351D">
        <w:rPr>
          <w:rFonts w:asciiTheme="majorHAnsi" w:hAnsiTheme="majorHAnsi" w:cs="Arial"/>
          <w:sz w:val="24"/>
          <w:szCs w:val="24"/>
        </w:rPr>
        <w:t>The House Energy and Commerce Committee released an initial discussion document on January 27, 2015,</w:t>
      </w:r>
      <w:r w:rsidRPr="0016351D">
        <w:rPr>
          <w:rStyle w:val="FootnoteReference"/>
          <w:rFonts w:asciiTheme="majorHAnsi" w:hAnsiTheme="majorHAnsi" w:cs="Arial"/>
          <w:sz w:val="24"/>
          <w:szCs w:val="24"/>
        </w:rPr>
        <w:footnoteReference w:id="174"/>
      </w:r>
      <w:r w:rsidRPr="0016351D">
        <w:rPr>
          <w:rFonts w:asciiTheme="majorHAnsi" w:hAnsiTheme="majorHAnsi" w:cs="Arial"/>
          <w:sz w:val="24"/>
          <w:szCs w:val="24"/>
        </w:rPr>
        <w:t xml:space="preserve"> and on May 21, 2015, the Committee unanimously approved </w:t>
      </w:r>
      <w:r>
        <w:rPr>
          <w:rFonts w:asciiTheme="majorHAnsi" w:hAnsiTheme="majorHAnsi" w:cs="Arial"/>
          <w:sz w:val="24"/>
          <w:szCs w:val="24"/>
        </w:rPr>
        <w:t xml:space="preserve">advancing </w:t>
      </w:r>
      <w:r w:rsidRPr="0016351D">
        <w:rPr>
          <w:rFonts w:asciiTheme="majorHAnsi" w:hAnsiTheme="majorHAnsi" w:cs="Arial"/>
          <w:sz w:val="24"/>
          <w:szCs w:val="24"/>
        </w:rPr>
        <w:t>the 21</w:t>
      </w:r>
      <w:r w:rsidRPr="0016351D">
        <w:rPr>
          <w:rFonts w:asciiTheme="majorHAnsi" w:hAnsiTheme="majorHAnsi" w:cs="Arial"/>
          <w:sz w:val="24"/>
          <w:szCs w:val="24"/>
          <w:vertAlign w:val="superscript"/>
        </w:rPr>
        <w:t>st</w:t>
      </w:r>
      <w:r w:rsidRPr="0016351D">
        <w:rPr>
          <w:rFonts w:asciiTheme="majorHAnsi" w:hAnsiTheme="majorHAnsi" w:cs="Arial"/>
          <w:sz w:val="24"/>
          <w:szCs w:val="24"/>
        </w:rPr>
        <w:t xml:space="preserve"> Century Cure Act.</w:t>
      </w:r>
      <w:r w:rsidRPr="0016351D">
        <w:rPr>
          <w:rStyle w:val="FootnoteReference"/>
          <w:rFonts w:asciiTheme="majorHAnsi" w:hAnsiTheme="majorHAnsi" w:cs="Arial"/>
          <w:sz w:val="24"/>
          <w:szCs w:val="24"/>
        </w:rPr>
        <w:footnoteReference w:id="175"/>
      </w:r>
      <w:r w:rsidR="00C56696">
        <w:rPr>
          <w:rFonts w:asciiTheme="majorHAnsi" w:hAnsiTheme="majorHAnsi" w:cs="Arial"/>
          <w:sz w:val="24"/>
          <w:szCs w:val="24"/>
        </w:rPr>
        <w:t xml:space="preserve"> </w:t>
      </w:r>
      <w:r w:rsidRPr="0016351D">
        <w:rPr>
          <w:rFonts w:asciiTheme="majorHAnsi" w:hAnsiTheme="majorHAnsi" w:cs="Arial"/>
          <w:sz w:val="24"/>
          <w:szCs w:val="24"/>
        </w:rPr>
        <w:t xml:space="preserve"> The 21</w:t>
      </w:r>
      <w:r w:rsidRPr="0016351D">
        <w:rPr>
          <w:rFonts w:asciiTheme="majorHAnsi" w:hAnsiTheme="majorHAnsi" w:cs="Arial"/>
          <w:sz w:val="24"/>
          <w:szCs w:val="24"/>
          <w:vertAlign w:val="superscript"/>
        </w:rPr>
        <w:t>st</w:t>
      </w:r>
      <w:r w:rsidRPr="0016351D">
        <w:rPr>
          <w:rFonts w:asciiTheme="majorHAnsi" w:hAnsiTheme="majorHAnsi" w:cs="Arial"/>
          <w:sz w:val="24"/>
          <w:szCs w:val="24"/>
        </w:rPr>
        <w:t xml:space="preserve"> Century Cures Act aims to advance interoperability among patients, researchers, providers and innovators, modernize and personalize health care, while encouraging greater innovation and supporting research.</w:t>
      </w:r>
      <w:r w:rsidRPr="0016351D">
        <w:rPr>
          <w:rStyle w:val="FootnoteReference"/>
          <w:rFonts w:asciiTheme="majorHAnsi" w:hAnsiTheme="majorHAnsi" w:cs="Arial"/>
          <w:sz w:val="24"/>
          <w:szCs w:val="24"/>
        </w:rPr>
        <w:footnoteReference w:id="176"/>
      </w:r>
      <w:r w:rsidRPr="0016351D">
        <w:rPr>
          <w:rFonts w:asciiTheme="majorHAnsi" w:hAnsiTheme="majorHAnsi" w:cs="Arial"/>
          <w:sz w:val="24"/>
          <w:szCs w:val="24"/>
        </w:rPr>
        <w:t xml:space="preserve"> </w:t>
      </w:r>
    </w:p>
    <w:p w14:paraId="1FDC1B24" w14:textId="77777777" w:rsidR="00633E97" w:rsidRPr="0016351D" w:rsidRDefault="00633E97" w:rsidP="00F61631">
      <w:pPr>
        <w:pStyle w:val="Heading2"/>
      </w:pPr>
      <w:bookmarkStart w:id="42" w:name="_Toc425145092"/>
      <w:r w:rsidRPr="0016351D">
        <w:t>Federal Health IT Strategic Plan and the Shared Nationwide Interoperability Roadmap</w:t>
      </w:r>
      <w:bookmarkEnd w:id="42"/>
    </w:p>
    <w:p w14:paraId="5A0A0107" w14:textId="72F17E38" w:rsidR="00633E97" w:rsidRPr="0016351D" w:rsidRDefault="00633E97" w:rsidP="00633E97">
      <w:pPr>
        <w:rPr>
          <w:rFonts w:asciiTheme="majorHAnsi" w:hAnsiTheme="majorHAnsi"/>
        </w:rPr>
      </w:pPr>
      <w:r w:rsidRPr="0016351D">
        <w:rPr>
          <w:rFonts w:asciiTheme="majorHAnsi" w:hAnsiTheme="majorHAnsi"/>
        </w:rPr>
        <w:t>The 2015-2020 Federal Health IT Strategic Plan builds on ONC’s previous strategy to advance the widespread adoption of health IT.</w:t>
      </w:r>
      <w:r w:rsidRPr="0016351D">
        <w:rPr>
          <w:rStyle w:val="FootnoteReference"/>
          <w:rFonts w:asciiTheme="majorHAnsi" w:hAnsiTheme="majorHAnsi"/>
        </w:rPr>
        <w:footnoteReference w:id="177"/>
      </w:r>
      <w:r w:rsidRPr="0016351D">
        <w:rPr>
          <w:rFonts w:asciiTheme="majorHAnsi" w:hAnsiTheme="majorHAnsi"/>
        </w:rPr>
        <w:t xml:space="preserve"> </w:t>
      </w:r>
      <w:r w:rsidR="00C56696">
        <w:rPr>
          <w:rFonts w:asciiTheme="majorHAnsi" w:hAnsiTheme="majorHAnsi"/>
        </w:rPr>
        <w:t xml:space="preserve"> </w:t>
      </w:r>
      <w:r w:rsidRPr="0016351D">
        <w:rPr>
          <w:rFonts w:asciiTheme="majorHAnsi" w:hAnsiTheme="majorHAnsi"/>
        </w:rPr>
        <w:t>Under the plan, ONC’s vision is that “health information is accessible when and where it is needed to improve and protect people health and well-being,” and its mission is to “improve health, health care, and reduce costs through the use of information technology.”</w:t>
      </w:r>
      <w:r w:rsidRPr="0016351D">
        <w:rPr>
          <w:rStyle w:val="FootnoteReference"/>
          <w:rFonts w:asciiTheme="majorHAnsi" w:hAnsiTheme="majorHAnsi"/>
        </w:rPr>
        <w:footnoteReference w:id="178"/>
      </w:r>
      <w:r w:rsidRPr="0016351D">
        <w:rPr>
          <w:rFonts w:asciiTheme="majorHAnsi" w:hAnsiTheme="majorHAnsi"/>
        </w:rPr>
        <w:t xml:space="preserve"> </w:t>
      </w:r>
      <w:r w:rsidR="00C56696">
        <w:rPr>
          <w:rFonts w:asciiTheme="majorHAnsi" w:hAnsiTheme="majorHAnsi"/>
        </w:rPr>
        <w:t xml:space="preserve"> </w:t>
      </w:r>
      <w:r w:rsidRPr="0016351D">
        <w:rPr>
          <w:rFonts w:asciiTheme="majorHAnsi" w:hAnsiTheme="majorHAnsi"/>
        </w:rPr>
        <w:t>Objective 5B - Accelerate the development and commercialization of innovative technologies and solutions - references big data</w:t>
      </w:r>
      <w:r w:rsidR="005F2AF0">
        <w:rPr>
          <w:rFonts w:asciiTheme="majorHAnsi" w:hAnsiTheme="majorHAnsi"/>
        </w:rPr>
        <w:t xml:space="preserve">.  </w:t>
      </w:r>
      <w:r w:rsidRPr="0016351D">
        <w:rPr>
          <w:rFonts w:asciiTheme="majorHAnsi" w:hAnsiTheme="majorHAnsi"/>
        </w:rPr>
        <w:t>For this objective, ONC plans to adopt a strategy to “fund organization learning and research, and promote innovation for new health IT products and solutions” that incorporate “advances in big data, computation and analytic methods, and other scientific discoverers that use health IT securely to help resolve challenging health problems.”</w:t>
      </w:r>
      <w:r w:rsidRPr="0016351D">
        <w:rPr>
          <w:rStyle w:val="FootnoteReference"/>
          <w:rFonts w:asciiTheme="majorHAnsi" w:hAnsiTheme="majorHAnsi"/>
        </w:rPr>
        <w:footnoteReference w:id="179"/>
      </w:r>
    </w:p>
    <w:p w14:paraId="4CD65849" w14:textId="77777777" w:rsidR="00633E97" w:rsidRPr="0016351D" w:rsidRDefault="00633E97" w:rsidP="00633E97">
      <w:pPr>
        <w:rPr>
          <w:rFonts w:asciiTheme="majorHAnsi" w:hAnsiTheme="majorHAnsi"/>
        </w:rPr>
      </w:pPr>
    </w:p>
    <w:p w14:paraId="5605D431" w14:textId="73F19F05" w:rsidR="00633E97" w:rsidRPr="0016351D" w:rsidRDefault="00633E97" w:rsidP="00633E97">
      <w:pPr>
        <w:rPr>
          <w:rFonts w:asciiTheme="majorHAnsi" w:hAnsiTheme="majorHAnsi"/>
        </w:rPr>
      </w:pPr>
      <w:r w:rsidRPr="0016351D">
        <w:rPr>
          <w:rFonts w:asciiTheme="majorHAnsi" w:hAnsiTheme="majorHAnsi"/>
        </w:rPr>
        <w:t>ONC’s Shared Nationwide Interoperability Roadmap</w:t>
      </w:r>
      <w:r w:rsidRPr="0016351D">
        <w:rPr>
          <w:rStyle w:val="FootnoteReference"/>
          <w:rFonts w:asciiTheme="majorHAnsi" w:hAnsiTheme="majorHAnsi"/>
        </w:rPr>
        <w:footnoteReference w:id="180"/>
      </w:r>
      <w:r w:rsidRPr="0016351D">
        <w:rPr>
          <w:rFonts w:asciiTheme="majorHAnsi" w:hAnsiTheme="majorHAnsi"/>
        </w:rPr>
        <w:t xml:space="preserve"> leverages the second goal of the Federal Health IT Strategic Plan; which is to advance secure and interoperable health information.</w:t>
      </w:r>
      <w:r w:rsidRPr="0016351D">
        <w:rPr>
          <w:rStyle w:val="FootnoteReference"/>
          <w:rFonts w:asciiTheme="majorHAnsi" w:hAnsiTheme="majorHAnsi"/>
        </w:rPr>
        <w:footnoteReference w:id="181"/>
      </w:r>
      <w:r w:rsidRPr="0016351D">
        <w:rPr>
          <w:rFonts w:asciiTheme="majorHAnsi" w:hAnsiTheme="majorHAnsi"/>
        </w:rPr>
        <w:t xml:space="preserve"> </w:t>
      </w:r>
      <w:r w:rsidR="00C56696">
        <w:rPr>
          <w:rFonts w:asciiTheme="majorHAnsi" w:hAnsiTheme="majorHAnsi"/>
        </w:rPr>
        <w:t xml:space="preserve"> </w:t>
      </w:r>
      <w:r w:rsidRPr="0016351D">
        <w:rPr>
          <w:rFonts w:asciiTheme="majorHAnsi" w:hAnsiTheme="majorHAnsi"/>
        </w:rPr>
        <w:t xml:space="preserve">This goal provides the foundation for achieving the balance of ONC’s </w:t>
      </w:r>
      <w:r w:rsidRPr="0016351D">
        <w:rPr>
          <w:rFonts w:asciiTheme="majorHAnsi" w:hAnsiTheme="majorHAnsi"/>
        </w:rPr>
        <w:lastRenderedPageBreak/>
        <w:t>goals.</w:t>
      </w:r>
      <w:r w:rsidRPr="0016351D">
        <w:rPr>
          <w:rStyle w:val="FootnoteReference"/>
          <w:rFonts w:asciiTheme="majorHAnsi" w:hAnsiTheme="majorHAnsi"/>
        </w:rPr>
        <w:footnoteReference w:id="182"/>
      </w:r>
      <w:r w:rsidRPr="0016351D">
        <w:rPr>
          <w:rFonts w:asciiTheme="majorHAnsi" w:hAnsiTheme="majorHAnsi"/>
        </w:rPr>
        <w:t xml:space="preserve"> </w:t>
      </w:r>
      <w:r w:rsidR="00C56696">
        <w:rPr>
          <w:rFonts w:asciiTheme="majorHAnsi" w:hAnsiTheme="majorHAnsi"/>
        </w:rPr>
        <w:t xml:space="preserve"> </w:t>
      </w:r>
      <w:r w:rsidRPr="0016351D">
        <w:rPr>
          <w:rFonts w:asciiTheme="majorHAnsi" w:hAnsiTheme="majorHAnsi"/>
        </w:rPr>
        <w:t>Big data is referenced un</w:t>
      </w:r>
      <w:r w:rsidR="00D902A1">
        <w:rPr>
          <w:rFonts w:asciiTheme="majorHAnsi" w:hAnsiTheme="majorHAnsi"/>
        </w:rPr>
        <w:t>der the LHS</w:t>
      </w:r>
      <w:r w:rsidRPr="0016351D">
        <w:rPr>
          <w:rFonts w:asciiTheme="majorHAnsi" w:hAnsiTheme="majorHAnsi"/>
        </w:rPr>
        <w:t xml:space="preserve"> requirement for shared policy and standards that enable interoperability across the health ecosystem</w:t>
      </w:r>
      <w:r w:rsidR="005F2AF0">
        <w:rPr>
          <w:rFonts w:asciiTheme="majorHAnsi" w:hAnsiTheme="majorHAnsi"/>
        </w:rPr>
        <w:t xml:space="preserve">.  </w:t>
      </w:r>
      <w:r w:rsidRPr="0016351D">
        <w:rPr>
          <w:rFonts w:asciiTheme="majorHAnsi" w:hAnsiTheme="majorHAnsi"/>
        </w:rPr>
        <w:t xml:space="preserve">In the 2018-2020 timeframe, ONC plans to participate with stakeholders in a coordinated governance process to </w:t>
      </w:r>
      <w:r w:rsidRPr="0016351D">
        <w:rPr>
          <w:rFonts w:asciiTheme="majorHAnsi" w:hAnsiTheme="majorHAnsi"/>
          <w:i/>
        </w:rPr>
        <w:t>define a policy framework</w:t>
      </w:r>
      <w:r w:rsidRPr="0016351D">
        <w:rPr>
          <w:rFonts w:asciiTheme="majorHAnsi" w:hAnsiTheme="majorHAnsi"/>
        </w:rPr>
        <w:t xml:space="preserve"> for the interoperability of clinical data that supports research and big data analyses</w:t>
      </w:r>
      <w:r w:rsidR="005F2AF0">
        <w:rPr>
          <w:rFonts w:asciiTheme="majorHAnsi" w:hAnsiTheme="majorHAnsi"/>
        </w:rPr>
        <w:t xml:space="preserve">.  </w:t>
      </w:r>
      <w:r w:rsidRPr="0016351D">
        <w:rPr>
          <w:rFonts w:asciiTheme="majorHAnsi" w:hAnsiTheme="majorHAnsi"/>
        </w:rPr>
        <w:t xml:space="preserve">In the 2021-2014 timeframe, ONC and stakeholders will continue their coordinated governance process to </w:t>
      </w:r>
      <w:r w:rsidRPr="0016351D">
        <w:rPr>
          <w:rFonts w:asciiTheme="majorHAnsi" w:hAnsiTheme="majorHAnsi"/>
          <w:i/>
        </w:rPr>
        <w:t>define criteria and implementation specifications</w:t>
      </w:r>
      <w:r w:rsidRPr="0016351D">
        <w:rPr>
          <w:rFonts w:asciiTheme="majorHAnsi" w:hAnsiTheme="majorHAnsi"/>
        </w:rPr>
        <w:t xml:space="preserve"> to support the interoperability of clinical data to support big data analysis nationwide.</w:t>
      </w:r>
      <w:r w:rsidRPr="0016351D">
        <w:rPr>
          <w:rStyle w:val="FootnoteReference"/>
          <w:rFonts w:asciiTheme="majorHAnsi" w:hAnsiTheme="majorHAnsi"/>
        </w:rPr>
        <w:footnoteReference w:id="183"/>
      </w:r>
    </w:p>
    <w:p w14:paraId="38AA3651" w14:textId="77777777" w:rsidR="00633E97" w:rsidRPr="0016351D" w:rsidRDefault="00633E97" w:rsidP="00F61631">
      <w:pPr>
        <w:pStyle w:val="Heading2"/>
      </w:pPr>
      <w:bookmarkStart w:id="43" w:name="_Toc425145093"/>
      <w:r w:rsidRPr="0016351D">
        <w:t>Patient-Centered Outcomes Research</w:t>
      </w:r>
      <w:bookmarkEnd w:id="43"/>
    </w:p>
    <w:p w14:paraId="6F4339C7" w14:textId="2095987F" w:rsidR="00633E97" w:rsidRPr="00ED7A42" w:rsidRDefault="00633E97" w:rsidP="00633E97">
      <w:pPr>
        <w:rPr>
          <w:rFonts w:asciiTheme="majorHAnsi" w:hAnsiTheme="majorHAnsi" w:cs="Arial"/>
          <w:lang w:val="en"/>
        </w:rPr>
      </w:pPr>
      <w:r w:rsidRPr="0016351D">
        <w:rPr>
          <w:rFonts w:asciiTheme="majorHAnsi" w:eastAsia="Times New Roman" w:hAnsiTheme="majorHAnsi" w:cs="Arial"/>
          <w:lang w:val="en"/>
        </w:rPr>
        <w:t>The Patient-Centered Outcomes Research Institute (PCORI) is a nonprofit, nongovernmental organization established as part of the Patient Protection and Affordability Care Act of 2010.</w:t>
      </w:r>
      <w:r w:rsidR="00CB79CD">
        <w:rPr>
          <w:rStyle w:val="FootnoteReference"/>
          <w:rFonts w:asciiTheme="majorHAnsi" w:eastAsia="Times New Roman" w:hAnsiTheme="majorHAnsi" w:cs="Arial"/>
          <w:lang w:val="en"/>
        </w:rPr>
        <w:footnoteReference w:id="184"/>
      </w:r>
      <w:r w:rsidR="00C56696">
        <w:rPr>
          <w:rFonts w:asciiTheme="majorHAnsi" w:eastAsia="Times New Roman" w:hAnsiTheme="majorHAnsi" w:cs="Arial"/>
          <w:lang w:val="en"/>
        </w:rPr>
        <w:t xml:space="preserve">  </w:t>
      </w:r>
      <w:r w:rsidRPr="0016351D">
        <w:rPr>
          <w:rFonts w:asciiTheme="majorHAnsi" w:eastAsia="Times New Roman" w:hAnsiTheme="majorHAnsi" w:cs="Arial"/>
          <w:lang w:val="en"/>
        </w:rPr>
        <w:t>PCORI’s mandate is to “</w:t>
      </w:r>
      <w:r w:rsidRPr="0016351D">
        <w:rPr>
          <w:rFonts w:asciiTheme="majorHAnsi" w:hAnsiTheme="majorHAnsi" w:cs="Arial"/>
          <w:lang w:val="en"/>
        </w:rPr>
        <w:t>improve the quality and relevance of evidence available to help patients, caregivers, clinicians, employers, insurers, and policy makers make informed health decisions.”</w:t>
      </w:r>
      <w:r w:rsidRPr="0016351D">
        <w:rPr>
          <w:rStyle w:val="FootnoteReference"/>
          <w:rFonts w:asciiTheme="majorHAnsi" w:hAnsiTheme="majorHAnsi" w:cs="Arial"/>
          <w:lang w:val="en"/>
        </w:rPr>
        <w:footnoteReference w:id="185"/>
      </w:r>
      <w:r w:rsidR="00ED7A42">
        <w:rPr>
          <w:rFonts w:asciiTheme="majorHAnsi" w:hAnsiTheme="majorHAnsi" w:cs="Arial"/>
          <w:lang w:val="en"/>
        </w:rPr>
        <w:t xml:space="preserve"> </w:t>
      </w:r>
      <w:r w:rsidRPr="0016351D">
        <w:rPr>
          <w:rFonts w:asciiTheme="majorHAnsi" w:hAnsiTheme="majorHAnsi" w:cs="Arial"/>
          <w:color w:val="000000"/>
        </w:rPr>
        <w:t xml:space="preserve">PCORI funds </w:t>
      </w:r>
      <w:r w:rsidRPr="0016351D">
        <w:rPr>
          <w:rFonts w:asciiTheme="majorHAnsi" w:eastAsia="Times New Roman" w:hAnsiTheme="majorHAnsi" w:cs="Arial"/>
          <w:lang w:val="en"/>
        </w:rPr>
        <w:t>comparative clinical effectiveness research (CER) that will provide evidence to help patients and their caregivers make better-informed decisions</w:t>
      </w:r>
      <w:r w:rsidR="005F2AF0">
        <w:rPr>
          <w:rFonts w:asciiTheme="majorHAnsi" w:eastAsia="Times New Roman" w:hAnsiTheme="majorHAnsi" w:cs="Arial"/>
          <w:lang w:val="en"/>
        </w:rPr>
        <w:t xml:space="preserve">.  </w:t>
      </w:r>
      <w:r w:rsidRPr="0016351D">
        <w:rPr>
          <w:rFonts w:asciiTheme="majorHAnsi" w:eastAsia="Times New Roman" w:hAnsiTheme="majorHAnsi" w:cs="Arial"/>
          <w:lang w:val="en"/>
        </w:rPr>
        <w:t>To facilitate more efficient CER that could significantly increase the amount of information a</w:t>
      </w:r>
      <w:r w:rsidR="00ED7A42">
        <w:rPr>
          <w:rFonts w:asciiTheme="majorHAnsi" w:eastAsia="Times New Roman" w:hAnsiTheme="majorHAnsi" w:cs="Arial"/>
          <w:lang w:val="en"/>
        </w:rPr>
        <w:t xml:space="preserve">vailable to healthcare decision </w:t>
      </w:r>
      <w:r w:rsidRPr="0016351D">
        <w:rPr>
          <w:rFonts w:asciiTheme="majorHAnsi" w:eastAsia="Times New Roman" w:hAnsiTheme="majorHAnsi" w:cs="Arial"/>
          <w:lang w:val="en"/>
        </w:rPr>
        <w:t xml:space="preserve">makers, PCORI has created </w:t>
      </w:r>
      <w:proofErr w:type="spellStart"/>
      <w:r w:rsidRPr="0016351D">
        <w:rPr>
          <w:rFonts w:asciiTheme="majorHAnsi" w:eastAsia="Times New Roman" w:hAnsiTheme="majorHAnsi" w:cs="Arial"/>
          <w:lang w:val="en"/>
        </w:rPr>
        <w:t>PCORnet</w:t>
      </w:r>
      <w:proofErr w:type="spellEnd"/>
      <w:r w:rsidR="005F2AF0">
        <w:rPr>
          <w:rFonts w:asciiTheme="majorHAnsi" w:eastAsia="Times New Roman" w:hAnsiTheme="majorHAnsi" w:cs="Arial"/>
          <w:lang w:val="en"/>
        </w:rPr>
        <w:t xml:space="preserve">.  </w:t>
      </w:r>
      <w:proofErr w:type="spellStart"/>
      <w:r w:rsidRPr="0016351D">
        <w:rPr>
          <w:rFonts w:asciiTheme="majorHAnsi" w:eastAsia="Times New Roman" w:hAnsiTheme="majorHAnsi" w:cs="Arial"/>
          <w:lang w:val="en"/>
        </w:rPr>
        <w:t>PCORnet</w:t>
      </w:r>
      <w:proofErr w:type="spellEnd"/>
      <w:r w:rsidRPr="0016351D">
        <w:rPr>
          <w:rFonts w:asciiTheme="majorHAnsi" w:eastAsia="Times New Roman" w:hAnsiTheme="majorHAnsi" w:cs="Arial"/>
          <w:lang w:val="en"/>
        </w:rPr>
        <w:t xml:space="preserve"> is a national patient-centered research network that seeks to leverage the power of large amounts of data, including from EHR and patients to help draw information from real-world clinical settings to conduct critical CER and other types of studies</w:t>
      </w:r>
      <w:r w:rsidR="005F2AF0">
        <w:rPr>
          <w:rFonts w:asciiTheme="majorHAnsi" w:eastAsia="Times New Roman" w:hAnsiTheme="majorHAnsi" w:cs="Arial"/>
          <w:lang w:val="en"/>
        </w:rPr>
        <w:t xml:space="preserve">.  </w:t>
      </w:r>
    </w:p>
    <w:p w14:paraId="010C67A8" w14:textId="77777777" w:rsidR="00633E97" w:rsidRPr="0016351D" w:rsidRDefault="00633E97" w:rsidP="00F61631">
      <w:pPr>
        <w:pStyle w:val="Heading2"/>
      </w:pPr>
      <w:bookmarkStart w:id="44" w:name="_Toc425145094"/>
      <w:r w:rsidRPr="0016351D">
        <w:t>Secretary’s Advisory Committee on Human Research Protections (SACHRP)</w:t>
      </w:r>
      <w:bookmarkEnd w:id="44"/>
      <w:r w:rsidRPr="0016351D">
        <w:rPr>
          <w:rStyle w:val="CommentReference"/>
        </w:rPr>
        <w:t xml:space="preserve"> </w:t>
      </w:r>
    </w:p>
    <w:p w14:paraId="6894A6CC" w14:textId="260808F8" w:rsidR="00633E97" w:rsidRPr="0016351D" w:rsidRDefault="00633E97" w:rsidP="00CA39E1">
      <w:pPr>
        <w:rPr>
          <w:rFonts w:asciiTheme="majorHAnsi" w:hAnsiTheme="majorHAnsi"/>
        </w:rPr>
      </w:pPr>
      <w:r w:rsidRPr="0016351D">
        <w:rPr>
          <w:rFonts w:asciiTheme="majorHAnsi" w:hAnsiTheme="majorHAnsi" w:cs="Arial"/>
          <w:lang w:val="en"/>
        </w:rPr>
        <w:t>The Secretary's Advisory Committee on Human Research Protections (SACHRP) provides expert advice and recommendations to the Secretary on issues and topics pertaining to the protection of human research subjects.</w:t>
      </w:r>
      <w:r w:rsidRPr="0016351D">
        <w:rPr>
          <w:rStyle w:val="FootnoteReference"/>
          <w:rFonts w:asciiTheme="majorHAnsi" w:hAnsiTheme="majorHAnsi" w:cs="Arial"/>
          <w:lang w:val="en"/>
        </w:rPr>
        <w:footnoteReference w:id="186"/>
      </w:r>
      <w:r w:rsidR="00C56696">
        <w:rPr>
          <w:rFonts w:asciiTheme="majorHAnsi" w:hAnsiTheme="majorHAnsi" w:cs="Arial"/>
          <w:lang w:val="en"/>
        </w:rPr>
        <w:t xml:space="preserve">  </w:t>
      </w:r>
      <w:r w:rsidRPr="0016351D">
        <w:rPr>
          <w:rFonts w:asciiTheme="majorHAnsi" w:hAnsiTheme="majorHAnsi" w:cs="Arial"/>
          <w:lang w:val="en"/>
        </w:rPr>
        <w:t>SACHRP recently provided recommendations regarding Human Subjects Research Implications of “Big Data” Studies.</w:t>
      </w:r>
      <w:r w:rsidRPr="0016351D">
        <w:rPr>
          <w:rStyle w:val="FootnoteReference"/>
          <w:rFonts w:asciiTheme="majorHAnsi" w:hAnsiTheme="majorHAnsi" w:cs="Arial"/>
          <w:lang w:val="en"/>
        </w:rPr>
        <w:footnoteReference w:id="187"/>
      </w:r>
      <w:r w:rsidRPr="0016351D">
        <w:rPr>
          <w:rFonts w:asciiTheme="majorHAnsi" w:hAnsiTheme="majorHAnsi" w:cs="Arial"/>
          <w:lang w:val="en"/>
        </w:rPr>
        <w:t xml:space="preserve"> </w:t>
      </w:r>
      <w:r w:rsidR="00C56696">
        <w:rPr>
          <w:rFonts w:asciiTheme="majorHAnsi" w:hAnsiTheme="majorHAnsi" w:cs="Arial"/>
          <w:lang w:val="en"/>
        </w:rPr>
        <w:t xml:space="preserve"> </w:t>
      </w:r>
      <w:r w:rsidRPr="0016351D">
        <w:rPr>
          <w:rFonts w:asciiTheme="majorHAnsi" w:hAnsiTheme="majorHAnsi" w:cs="Arial"/>
          <w:lang w:val="en"/>
        </w:rPr>
        <w:t xml:space="preserve">Some of these recommendations called on the </w:t>
      </w:r>
      <w:r w:rsidR="00FE28A1">
        <w:rPr>
          <w:rFonts w:asciiTheme="majorHAnsi" w:hAnsiTheme="majorHAnsi" w:cs="Arial"/>
          <w:lang w:val="en"/>
        </w:rPr>
        <w:t xml:space="preserve">HHS </w:t>
      </w:r>
      <w:r w:rsidRPr="0016351D">
        <w:rPr>
          <w:rFonts w:asciiTheme="majorHAnsi" w:hAnsiTheme="majorHAnsi" w:cs="Arial"/>
          <w:lang w:val="en"/>
        </w:rPr>
        <w:t>Office for Human Research Protections (OHRP) to provide guidance on: consent waiver standards for research, proposed changes to rules to account for an exemption category for research involving big data, and asked OCR to clarify the extent to which HIPAA applies to big data research.</w:t>
      </w:r>
      <w:r w:rsidRPr="0016351D">
        <w:rPr>
          <w:rStyle w:val="FootnoteReference"/>
          <w:rFonts w:asciiTheme="majorHAnsi" w:hAnsiTheme="majorHAnsi" w:cs="Arial"/>
          <w:lang w:val="en"/>
        </w:rPr>
        <w:footnoteReference w:id="188"/>
      </w:r>
      <w:r w:rsidRPr="0016351D">
        <w:rPr>
          <w:rStyle w:val="CommentReference"/>
          <w:rFonts w:asciiTheme="majorHAnsi" w:hAnsiTheme="majorHAnsi"/>
        </w:rPr>
        <w:t xml:space="preserve"> </w:t>
      </w:r>
    </w:p>
    <w:sectPr w:rsidR="00633E97" w:rsidRPr="0016351D" w:rsidSect="003A224A">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37956" w14:textId="77777777" w:rsidR="00D803C6" w:rsidRDefault="00D803C6" w:rsidP="002D4A34">
      <w:r>
        <w:separator/>
      </w:r>
    </w:p>
  </w:endnote>
  <w:endnote w:type="continuationSeparator" w:id="0">
    <w:p w14:paraId="2564B5F0" w14:textId="77777777" w:rsidR="00D803C6" w:rsidRDefault="00D803C6" w:rsidP="002D4A34">
      <w:r>
        <w:continuationSeparator/>
      </w:r>
    </w:p>
  </w:endnote>
  <w:endnote w:type="continuationNotice" w:id="1">
    <w:p w14:paraId="79D69B7B" w14:textId="77777777" w:rsidR="00D803C6" w:rsidRDefault="00D80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33BD" w14:textId="77777777" w:rsidR="00E76581" w:rsidRDefault="00E76581" w:rsidP="00060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2D0CC" w14:textId="77777777" w:rsidR="00E76581" w:rsidRDefault="00E76581" w:rsidP="000606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A775E" w14:textId="77777777" w:rsidR="00E76581" w:rsidRPr="00060618" w:rsidRDefault="00E76581" w:rsidP="00060618">
    <w:pPr>
      <w:pStyle w:val="Footer"/>
      <w:framePr w:wrap="around" w:vAnchor="text" w:hAnchor="margin" w:xAlign="right" w:y="1"/>
      <w:rPr>
        <w:rStyle w:val="PageNumber"/>
        <w:rFonts w:asciiTheme="majorHAnsi" w:hAnsiTheme="majorHAnsi"/>
      </w:rPr>
    </w:pPr>
    <w:r w:rsidRPr="00060618">
      <w:rPr>
        <w:rStyle w:val="PageNumber"/>
        <w:rFonts w:asciiTheme="majorHAnsi" w:hAnsiTheme="majorHAnsi"/>
      </w:rPr>
      <w:fldChar w:fldCharType="begin"/>
    </w:r>
    <w:r w:rsidRPr="00060618">
      <w:rPr>
        <w:rStyle w:val="PageNumber"/>
        <w:rFonts w:asciiTheme="majorHAnsi" w:hAnsiTheme="majorHAnsi"/>
      </w:rPr>
      <w:instrText xml:space="preserve">PAGE  </w:instrText>
    </w:r>
    <w:r w:rsidRPr="00060618">
      <w:rPr>
        <w:rStyle w:val="PageNumber"/>
        <w:rFonts w:asciiTheme="majorHAnsi" w:hAnsiTheme="majorHAnsi"/>
      </w:rPr>
      <w:fldChar w:fldCharType="separate"/>
    </w:r>
    <w:r w:rsidR="006E7D3A">
      <w:rPr>
        <w:rStyle w:val="PageNumber"/>
        <w:rFonts w:asciiTheme="majorHAnsi" w:hAnsiTheme="majorHAnsi"/>
        <w:noProof/>
      </w:rPr>
      <w:t>1</w:t>
    </w:r>
    <w:r w:rsidRPr="00060618">
      <w:rPr>
        <w:rStyle w:val="PageNumber"/>
        <w:rFonts w:asciiTheme="majorHAnsi" w:hAnsiTheme="majorHAnsi"/>
      </w:rPr>
      <w:fldChar w:fldCharType="end"/>
    </w:r>
  </w:p>
  <w:p w14:paraId="0E32102B" w14:textId="381CDEF3" w:rsidR="00E76581" w:rsidRPr="00BE7A05" w:rsidRDefault="00E76581" w:rsidP="00ED558B">
    <w:pPr>
      <w:pStyle w:val="Footer"/>
      <w:ind w:right="360"/>
      <w:jc w:val="center"/>
      <w:rPr>
        <w:rFonts w:asciiTheme="majorHAnsi" w:hAnsiTheme="majorHAnsi"/>
      </w:rPr>
    </w:pPr>
    <w:r w:rsidRPr="00BE7A05">
      <w:rPr>
        <w:rFonts w:asciiTheme="majorHAnsi" w:hAnsiTheme="majorHAnsi"/>
      </w:rPr>
      <w:t>DRAFT as of J</w:t>
    </w:r>
    <w:r>
      <w:rPr>
        <w:rFonts w:asciiTheme="majorHAnsi" w:hAnsiTheme="majorHAnsi"/>
      </w:rPr>
      <w:t>uly 19</w:t>
    </w:r>
    <w:r w:rsidRPr="00BE7A05">
      <w:rPr>
        <w:rFonts w:asciiTheme="majorHAnsi" w:hAnsiTheme="majorHAnsi"/>
      </w:rPr>
      <w:t>,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53A1E" w14:textId="77777777" w:rsidR="00E76581" w:rsidRDefault="00E76581" w:rsidP="003A22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36F89" w14:textId="77777777" w:rsidR="00E76581" w:rsidRDefault="00E76581" w:rsidP="003A224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5D45" w14:textId="77777777" w:rsidR="00E76581" w:rsidRPr="003A224A" w:rsidRDefault="00E76581" w:rsidP="003A224A">
    <w:pPr>
      <w:pStyle w:val="Footer"/>
      <w:framePr w:wrap="around" w:vAnchor="text" w:hAnchor="margin" w:xAlign="right" w:y="1"/>
      <w:rPr>
        <w:rStyle w:val="PageNumber"/>
        <w:rFonts w:asciiTheme="majorHAnsi" w:hAnsiTheme="majorHAnsi"/>
      </w:rPr>
    </w:pPr>
    <w:r w:rsidRPr="003A224A">
      <w:rPr>
        <w:rStyle w:val="PageNumber"/>
        <w:rFonts w:asciiTheme="majorHAnsi" w:hAnsiTheme="majorHAnsi"/>
      </w:rPr>
      <w:fldChar w:fldCharType="begin"/>
    </w:r>
    <w:r w:rsidRPr="003A224A">
      <w:rPr>
        <w:rStyle w:val="PageNumber"/>
        <w:rFonts w:asciiTheme="majorHAnsi" w:hAnsiTheme="majorHAnsi"/>
      </w:rPr>
      <w:instrText xml:space="preserve">PAGE  </w:instrText>
    </w:r>
    <w:r w:rsidRPr="003A224A">
      <w:rPr>
        <w:rStyle w:val="PageNumber"/>
        <w:rFonts w:asciiTheme="majorHAnsi" w:hAnsiTheme="majorHAnsi"/>
      </w:rPr>
      <w:fldChar w:fldCharType="separate"/>
    </w:r>
    <w:r w:rsidR="006E7D3A">
      <w:rPr>
        <w:rStyle w:val="PageNumber"/>
        <w:rFonts w:asciiTheme="majorHAnsi" w:hAnsiTheme="majorHAnsi"/>
        <w:noProof/>
      </w:rPr>
      <w:t>39</w:t>
    </w:r>
    <w:r w:rsidRPr="003A224A">
      <w:rPr>
        <w:rStyle w:val="PageNumber"/>
        <w:rFonts w:asciiTheme="majorHAnsi" w:hAnsiTheme="majorHAnsi"/>
      </w:rPr>
      <w:fldChar w:fldCharType="end"/>
    </w:r>
  </w:p>
  <w:p w14:paraId="297D0645" w14:textId="77777777" w:rsidR="00E76581" w:rsidRDefault="00E76581" w:rsidP="003A22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072EE" w14:textId="77777777" w:rsidR="00D803C6" w:rsidRDefault="00D803C6" w:rsidP="002D4A34">
      <w:r>
        <w:separator/>
      </w:r>
    </w:p>
  </w:footnote>
  <w:footnote w:type="continuationSeparator" w:id="0">
    <w:p w14:paraId="6E196A20" w14:textId="77777777" w:rsidR="00D803C6" w:rsidRDefault="00D803C6" w:rsidP="002D4A34">
      <w:r>
        <w:continuationSeparator/>
      </w:r>
    </w:p>
  </w:footnote>
  <w:footnote w:type="continuationNotice" w:id="1">
    <w:p w14:paraId="5D974B62" w14:textId="77777777" w:rsidR="00D803C6" w:rsidRDefault="00D803C6"/>
  </w:footnote>
  <w:footnote w:id="2">
    <w:p w14:paraId="013BDA10" w14:textId="57F91CD4" w:rsidR="00E76581" w:rsidRPr="00FC2E7E" w:rsidRDefault="00E76581" w:rsidP="00407D73">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HITPC Transmittal Letter, September 1, 2010, p. 4, </w:t>
      </w:r>
      <w:hyperlink r:id="rId1" w:history="1">
        <w:r w:rsidRPr="00FC2E7E">
          <w:rPr>
            <w:rStyle w:val="Hyperlink"/>
            <w:rFonts w:asciiTheme="majorHAnsi" w:hAnsiTheme="majorHAnsi"/>
            <w:sz w:val="20"/>
            <w:szCs w:val="20"/>
          </w:rPr>
          <w:t>http://www.healthit.gov/sites/faca/files/hitpc_transmittal_p_s_tt_9_1_10_0.pdf</w:t>
        </w:r>
      </w:hyperlink>
      <w:r w:rsidRPr="00FC2E7E">
        <w:rPr>
          <w:rFonts w:asciiTheme="majorHAnsi" w:hAnsiTheme="majorHAnsi"/>
          <w:sz w:val="20"/>
          <w:szCs w:val="20"/>
        </w:rPr>
        <w:t xml:space="preserve">.  </w:t>
      </w:r>
    </w:p>
  </w:footnote>
  <w:footnote w:id="3">
    <w:p w14:paraId="70294059" w14:textId="77777777" w:rsidR="00E76581" w:rsidRPr="00FC2E7E" w:rsidRDefault="00E76581" w:rsidP="00FE424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Protected Health Information is defined in 45 CFR § 160.103.</w:t>
      </w:r>
    </w:p>
  </w:footnote>
  <w:footnote w:id="4">
    <w:p w14:paraId="0BA967F0" w14:textId="6562DF3A"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Speaker material and transcripts are available on www.HealthIT.gov for FACA hearing dates of December 5 and 8, 2014 </w:t>
      </w:r>
      <w:r w:rsidRPr="00E76581">
        <w:rPr>
          <w:rFonts w:asciiTheme="majorHAnsi" w:hAnsiTheme="majorHAnsi"/>
          <w:sz w:val="20"/>
          <w:szCs w:val="20"/>
        </w:rPr>
        <w:t>and February 9, 2015.</w:t>
      </w:r>
    </w:p>
  </w:footnote>
  <w:footnote w:id="5">
    <w:p w14:paraId="79967A6F" w14:textId="3A36009F" w:rsidR="00E76581" w:rsidRPr="00FC2E7E" w:rsidRDefault="00E76581" w:rsidP="0074414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Public Hearing Responses of Richard Platt, p. 3, </w:t>
      </w:r>
      <w:hyperlink r:id="rId2" w:history="1">
        <w:r w:rsidRPr="00FC2E7E">
          <w:rPr>
            <w:rStyle w:val="Hyperlink"/>
            <w:rFonts w:asciiTheme="majorHAnsi" w:hAnsiTheme="majorHAnsi"/>
            <w:sz w:val="20"/>
            <w:szCs w:val="20"/>
          </w:rPr>
          <w:t>http://www.healthit.gov/facas/sites/faca/files/PSWG_Background_Richard_Platt_Reply_to_Questions_for_Panelists_2014-12-05.pdf</w:t>
        </w:r>
      </w:hyperlink>
      <w:r w:rsidRPr="00FC2E7E">
        <w:rPr>
          <w:rFonts w:asciiTheme="majorHAnsi" w:hAnsiTheme="majorHAnsi"/>
          <w:sz w:val="20"/>
          <w:szCs w:val="20"/>
        </w:rPr>
        <w:t xml:space="preserve"> [hereinafter "Richard Platt Responses”].</w:t>
      </w:r>
      <w:proofErr w:type="gramEnd"/>
    </w:p>
  </w:footnote>
  <w:footnote w:id="6">
    <w:p w14:paraId="1CE3F37B" w14:textId="444A2051" w:rsidR="00E76581" w:rsidRPr="00FC2E7E" w:rsidRDefault="00E76581" w:rsidP="00647C9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Connecting Health and Care for the Nation: A Shared Nationwide Interoperability Roadmap, Draft Version 1.0, p. 8, </w:t>
      </w:r>
      <w:hyperlink r:id="rId3" w:history="1">
        <w:r w:rsidRPr="00FC2E7E">
          <w:rPr>
            <w:rStyle w:val="Hyperlink"/>
            <w:rFonts w:asciiTheme="majorHAnsi" w:hAnsiTheme="majorHAnsi"/>
            <w:sz w:val="20"/>
            <w:szCs w:val="20"/>
          </w:rPr>
          <w:t>http://www.healthit.gov/sites/default/files/nationwide-interoperability-roadmap-draft-version-1.0.pdf</w:t>
        </w:r>
      </w:hyperlink>
      <w:r w:rsidRPr="00FC2E7E">
        <w:rPr>
          <w:rFonts w:asciiTheme="majorHAnsi" w:hAnsiTheme="majorHAnsi"/>
          <w:sz w:val="20"/>
          <w:szCs w:val="20"/>
        </w:rPr>
        <w:t xml:space="preserve"> [hereinafter “Interoperability Roadmap”]; </w:t>
      </w:r>
      <w:r w:rsidRPr="00FC2E7E">
        <w:rPr>
          <w:rFonts w:asciiTheme="majorHAnsi" w:hAnsiTheme="majorHAnsi"/>
          <w:i/>
          <w:sz w:val="20"/>
          <w:szCs w:val="20"/>
        </w:rPr>
        <w:t>see</w:t>
      </w:r>
      <w:r w:rsidRPr="00FC2E7E">
        <w:rPr>
          <w:rFonts w:asciiTheme="majorHAnsi" w:hAnsiTheme="majorHAnsi"/>
          <w:sz w:val="20"/>
          <w:szCs w:val="20"/>
        </w:rPr>
        <w:t xml:space="preserve"> also, Richard Platt Responses, p. 1 (“The term “Learning Health System” connotes a commitment to improve care, both by learning from all patients’ experiences and by implementing the results of the learning activities.”).</w:t>
      </w:r>
    </w:p>
  </w:footnote>
  <w:footnote w:id="7">
    <w:p w14:paraId="70007299" w14:textId="13F995F6" w:rsidR="00E76581" w:rsidRPr="00FC2E7E" w:rsidRDefault="00E76581" w:rsidP="00647C9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Interoperability Roadmap, p. 35.</w:t>
      </w:r>
    </w:p>
  </w:footnote>
  <w:footnote w:id="8">
    <w:p w14:paraId="5C394B45" w14:textId="0A51FA45"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Privacy and Security Workgroup Transcript, December 5, 2014,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30 [hereinafter “December 5”].</w:t>
      </w:r>
      <w:proofErr w:type="gramEnd"/>
    </w:p>
  </w:footnote>
  <w:footnote w:id="9">
    <w:p w14:paraId="1D09814B" w14:textId="6A4126D1"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Lucia Savage, December 5, p. 24.</w:t>
      </w:r>
    </w:p>
  </w:footnote>
  <w:footnote w:id="10">
    <w:p w14:paraId="10B1CAF4" w14:textId="62EE2C9E" w:rsidR="00E76581" w:rsidRPr="00FC2E7E" w:rsidRDefault="00E76581" w:rsidP="00BE5DC3">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30.</w:t>
      </w:r>
    </w:p>
  </w:footnote>
  <w:footnote w:id="11">
    <w:p w14:paraId="0FC3A8AB" w14:textId="77777777" w:rsidR="00E76581" w:rsidRPr="00FC2E7E" w:rsidRDefault="00E76581" w:rsidP="00633FC0">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For information on covered entities and business associates, see </w:t>
      </w:r>
      <w:hyperlink r:id="rId4" w:history="1">
        <w:r w:rsidRPr="00FC2E7E">
          <w:rPr>
            <w:rStyle w:val="Hyperlink"/>
            <w:rFonts w:asciiTheme="majorHAnsi" w:hAnsiTheme="majorHAnsi"/>
            <w:sz w:val="20"/>
            <w:szCs w:val="20"/>
          </w:rPr>
          <w:t>http://www.hhs.gov/ocr/privacy/hipaa/understanding/coveredentities/</w:t>
        </w:r>
      </w:hyperlink>
      <w:r w:rsidRPr="00FC2E7E">
        <w:rPr>
          <w:rFonts w:asciiTheme="majorHAnsi" w:hAnsiTheme="majorHAnsi"/>
          <w:sz w:val="20"/>
          <w:szCs w:val="20"/>
        </w:rPr>
        <w:t>; for definitions, see 45 CFR §160.103.</w:t>
      </w:r>
    </w:p>
  </w:footnote>
  <w:footnote w:id="12">
    <w:p w14:paraId="602A5A2C" w14:textId="29081489" w:rsidR="00E76581" w:rsidRPr="00FC2E7E" w:rsidRDefault="00E76581" w:rsidP="003344FC">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Deven McGraw &amp; Alice Leiter, </w:t>
      </w:r>
      <w:r w:rsidRPr="00FC2E7E">
        <w:rPr>
          <w:rFonts w:asciiTheme="majorHAnsi" w:hAnsiTheme="majorHAnsi"/>
          <w:i/>
          <w:sz w:val="20"/>
          <w:szCs w:val="20"/>
        </w:rPr>
        <w:t>Risk-Based Regulation of Clinical Health Data Analytics</w:t>
      </w:r>
      <w:r w:rsidRPr="00FC2E7E">
        <w:rPr>
          <w:rFonts w:asciiTheme="majorHAnsi" w:hAnsiTheme="majorHAnsi"/>
          <w:sz w:val="20"/>
          <w:szCs w:val="20"/>
        </w:rPr>
        <w:t xml:space="preserve">, Colo.  </w:t>
      </w:r>
      <w:proofErr w:type="gramStart"/>
      <w:r w:rsidRPr="00FC2E7E">
        <w:rPr>
          <w:rFonts w:asciiTheme="majorHAnsi" w:hAnsiTheme="majorHAnsi"/>
          <w:sz w:val="20"/>
          <w:szCs w:val="20"/>
        </w:rPr>
        <w:t>Tech.</w:t>
      </w:r>
      <w:proofErr w:type="gramEnd"/>
      <w:r w:rsidRPr="00FC2E7E">
        <w:rPr>
          <w:rFonts w:asciiTheme="majorHAnsi" w:hAnsiTheme="majorHAnsi"/>
          <w:sz w:val="20"/>
          <w:szCs w:val="20"/>
        </w:rPr>
        <w:t xml:space="preserve">  L.  J., Vol.  12.2, p. 435.</w:t>
      </w:r>
    </w:p>
  </w:footnote>
  <w:footnote w:id="13">
    <w:p w14:paraId="321FC5D2" w14:textId="77777777" w:rsidR="00E76581" w:rsidRPr="00FC2E7E" w:rsidRDefault="00E76581" w:rsidP="00814EEE">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Big Data: Seizing Opportunities, Preserving Values, May 2014, </w:t>
      </w:r>
      <w:hyperlink r:id="rId5" w:history="1">
        <w:r w:rsidRPr="00FC2E7E">
          <w:rPr>
            <w:rStyle w:val="Hyperlink"/>
            <w:rFonts w:asciiTheme="majorHAnsi" w:hAnsiTheme="majorHAnsi"/>
            <w:sz w:val="20"/>
            <w:szCs w:val="20"/>
          </w:rPr>
          <w:t>https://www.whitehouse.gov/sites/default/files/docs/big_data_privacy_report_may_1_2014.pdf</w:t>
        </w:r>
      </w:hyperlink>
      <w:r w:rsidRPr="00FC2E7E">
        <w:rPr>
          <w:rFonts w:asciiTheme="majorHAnsi" w:hAnsiTheme="majorHAnsi"/>
          <w:sz w:val="20"/>
          <w:szCs w:val="20"/>
        </w:rPr>
        <w:t xml:space="preserve"> [hereinafter “White House Big Data Report”].</w:t>
      </w:r>
    </w:p>
  </w:footnote>
  <w:footnote w:id="14">
    <w:p w14:paraId="41A39115" w14:textId="641385E9" w:rsidR="00E76581" w:rsidRPr="00FC2E7E" w:rsidRDefault="00E76581" w:rsidP="006D6650">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There is no definitive version of the FIPPs, which are recognized worldwide as the foundational principles for data privacy.  Appropriate sources include the OECD Guidelines on the Protection of Privacy, </w:t>
      </w:r>
      <w:hyperlink r:id="rId6" w:history="1">
        <w:r w:rsidRPr="00FC2E7E">
          <w:rPr>
            <w:rStyle w:val="Hyperlink"/>
            <w:rFonts w:asciiTheme="majorHAnsi" w:hAnsiTheme="majorHAnsi"/>
            <w:sz w:val="20"/>
            <w:szCs w:val="20"/>
          </w:rPr>
          <w:t>http://www.oecd.org/sti/ieconomy/oecdguidelinesontheprotectionofprivacyandtransborderflowsofpersonaldata.htm</w:t>
        </w:r>
      </w:hyperlink>
      <w:r w:rsidRPr="00FC2E7E">
        <w:rPr>
          <w:rFonts w:asciiTheme="majorHAnsi" w:hAnsiTheme="majorHAnsi"/>
          <w:sz w:val="20"/>
          <w:szCs w:val="20"/>
        </w:rPr>
        <w:t xml:space="preserve">, the </w:t>
      </w:r>
      <w:proofErr w:type="spellStart"/>
      <w:r w:rsidRPr="00FC2E7E">
        <w:rPr>
          <w:rFonts w:asciiTheme="majorHAnsi" w:hAnsiTheme="majorHAnsi"/>
          <w:sz w:val="20"/>
          <w:szCs w:val="20"/>
        </w:rPr>
        <w:t>Markle</w:t>
      </w:r>
      <w:proofErr w:type="spellEnd"/>
      <w:r w:rsidRPr="00FC2E7E">
        <w:rPr>
          <w:rFonts w:asciiTheme="majorHAnsi" w:hAnsiTheme="majorHAnsi"/>
          <w:sz w:val="20"/>
          <w:szCs w:val="20"/>
        </w:rPr>
        <w:t xml:space="preserve"> Connecting for Health Common Framework, </w:t>
      </w:r>
      <w:hyperlink r:id="rId7" w:history="1">
        <w:r w:rsidRPr="00FC2E7E">
          <w:rPr>
            <w:rStyle w:val="Hyperlink"/>
            <w:rFonts w:asciiTheme="majorHAnsi" w:hAnsiTheme="majorHAnsi"/>
            <w:sz w:val="20"/>
            <w:szCs w:val="20"/>
          </w:rPr>
          <w:t>http://www.markle.org/sites/default/files/CF-Consumers-Full.pdf</w:t>
        </w:r>
      </w:hyperlink>
      <w:r w:rsidRPr="00FC2E7E">
        <w:rPr>
          <w:rFonts w:asciiTheme="majorHAnsi" w:hAnsiTheme="majorHAnsi"/>
          <w:sz w:val="20"/>
          <w:szCs w:val="20"/>
        </w:rPr>
        <w:t xml:space="preserve">, the White House’s 2012 Consumer Bill of Rights, </w:t>
      </w:r>
      <w:hyperlink r:id="rId8" w:history="1">
        <w:r w:rsidRPr="00FC2E7E">
          <w:rPr>
            <w:rStyle w:val="Hyperlink"/>
            <w:rFonts w:asciiTheme="majorHAnsi" w:hAnsiTheme="majorHAnsi"/>
            <w:sz w:val="20"/>
            <w:szCs w:val="20"/>
          </w:rPr>
          <w:t>https://www.whitehouse.gov/sites/default/files/privacy-final.pdf</w:t>
        </w:r>
      </w:hyperlink>
      <w:r w:rsidRPr="00FC2E7E">
        <w:rPr>
          <w:rFonts w:asciiTheme="majorHAnsi" w:hAnsiTheme="majorHAnsi"/>
          <w:sz w:val="20"/>
          <w:szCs w:val="20"/>
        </w:rPr>
        <w:t xml:space="preserve">, and the NIST National Strategy for Trusted Identities in Cyberspace, </w:t>
      </w:r>
      <w:hyperlink r:id="rId9" w:history="1">
        <w:r w:rsidRPr="00FC2E7E">
          <w:rPr>
            <w:rStyle w:val="Hyperlink"/>
            <w:rFonts w:asciiTheme="majorHAnsi" w:hAnsiTheme="majorHAnsi"/>
            <w:sz w:val="20"/>
            <w:szCs w:val="20"/>
          </w:rPr>
          <w:t>http://www.nist.gov/nstic/NSTIC-FIPPs.pdf</w:t>
        </w:r>
      </w:hyperlink>
      <w:r w:rsidRPr="00FC2E7E">
        <w:rPr>
          <w:rFonts w:asciiTheme="majorHAnsi" w:hAnsiTheme="majorHAnsi"/>
          <w:sz w:val="20"/>
          <w:szCs w:val="20"/>
        </w:rPr>
        <w:t xml:space="preserve">.  </w:t>
      </w:r>
    </w:p>
  </w:footnote>
  <w:footnote w:id="15">
    <w:p w14:paraId="3B0199BD" w14:textId="7C4A3801" w:rsidR="00E76581" w:rsidRPr="00FC2E7E" w:rsidRDefault="00E76581" w:rsidP="00BC3689">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White House Big Data Report, p.</w:t>
      </w:r>
      <w:proofErr w:type="gramEnd"/>
      <w:r w:rsidRPr="00FC2E7E">
        <w:rPr>
          <w:rFonts w:asciiTheme="majorHAnsi" w:hAnsiTheme="majorHAnsi"/>
          <w:sz w:val="20"/>
          <w:szCs w:val="20"/>
        </w:rPr>
        <w:t xml:space="preserve">  54, (stating that “re-identification is becoming more powerful than de-identification,” and “focusing on controlling the collection and retention of personal data… may no longer be sufficient to protect personal privacy.”).</w:t>
      </w:r>
    </w:p>
  </w:footnote>
  <w:footnote w:id="16">
    <w:p w14:paraId="4773A999" w14:textId="2EB2F5A4" w:rsidR="00E76581" w:rsidRPr="00FC2E7E" w:rsidRDefault="00E76581" w:rsidP="00A62FE9">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White House Big Data Report, p. 62.</w:t>
      </w:r>
    </w:p>
  </w:footnote>
  <w:footnote w:id="17">
    <w:p w14:paraId="3B3E266D" w14:textId="325215AC" w:rsidR="00E76581" w:rsidRPr="00FC2E7E" w:rsidRDefault="00E76581" w:rsidP="00A62FE9">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White House Big Data Report, p. 23.</w:t>
      </w:r>
    </w:p>
  </w:footnote>
  <w:footnote w:id="18">
    <w:p w14:paraId="119B0095" w14:textId="6E3FB880"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Big Data and Privacy: A Technological Perspective, May 2014, </w:t>
      </w:r>
      <w:hyperlink r:id="rId10" w:history="1">
        <w:r w:rsidRPr="00FC2E7E">
          <w:rPr>
            <w:rStyle w:val="Hyperlink"/>
            <w:rFonts w:asciiTheme="majorHAnsi" w:hAnsiTheme="majorHAnsi"/>
            <w:sz w:val="20"/>
            <w:szCs w:val="20"/>
          </w:rPr>
          <w:t>https://www.whitehouse.gov/sites/default/files/microsites/ostp/PCAST/pcast_big_data_and_privacy_-_may_2014.pdf</w:t>
        </w:r>
      </w:hyperlink>
      <w:r w:rsidRPr="00FC2E7E">
        <w:rPr>
          <w:rFonts w:asciiTheme="majorHAnsi" w:hAnsiTheme="majorHAnsi"/>
          <w:sz w:val="20"/>
          <w:szCs w:val="20"/>
        </w:rPr>
        <w:t>.</w:t>
      </w:r>
    </w:p>
  </w:footnote>
  <w:footnote w:id="19">
    <w:p w14:paraId="794D0B30" w14:textId="0C59C826" w:rsidR="00E76581" w:rsidRPr="00FC2E7E" w:rsidRDefault="00E76581" w:rsidP="00420493">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The Open Government Partnership is a global initiative that began in 2011 to promote transparency and leverage new technologies, among other objectives.  </w:t>
      </w:r>
      <w:r w:rsidRPr="00FC2E7E">
        <w:rPr>
          <w:rFonts w:asciiTheme="majorHAnsi" w:hAnsiTheme="majorHAnsi"/>
          <w:i/>
          <w:sz w:val="20"/>
          <w:szCs w:val="20"/>
        </w:rPr>
        <w:t>See</w:t>
      </w:r>
      <w:r w:rsidRPr="00FC2E7E">
        <w:rPr>
          <w:rFonts w:asciiTheme="majorHAnsi" w:hAnsiTheme="majorHAnsi"/>
          <w:sz w:val="20"/>
          <w:szCs w:val="20"/>
        </w:rPr>
        <w:t xml:space="preserve"> Open Government Partnership, </w:t>
      </w:r>
      <w:hyperlink r:id="rId11" w:history="1">
        <w:r w:rsidRPr="00FC2E7E">
          <w:rPr>
            <w:rStyle w:val="Hyperlink"/>
            <w:rFonts w:asciiTheme="majorHAnsi" w:hAnsiTheme="majorHAnsi"/>
            <w:sz w:val="20"/>
            <w:szCs w:val="20"/>
          </w:rPr>
          <w:t>http://www.opengovpartnership.org</w:t>
        </w:r>
      </w:hyperlink>
      <w:r w:rsidRPr="00FC2E7E">
        <w:rPr>
          <w:rFonts w:asciiTheme="majorHAnsi" w:hAnsiTheme="majorHAnsi"/>
          <w:sz w:val="20"/>
          <w:szCs w:val="20"/>
        </w:rPr>
        <w:t>.</w:t>
      </w:r>
    </w:p>
  </w:footnote>
  <w:footnote w:id="20">
    <w:p w14:paraId="0ED63B3A" w14:textId="6096A18F" w:rsidR="00E76581" w:rsidRPr="00FC2E7E" w:rsidRDefault="00E76581" w:rsidP="00E40E60">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FACT SHEET: Announcing New U.S.  Open Government Commitments on the Third Anniversary of the Open Government Partnership, </w:t>
      </w:r>
      <w:hyperlink r:id="rId12" w:history="1">
        <w:r w:rsidRPr="00FC2E7E">
          <w:rPr>
            <w:rStyle w:val="Hyperlink"/>
            <w:rFonts w:asciiTheme="majorHAnsi" w:hAnsiTheme="majorHAnsi"/>
            <w:sz w:val="20"/>
            <w:szCs w:val="20"/>
          </w:rPr>
          <w:t>https://www.whitehouse.gov/the-press-office/2014/09/24/fact-sheet-announcing-new-us-open-government-commitments-third-anniversa</w:t>
        </w:r>
      </w:hyperlink>
      <w:r w:rsidRPr="00FC2E7E">
        <w:rPr>
          <w:rFonts w:asciiTheme="majorHAnsi" w:hAnsiTheme="majorHAnsi"/>
          <w:sz w:val="20"/>
          <w:szCs w:val="20"/>
        </w:rPr>
        <w:t xml:space="preserve"> [hereinafter “Open Government Partnership”].</w:t>
      </w:r>
    </w:p>
  </w:footnote>
  <w:footnote w:id="21">
    <w:p w14:paraId="0B04126C" w14:textId="77777777"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Open Government Partnership.</w:t>
      </w:r>
    </w:p>
  </w:footnote>
  <w:footnote w:id="22">
    <w:p w14:paraId="71187C4F" w14:textId="7F39B008"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Policy: Privacy and Security Workgroup Virtual Hearing, December 5, 2014, </w:t>
      </w:r>
      <w:hyperlink r:id="rId13" w:history="1">
        <w:r w:rsidRPr="00FC2E7E">
          <w:rPr>
            <w:rStyle w:val="Hyperlink"/>
            <w:rFonts w:asciiTheme="majorHAnsi" w:hAnsiTheme="majorHAnsi"/>
            <w:sz w:val="20"/>
            <w:szCs w:val="20"/>
          </w:rPr>
          <w:t>http://www.healthit.gov/facas/calendar/2014/12/05/policy-privacy-security-workgroup-virtual-hearing</w:t>
        </w:r>
      </w:hyperlink>
      <w:r w:rsidRPr="00FC2E7E">
        <w:rPr>
          <w:rFonts w:asciiTheme="majorHAnsi" w:hAnsiTheme="majorHAnsi"/>
          <w:sz w:val="20"/>
          <w:szCs w:val="20"/>
        </w:rPr>
        <w:t xml:space="preserve"> and Policy: Privacy and Security Workgroup Virtual Hearing, December 8, 2014, </w:t>
      </w:r>
      <w:hyperlink r:id="rId14" w:history="1">
        <w:r w:rsidRPr="00FC2E7E">
          <w:rPr>
            <w:rStyle w:val="Hyperlink"/>
            <w:rFonts w:asciiTheme="majorHAnsi" w:hAnsiTheme="majorHAnsi"/>
            <w:sz w:val="20"/>
            <w:szCs w:val="20"/>
          </w:rPr>
          <w:t>http://www.healthit.gov/facas/calendar/2014/12/08/policy-privacy-security-workgroup-virtual-hearing</w:t>
        </w:r>
      </w:hyperlink>
      <w:r w:rsidRPr="00FC2E7E">
        <w:rPr>
          <w:rFonts w:asciiTheme="majorHAnsi" w:hAnsiTheme="majorHAnsi"/>
          <w:sz w:val="20"/>
          <w:szCs w:val="20"/>
        </w:rPr>
        <w:t>.</w:t>
      </w:r>
    </w:p>
  </w:footnote>
  <w:footnote w:id="23">
    <w:p w14:paraId="3643697D" w14:textId="77777777" w:rsidR="00E76581" w:rsidRPr="00FC2E7E" w:rsidRDefault="00E76581" w:rsidP="00321CEC">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Please see Appendix A, Health Big Data Public Hearing Topics and Speakers.</w:t>
      </w:r>
    </w:p>
  </w:footnote>
  <w:footnote w:id="24">
    <w:p w14:paraId="59F55AF0" w14:textId="68666A3B"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Policy: Privacy and Security Workgroup, February 9, 2015, </w:t>
      </w:r>
      <w:hyperlink r:id="rId15" w:history="1">
        <w:r w:rsidRPr="00FC2E7E">
          <w:rPr>
            <w:rStyle w:val="Hyperlink"/>
            <w:rFonts w:asciiTheme="majorHAnsi" w:hAnsiTheme="majorHAnsi"/>
            <w:sz w:val="20"/>
            <w:szCs w:val="20"/>
          </w:rPr>
          <w:t>http://www.healthit.gov/facas/calendar/2015/02/09/policy-privacy-security-workgroup</w:t>
        </w:r>
      </w:hyperlink>
      <w:r w:rsidRPr="00FC2E7E">
        <w:rPr>
          <w:rFonts w:asciiTheme="majorHAnsi" w:hAnsiTheme="majorHAnsi"/>
          <w:sz w:val="20"/>
          <w:szCs w:val="20"/>
        </w:rPr>
        <w:t>.</w:t>
      </w:r>
    </w:p>
  </w:footnote>
  <w:footnote w:id="25">
    <w:p w14:paraId="7BEFBEDE" w14:textId="4585E000"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HITPC Meeting, March 10, 2015, </w:t>
      </w:r>
      <w:hyperlink r:id="rId16" w:history="1">
        <w:r w:rsidRPr="00FC2E7E">
          <w:rPr>
            <w:rStyle w:val="Hyperlink"/>
            <w:rFonts w:asciiTheme="majorHAnsi" w:hAnsiTheme="majorHAnsi"/>
            <w:sz w:val="20"/>
            <w:szCs w:val="20"/>
          </w:rPr>
          <w:t>http://www.healthit.gov/FACAS/calendar/2015/03/10/hit-policy-committee</w:t>
        </w:r>
      </w:hyperlink>
      <w:r w:rsidRPr="00FC2E7E">
        <w:rPr>
          <w:rFonts w:asciiTheme="majorHAnsi" w:hAnsiTheme="majorHAnsi"/>
          <w:sz w:val="20"/>
          <w:szCs w:val="20"/>
        </w:rPr>
        <w:t xml:space="preserve"> and Virtual HITPC Meeting, June 30, 2015, </w:t>
      </w:r>
      <w:hyperlink r:id="rId17" w:history="1">
        <w:r w:rsidRPr="00FC2E7E">
          <w:rPr>
            <w:rStyle w:val="Hyperlink"/>
            <w:rFonts w:asciiTheme="majorHAnsi" w:hAnsiTheme="majorHAnsi"/>
            <w:sz w:val="20"/>
            <w:szCs w:val="20"/>
          </w:rPr>
          <w:t>http://www.healthit.gov/FACAS/calendar/2015/06/30/virtual-hit-policy-committee</w:t>
        </w:r>
      </w:hyperlink>
      <w:r w:rsidRPr="00FC2E7E">
        <w:rPr>
          <w:rFonts w:asciiTheme="majorHAnsi" w:hAnsiTheme="majorHAnsi"/>
          <w:sz w:val="20"/>
          <w:szCs w:val="20"/>
        </w:rPr>
        <w:t>.</w:t>
      </w:r>
    </w:p>
  </w:footnote>
  <w:footnote w:id="26">
    <w:p w14:paraId="5332B959" w14:textId="77777777"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 brief summary of these activities is provided in Appendix C.</w:t>
      </w:r>
    </w:p>
  </w:footnote>
  <w:footnote w:id="27">
    <w:p w14:paraId="5BFD7C79" w14:textId="77777777"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Information about the hearing agendas and testifiers is provided in Appendix A.</w:t>
      </w:r>
    </w:p>
  </w:footnote>
  <w:footnote w:id="28">
    <w:p w14:paraId="269D1270" w14:textId="0FD2DC98" w:rsidR="00E76581" w:rsidRPr="00FC2E7E" w:rsidRDefault="00E76581" w:rsidP="000D65D0">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Stephen J.  Downs, December 5, p. 8.</w:t>
      </w:r>
    </w:p>
  </w:footnote>
  <w:footnote w:id="29">
    <w:p w14:paraId="72D91C6A" w14:textId="7230DA59" w:rsidR="00E76581" w:rsidRPr="00FC2E7E" w:rsidRDefault="00E76581" w:rsidP="0091683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Stephen Downs, December 5, p. 20; Mark Savage, December 5, p. 30; David McCallie, Jr., Privacy and Security Workgroup Transcript, December 8, 2014, p.  </w:t>
      </w:r>
      <w:proofErr w:type="gramStart"/>
      <w:r w:rsidRPr="00FC2E7E">
        <w:rPr>
          <w:rFonts w:asciiTheme="majorHAnsi" w:hAnsiTheme="majorHAnsi"/>
          <w:sz w:val="20"/>
          <w:szCs w:val="20"/>
        </w:rPr>
        <w:t>21 [hereinafter “December 8”].</w:t>
      </w:r>
      <w:proofErr w:type="gramEnd"/>
    </w:p>
  </w:footnote>
  <w:footnote w:id="30">
    <w:p w14:paraId="34F01F0E" w14:textId="5EAFC910"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Guidance Regarding Methods for De-Identification of Protected Health Information, </w:t>
      </w:r>
      <w:hyperlink r:id="rId18" w:history="1">
        <w:r w:rsidRPr="00FC2E7E">
          <w:rPr>
            <w:rStyle w:val="Hyperlink"/>
            <w:rFonts w:asciiTheme="majorHAnsi" w:hAnsiTheme="majorHAnsi"/>
            <w:sz w:val="20"/>
            <w:szCs w:val="20"/>
          </w:rPr>
          <w:t>http://www.hhs.gov/ocr/privacy/hipaa/understanding/coveredentities/De-identification/guidance.html</w:t>
        </w:r>
      </w:hyperlink>
      <w:r w:rsidRPr="00FC2E7E">
        <w:rPr>
          <w:rFonts w:asciiTheme="majorHAnsi" w:hAnsiTheme="majorHAnsi"/>
          <w:sz w:val="20"/>
          <w:szCs w:val="20"/>
        </w:rPr>
        <w:t>.</w:t>
      </w:r>
    </w:p>
  </w:footnote>
  <w:footnote w:id="31">
    <w:p w14:paraId="0E240486" w14:textId="27484AE1" w:rsidR="00E76581" w:rsidRPr="00FC2E7E" w:rsidRDefault="00E76581" w:rsidP="00D15AEC">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generally,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48-49.</w:t>
      </w:r>
    </w:p>
  </w:footnote>
  <w:footnote w:id="32">
    <w:p w14:paraId="16CE3F75" w14:textId="162C0C5E" w:rsidR="00E76581" w:rsidRPr="00FC2E7E" w:rsidRDefault="00E76581" w:rsidP="00FD765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w:t>
      </w:r>
      <w:proofErr w:type="gramEnd"/>
      <w:r w:rsidRPr="00FC2E7E">
        <w:rPr>
          <w:rFonts w:asciiTheme="majorHAnsi" w:hAnsiTheme="majorHAnsi"/>
          <w:sz w:val="20"/>
          <w:szCs w:val="20"/>
        </w:rPr>
        <w:t xml:space="preserve">  29; Mark Savage, December 5, p. 38, 41; Fred Cate, December 5, p. 63.</w:t>
      </w:r>
    </w:p>
  </w:footnote>
  <w:footnote w:id="33">
    <w:p w14:paraId="4C6F58DF" w14:textId="6AFFEEED"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Stanley Crosley, Privacy and Security Workgroup Transcript 2015-01-26, p. 17 [hereinafter “January 26”].</w:t>
      </w:r>
      <w:proofErr w:type="gramEnd"/>
      <w:r w:rsidRPr="00FC2E7E">
        <w:rPr>
          <w:rFonts w:asciiTheme="majorHAnsi" w:hAnsiTheme="majorHAnsi"/>
          <w:sz w:val="20"/>
          <w:szCs w:val="20"/>
        </w:rPr>
        <w:t xml:space="preserve">  See also, </w:t>
      </w:r>
      <w:hyperlink r:id="rId19" w:history="1">
        <w:r w:rsidRPr="00FC2E7E">
          <w:rPr>
            <w:rStyle w:val="Hyperlink"/>
            <w:rFonts w:asciiTheme="majorHAnsi" w:hAnsiTheme="majorHAnsi"/>
            <w:sz w:val="20"/>
            <w:szCs w:val="20"/>
          </w:rPr>
          <w:t>www.healthit.gov/meaningfulconsent</w:t>
        </w:r>
      </w:hyperlink>
      <w:r w:rsidRPr="00FC2E7E">
        <w:rPr>
          <w:rFonts w:asciiTheme="majorHAnsi" w:hAnsiTheme="majorHAnsi"/>
          <w:sz w:val="20"/>
          <w:szCs w:val="20"/>
        </w:rPr>
        <w:t>.</w:t>
      </w:r>
    </w:p>
  </w:footnote>
  <w:footnote w:id="34">
    <w:p w14:paraId="1E1D8379" w14:textId="01DCFCC0" w:rsidR="00E76581" w:rsidRPr="00FC2E7E" w:rsidRDefault="00E76581" w:rsidP="007C458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Stanley Crosley, January 26, p. 17.</w:t>
      </w:r>
    </w:p>
  </w:footnote>
  <w:footnote w:id="35">
    <w:p w14:paraId="6D49714D" w14:textId="7C7776D8" w:rsidR="00E76581" w:rsidRPr="00FC2E7E" w:rsidRDefault="00E76581" w:rsidP="00334B6C">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29.</w:t>
      </w:r>
    </w:p>
  </w:footnote>
  <w:footnote w:id="36">
    <w:p w14:paraId="358C9318" w14:textId="40F0EEB2" w:rsidR="00E76581" w:rsidRPr="00FC2E7E" w:rsidRDefault="00E76581" w:rsidP="002537B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xml:space="preserve">, December 5, p. 30;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Privacy and Security Workgroup Transcript, February 9, 2015,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6 [hereinafter “February 9”].</w:t>
      </w:r>
      <w:proofErr w:type="gramEnd"/>
    </w:p>
  </w:footnote>
  <w:footnote w:id="37">
    <w:p w14:paraId="6CF3C22D" w14:textId="4E2B28BE" w:rsidR="00E76581" w:rsidRPr="00FC2E7E" w:rsidRDefault="00E76581" w:rsidP="00761FD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53.</w:t>
      </w:r>
    </w:p>
  </w:footnote>
  <w:footnote w:id="38">
    <w:p w14:paraId="5E6D3CF8" w14:textId="478B6034"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Testimony of CDT for the HIT Privacy and Security Workgroup Virtual Hearing, December 5, 2014, p. 3, </w:t>
      </w:r>
      <w:hyperlink r:id="rId20" w:history="1">
        <w:r w:rsidRPr="00FC2E7E">
          <w:rPr>
            <w:rStyle w:val="Hyperlink"/>
            <w:rFonts w:asciiTheme="majorHAnsi" w:hAnsiTheme="majorHAnsi"/>
            <w:sz w:val="20"/>
            <w:szCs w:val="20"/>
          </w:rPr>
          <w:t>http://www.healthit.gov/facas/sites/faca/files/PSWG_Testimony_Michelle_DeMooy_CDT_2014-12-05_0.pdf</w:t>
        </w:r>
      </w:hyperlink>
      <w:r w:rsidRPr="00FC2E7E">
        <w:rPr>
          <w:rStyle w:val="Hyperlink"/>
          <w:rFonts w:asciiTheme="majorHAnsi" w:hAnsiTheme="majorHAnsi"/>
          <w:sz w:val="20"/>
          <w:szCs w:val="20"/>
        </w:rPr>
        <w:t xml:space="preserve"> </w:t>
      </w:r>
      <w:r w:rsidRPr="00FC2E7E">
        <w:rPr>
          <w:rStyle w:val="Hyperlink"/>
          <w:rFonts w:asciiTheme="majorHAnsi" w:hAnsiTheme="majorHAnsi"/>
          <w:color w:val="auto"/>
          <w:sz w:val="20"/>
          <w:szCs w:val="20"/>
          <w:u w:val="none"/>
        </w:rPr>
        <w:t>(emphasis added) [hereinafter “CDT Testimony”].</w:t>
      </w:r>
    </w:p>
  </w:footnote>
  <w:footnote w:id="39">
    <w:p w14:paraId="1FC8E36B" w14:textId="7B732B4E" w:rsidR="00E76581" w:rsidRPr="00FC2E7E" w:rsidRDefault="00E76581" w:rsidP="004E4EF4">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35-36.</w:t>
      </w:r>
    </w:p>
  </w:footnote>
  <w:footnote w:id="40">
    <w:p w14:paraId="78C933DE" w14:textId="673840F6" w:rsidR="00E76581" w:rsidRPr="00FC2E7E" w:rsidRDefault="00E76581" w:rsidP="009F065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Ella </w:t>
      </w:r>
      <w:proofErr w:type="spellStart"/>
      <w:r w:rsidRPr="00FC2E7E">
        <w:rPr>
          <w:rFonts w:asciiTheme="majorHAnsi" w:hAnsiTheme="majorHAnsi"/>
          <w:sz w:val="20"/>
          <w:szCs w:val="20"/>
        </w:rPr>
        <w:t>Mihov</w:t>
      </w:r>
      <w:proofErr w:type="spellEnd"/>
      <w:r w:rsidRPr="00FC2E7E">
        <w:rPr>
          <w:rFonts w:asciiTheme="majorHAnsi" w:hAnsiTheme="majorHAnsi"/>
          <w:sz w:val="20"/>
          <w:szCs w:val="20"/>
        </w:rPr>
        <w:t>, December 8, p. 30-31.</w:t>
      </w:r>
    </w:p>
  </w:footnote>
  <w:footnote w:id="41">
    <w:p w14:paraId="59D7CE19" w14:textId="1D1681C9" w:rsidR="00E76581" w:rsidRPr="00FC2E7E" w:rsidRDefault="00E76581" w:rsidP="001C31F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43.</w:t>
      </w:r>
    </w:p>
  </w:footnote>
  <w:footnote w:id="42">
    <w:p w14:paraId="470A7810" w14:textId="6130A499" w:rsidR="00E76581" w:rsidRPr="003A6165" w:rsidRDefault="00E76581" w:rsidP="00594ED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Dev</w:t>
      </w:r>
      <w:r w:rsidRPr="003A6165">
        <w:rPr>
          <w:rFonts w:asciiTheme="majorHAnsi" w:hAnsiTheme="majorHAnsi"/>
          <w:sz w:val="20"/>
          <w:szCs w:val="20"/>
        </w:rPr>
        <w:t xml:space="preserve">en McGraw, December 8, p. 19; Khaled El </w:t>
      </w:r>
      <w:proofErr w:type="spellStart"/>
      <w:r w:rsidRPr="003A6165">
        <w:rPr>
          <w:rFonts w:asciiTheme="majorHAnsi" w:hAnsiTheme="majorHAnsi"/>
          <w:sz w:val="20"/>
          <w:szCs w:val="20"/>
        </w:rPr>
        <w:t>Emam</w:t>
      </w:r>
      <w:proofErr w:type="spellEnd"/>
      <w:r w:rsidRPr="003A6165">
        <w:rPr>
          <w:rFonts w:asciiTheme="majorHAnsi" w:hAnsiTheme="majorHAnsi"/>
          <w:sz w:val="20"/>
          <w:szCs w:val="20"/>
        </w:rPr>
        <w:t>, December 5, p.</w:t>
      </w:r>
      <w:proofErr w:type="gramEnd"/>
      <w:r w:rsidRPr="003A6165">
        <w:rPr>
          <w:rFonts w:asciiTheme="majorHAnsi" w:hAnsiTheme="majorHAnsi"/>
          <w:sz w:val="20"/>
          <w:szCs w:val="20"/>
        </w:rPr>
        <w:t xml:space="preserve">  52.</w:t>
      </w:r>
    </w:p>
  </w:footnote>
  <w:footnote w:id="43">
    <w:p w14:paraId="69A56AB1" w14:textId="46A1DBF4" w:rsidR="00E76581" w:rsidRPr="00FC2E7E" w:rsidRDefault="00E76581">
      <w:pPr>
        <w:pStyle w:val="FootnoteText"/>
        <w:rPr>
          <w:rFonts w:asciiTheme="majorHAnsi" w:hAnsiTheme="majorHAnsi"/>
          <w:sz w:val="20"/>
          <w:szCs w:val="20"/>
        </w:rPr>
      </w:pPr>
      <w:r w:rsidRPr="003A6165">
        <w:rPr>
          <w:rStyle w:val="FootnoteReference"/>
          <w:rFonts w:asciiTheme="majorHAnsi" w:hAnsiTheme="majorHAnsi"/>
          <w:sz w:val="20"/>
          <w:szCs w:val="20"/>
        </w:rPr>
        <w:footnoteRef/>
      </w:r>
      <w:r w:rsidRPr="003A6165">
        <w:rPr>
          <w:rFonts w:asciiTheme="majorHAnsi" w:hAnsiTheme="majorHAnsi"/>
          <w:sz w:val="20"/>
          <w:szCs w:val="20"/>
        </w:rPr>
        <w:t xml:space="preserve"> See e.g. The Journal of the National Center, Vol 2, </w:t>
      </w:r>
      <w:proofErr w:type="gramStart"/>
      <w:r w:rsidRPr="003A6165">
        <w:rPr>
          <w:rFonts w:asciiTheme="majorHAnsi" w:hAnsiTheme="majorHAnsi"/>
          <w:sz w:val="20"/>
          <w:szCs w:val="20"/>
        </w:rPr>
        <w:t>No..</w:t>
      </w:r>
      <w:proofErr w:type="gramEnd"/>
      <w:r w:rsidRPr="003A6165">
        <w:rPr>
          <w:rFonts w:asciiTheme="majorHAnsi" w:hAnsiTheme="majorHAnsi"/>
          <w:sz w:val="20"/>
          <w:szCs w:val="20"/>
        </w:rPr>
        <w:t xml:space="preserve"> 3, spring 1989, regarding the Barrow, Alaska alcohol study, available at: </w:t>
      </w:r>
      <w:hyperlink r:id="rId21" w:history="1">
        <w:r w:rsidRPr="003A6165">
          <w:rPr>
            <w:rStyle w:val="Hyperlink"/>
            <w:rFonts w:asciiTheme="majorHAnsi" w:eastAsia="Times New Roman" w:hAnsiTheme="majorHAnsi"/>
            <w:sz w:val="20"/>
            <w:szCs w:val="20"/>
          </w:rPr>
          <w:t>http://www.ucdenver.edu/academics/colleges/PublicHealth/research/centers/CAIANH/journal/Pages/Volume2.aspx</w:t>
        </w:r>
      </w:hyperlink>
      <w:r w:rsidRPr="00FC2E7E">
        <w:rPr>
          <w:rFonts w:asciiTheme="majorHAnsi" w:eastAsia="Times New Roman" w:hAnsiTheme="majorHAnsi"/>
          <w:color w:val="000000"/>
          <w:sz w:val="20"/>
          <w:szCs w:val="20"/>
        </w:rPr>
        <w:t>.</w:t>
      </w:r>
    </w:p>
  </w:footnote>
  <w:footnote w:id="44">
    <w:p w14:paraId="77ACD5A0" w14:textId="5B0C44FF" w:rsidR="00E76581" w:rsidRPr="00FC2E7E" w:rsidRDefault="00E76581" w:rsidP="003E71F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52.</w:t>
      </w:r>
    </w:p>
  </w:footnote>
  <w:footnote w:id="45">
    <w:p w14:paraId="3C8C56D5" w14:textId="77777777" w:rsidR="00E76581" w:rsidRPr="00FC2E7E" w:rsidRDefault="00E76581" w:rsidP="0006077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HHS and the FTC share concurrent jurisdiction in some cases, such that the FTC’s jurisdiction extends to certain HIPAA-covered entities, and the agencies coordinated where appropriate.</w:t>
      </w:r>
    </w:p>
  </w:footnote>
  <w:footnote w:id="46">
    <w:p w14:paraId="6EEBFF05" w14:textId="1428D007" w:rsidR="00E76581" w:rsidRPr="00FC2E7E" w:rsidRDefault="00E76581" w:rsidP="00A933C4">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28; Deven McGraw, December 8, p. 19.</w:t>
      </w:r>
    </w:p>
  </w:footnote>
  <w:footnote w:id="47">
    <w:p w14:paraId="6EA35441" w14:textId="4424E340" w:rsidR="00E76581" w:rsidRPr="00FC2E7E" w:rsidRDefault="00E76581" w:rsidP="00A933C4">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xml:space="preserve">, Moving Toward a New Health Care Privacy Paradigm, Wiley Rein LLP, November 2014, p. 7, </w:t>
      </w:r>
      <w:hyperlink r:id="rId22" w:history="1">
        <w:r w:rsidRPr="00FC2E7E">
          <w:rPr>
            <w:rStyle w:val="Hyperlink"/>
            <w:rFonts w:asciiTheme="majorHAnsi" w:hAnsiTheme="majorHAnsi"/>
            <w:sz w:val="20"/>
            <w:szCs w:val="20"/>
          </w:rPr>
          <w:t>http://www.healthit.gov/facas/sites/faca/files/PSWG_Background_Kirk_Nahra_Health_Care_Privacy_Paradigm_2014-12-08.pdf</w:t>
        </w:r>
      </w:hyperlink>
      <w:r w:rsidRPr="00FC2E7E">
        <w:rPr>
          <w:rFonts w:asciiTheme="majorHAnsi" w:hAnsiTheme="majorHAnsi"/>
          <w:sz w:val="20"/>
          <w:szCs w:val="20"/>
        </w:rPr>
        <w:t xml:space="preserve">.  </w:t>
      </w:r>
    </w:p>
  </w:footnote>
  <w:footnote w:id="48">
    <w:p w14:paraId="3B2038F5" w14:textId="5C5A8D4C" w:rsidR="00E76581" w:rsidRPr="00FC2E7E" w:rsidRDefault="00E76581" w:rsidP="00900FB7">
      <w:pPr>
        <w:pStyle w:val="Default"/>
        <w:rPr>
          <w:rFonts w:asciiTheme="majorHAnsi" w:eastAsiaTheme="minorEastAsia"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Office of Management and Budget, </w:t>
      </w:r>
      <w:r w:rsidRPr="00FC2E7E">
        <w:rPr>
          <w:rFonts w:asciiTheme="majorHAnsi" w:hAnsiTheme="majorHAnsi"/>
          <w:color w:val="181818"/>
          <w:sz w:val="20"/>
          <w:szCs w:val="20"/>
        </w:rPr>
        <w:t>M-13-</w:t>
      </w:r>
      <w:proofErr w:type="gramStart"/>
      <w:r w:rsidRPr="00FC2E7E">
        <w:rPr>
          <w:rFonts w:asciiTheme="majorHAnsi" w:hAnsiTheme="majorHAnsi"/>
          <w:color w:val="181818"/>
          <w:sz w:val="20"/>
          <w:szCs w:val="20"/>
        </w:rPr>
        <w:t>13,</w:t>
      </w:r>
      <w:proofErr w:type="gramEnd"/>
      <w:r w:rsidRPr="00FC2E7E">
        <w:rPr>
          <w:rFonts w:asciiTheme="majorHAnsi" w:hAnsiTheme="majorHAnsi"/>
          <w:color w:val="181818"/>
          <w:sz w:val="20"/>
          <w:szCs w:val="20"/>
        </w:rPr>
        <w:t xml:space="preserve"> </w:t>
      </w:r>
      <w:r w:rsidRPr="00FC2E7E">
        <w:rPr>
          <w:rFonts w:asciiTheme="majorHAnsi" w:hAnsiTheme="majorHAnsi"/>
          <w:sz w:val="20"/>
          <w:szCs w:val="20"/>
        </w:rPr>
        <w:t xml:space="preserve">Open Data Policy – Managing Information as an Asset, </w:t>
      </w:r>
      <w:hyperlink r:id="rId23" w:history="1">
        <w:r w:rsidRPr="00FC2E7E">
          <w:rPr>
            <w:rStyle w:val="Hyperlink"/>
            <w:rFonts w:asciiTheme="majorHAnsi" w:hAnsiTheme="majorHAnsi"/>
            <w:sz w:val="20"/>
            <w:szCs w:val="20"/>
          </w:rPr>
          <w:t>https://www.whitehouse.gov/sites/default/files/omb/memoranda/2013/m-13-13.pdf</w:t>
        </w:r>
      </w:hyperlink>
      <w:r w:rsidRPr="00FC2E7E">
        <w:rPr>
          <w:rFonts w:asciiTheme="majorHAnsi" w:hAnsiTheme="majorHAnsi"/>
          <w:sz w:val="20"/>
          <w:szCs w:val="20"/>
        </w:rPr>
        <w:t>.</w:t>
      </w:r>
    </w:p>
  </w:footnote>
  <w:footnote w:id="49">
    <w:p w14:paraId="71C94027" w14:textId="251FA84B" w:rsidR="00E76581" w:rsidRPr="00FC2E7E" w:rsidRDefault="00E76581" w:rsidP="0087424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Data for Health: Learning What Works, Robert Wood Johnson Foundation, April 2, 2015, p</w:t>
      </w:r>
      <w:proofErr w:type="gramStart"/>
      <w:r w:rsidRPr="00FC2E7E">
        <w:rPr>
          <w:rFonts w:asciiTheme="majorHAnsi" w:hAnsiTheme="majorHAnsi"/>
          <w:sz w:val="20"/>
          <w:szCs w:val="20"/>
        </w:rPr>
        <w:t>.  3</w:t>
      </w:r>
      <w:proofErr w:type="gramEnd"/>
      <w:r w:rsidRPr="00FC2E7E">
        <w:rPr>
          <w:rFonts w:asciiTheme="majorHAnsi" w:hAnsiTheme="majorHAnsi"/>
          <w:sz w:val="20"/>
          <w:szCs w:val="20"/>
        </w:rPr>
        <w:t xml:space="preserve">, 29, </w:t>
      </w:r>
      <w:hyperlink r:id="rId24" w:history="1">
        <w:r w:rsidRPr="00FC2E7E">
          <w:rPr>
            <w:rStyle w:val="Hyperlink"/>
            <w:rFonts w:asciiTheme="majorHAnsi" w:hAnsiTheme="majorHAnsi"/>
            <w:sz w:val="20"/>
            <w:szCs w:val="20"/>
          </w:rPr>
          <w:t>http://www.rwjf.org/content/dam/farm/reports/reports/2015/rwjf418628</w:t>
        </w:r>
      </w:hyperlink>
      <w:r w:rsidRPr="00FC2E7E">
        <w:rPr>
          <w:rFonts w:asciiTheme="majorHAnsi" w:hAnsiTheme="majorHAnsi"/>
          <w:sz w:val="20"/>
          <w:szCs w:val="20"/>
        </w:rPr>
        <w:t xml:space="preserve">.  </w:t>
      </w:r>
    </w:p>
  </w:footnote>
  <w:footnote w:id="50">
    <w:p w14:paraId="06699A61" w14:textId="1A723373" w:rsidR="00E76581" w:rsidRPr="00FC2E7E" w:rsidRDefault="00E76581" w:rsidP="00DD72D9">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 e.g.</w:t>
      </w:r>
      <w:r w:rsidRPr="00FC2E7E">
        <w:rPr>
          <w:rFonts w:asciiTheme="majorHAnsi" w:hAnsiTheme="majorHAnsi"/>
          <w:sz w:val="20"/>
          <w:szCs w:val="20"/>
        </w:rPr>
        <w:t xml:space="preserve">, </w:t>
      </w:r>
      <w:proofErr w:type="spellStart"/>
      <w:r w:rsidRPr="00FC2E7E">
        <w:rPr>
          <w:rFonts w:asciiTheme="majorHAnsi" w:hAnsiTheme="majorHAnsi"/>
          <w:sz w:val="20"/>
          <w:szCs w:val="20"/>
          <w:highlight w:val="yellow"/>
        </w:rPr>
        <w:t>HealtheWay</w:t>
      </w:r>
      <w:proofErr w:type="spellEnd"/>
      <w:r w:rsidRPr="00FC2E7E">
        <w:rPr>
          <w:rFonts w:asciiTheme="majorHAnsi" w:hAnsiTheme="majorHAnsi"/>
          <w:sz w:val="20"/>
          <w:szCs w:val="20"/>
          <w:highlight w:val="yellow"/>
        </w:rPr>
        <w:t xml:space="preserve">/Sequoia Project, </w:t>
      </w:r>
      <w:hyperlink r:id="rId25" w:history="1">
        <w:r w:rsidRPr="00FC2E7E">
          <w:rPr>
            <w:rStyle w:val="Hyperlink"/>
            <w:rFonts w:asciiTheme="majorHAnsi" w:hAnsiTheme="majorHAnsi"/>
            <w:sz w:val="20"/>
            <w:szCs w:val="20"/>
            <w:highlight w:val="yellow"/>
          </w:rPr>
          <w:t>http://sequoiaproject.org/</w:t>
        </w:r>
      </w:hyperlink>
      <w:proofErr w:type="gramStart"/>
      <w:r w:rsidRPr="00FC2E7E">
        <w:rPr>
          <w:rFonts w:asciiTheme="majorHAnsi" w:hAnsiTheme="majorHAnsi"/>
          <w:sz w:val="20"/>
          <w:szCs w:val="20"/>
          <w:highlight w:val="yellow"/>
        </w:rPr>
        <w:t>;  Community</w:t>
      </w:r>
      <w:proofErr w:type="gramEnd"/>
      <w:r w:rsidRPr="00FC2E7E">
        <w:rPr>
          <w:rFonts w:asciiTheme="majorHAnsi" w:hAnsiTheme="majorHAnsi"/>
          <w:sz w:val="20"/>
          <w:szCs w:val="20"/>
          <w:highlight w:val="yellow"/>
        </w:rPr>
        <w:t xml:space="preserve"> Research Boards supported  by the Community-Campus Partnership for Health, </w:t>
      </w:r>
      <w:hyperlink r:id="rId26" w:history="1">
        <w:r w:rsidRPr="00FC2E7E">
          <w:rPr>
            <w:rStyle w:val="Hyperlink"/>
            <w:rFonts w:asciiTheme="majorHAnsi" w:hAnsiTheme="majorHAnsi"/>
            <w:sz w:val="20"/>
            <w:szCs w:val="20"/>
            <w:highlight w:val="yellow"/>
          </w:rPr>
          <w:t>http://www.cph.info</w:t>
        </w:r>
      </w:hyperlink>
      <w:r w:rsidRPr="00FC2E7E">
        <w:rPr>
          <w:rFonts w:asciiTheme="majorHAnsi" w:hAnsiTheme="majorHAnsi"/>
          <w:sz w:val="20"/>
          <w:szCs w:val="20"/>
          <w:highlight w:val="yellow"/>
        </w:rPr>
        <w:t xml:space="preserve">; </w:t>
      </w:r>
      <w:proofErr w:type="spellStart"/>
      <w:r w:rsidRPr="00FC2E7E">
        <w:rPr>
          <w:rFonts w:asciiTheme="majorHAnsi" w:hAnsiTheme="majorHAnsi"/>
          <w:sz w:val="20"/>
          <w:szCs w:val="20"/>
          <w:highlight w:val="yellow"/>
        </w:rPr>
        <w:t>PCORnet</w:t>
      </w:r>
      <w:proofErr w:type="spellEnd"/>
      <w:r w:rsidRPr="00FC2E7E">
        <w:rPr>
          <w:rFonts w:asciiTheme="majorHAnsi" w:hAnsiTheme="majorHAnsi"/>
          <w:sz w:val="20"/>
          <w:szCs w:val="20"/>
          <w:highlight w:val="yellow"/>
        </w:rPr>
        <w:t xml:space="preserve">, </w:t>
      </w:r>
      <w:hyperlink r:id="rId27" w:history="1">
        <w:r w:rsidRPr="00FC2E7E">
          <w:rPr>
            <w:rStyle w:val="Hyperlink"/>
            <w:rFonts w:asciiTheme="majorHAnsi" w:hAnsiTheme="majorHAnsi"/>
            <w:sz w:val="20"/>
            <w:szCs w:val="20"/>
          </w:rPr>
          <w:t>http://www.pcori.org/research-results/pcornet-national-patient-centered-clinical-research-network</w:t>
        </w:r>
      </w:hyperlink>
      <w:r w:rsidRPr="00FC2E7E">
        <w:rPr>
          <w:rFonts w:asciiTheme="majorHAnsi" w:hAnsiTheme="majorHAnsi"/>
          <w:sz w:val="20"/>
          <w:szCs w:val="20"/>
        </w:rPr>
        <w:t xml:space="preserve">.  </w:t>
      </w:r>
      <w:r w:rsidRPr="00FC2E7E">
        <w:rPr>
          <w:rFonts w:asciiTheme="majorHAnsi" w:hAnsiTheme="majorHAnsi"/>
          <w:i/>
          <w:sz w:val="20"/>
          <w:szCs w:val="20"/>
          <w:highlight w:val="yellow"/>
        </w:rPr>
        <w:t>See also</w:t>
      </w:r>
      <w:r w:rsidRPr="00FC2E7E">
        <w:rPr>
          <w:rFonts w:asciiTheme="majorHAnsi" w:hAnsiTheme="majorHAnsi"/>
          <w:sz w:val="20"/>
          <w:szCs w:val="20"/>
          <w:highlight w:val="yellow"/>
        </w:rPr>
        <w:t xml:space="preserve"> Toolkit for Communities Using Health Data: How to collect, use, protect, and share data responsibly, NCVHS, Draft 8: November 6, 2014, </w:t>
      </w:r>
      <w:hyperlink r:id="rId28" w:history="1">
        <w:r w:rsidRPr="00FC2E7E">
          <w:rPr>
            <w:rStyle w:val="Hyperlink"/>
            <w:rFonts w:asciiTheme="majorHAnsi" w:hAnsiTheme="majorHAnsi"/>
            <w:sz w:val="20"/>
            <w:szCs w:val="20"/>
            <w:highlight w:val="yellow"/>
          </w:rPr>
          <w:t>http://www.healthit.gov/facas/sites/faca/files/PSWG_Background_Leslie_Francis_NCVHS_Toolkit_2014-12-08.pdf</w:t>
        </w:r>
      </w:hyperlink>
      <w:r w:rsidRPr="00FC2E7E">
        <w:rPr>
          <w:rFonts w:asciiTheme="majorHAnsi" w:hAnsiTheme="majorHAnsi"/>
          <w:sz w:val="20"/>
          <w:szCs w:val="20"/>
          <w:highlight w:val="yellow"/>
        </w:rPr>
        <w:t>.</w:t>
      </w:r>
    </w:p>
  </w:footnote>
  <w:footnote w:id="51">
    <w:p w14:paraId="50AF0E67" w14:textId="45BAAA1B" w:rsidR="00E76581" w:rsidRPr="00FC2E7E" w:rsidRDefault="00E76581" w:rsidP="00DD72D9">
      <w:pPr>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The FCRA offers the consumers the following protections: must be told if his/her information has been used against them (e.g., to deny their application for credit, insurance, or employment); right to know what information is in their file; right to ask for a credit score, and CRAs must respond by disclosing the current or most recent score that has been computed for the consumer, the range of possible scores, all of the key factors (up to four of them) that adversely affected the score, the date it was created, and who provided the score or the file upon which it was created; right to dispute incomplete or inaccurate information in their credit file; CRAs must correct or delete inaccurate, incomplete, or unverifiable information; CRAs may not report outdated negative information and may not use such information in computing credit scores; access to and the use of a consumer’s file must be limited; must give consent for reports to be provided to employers; may limit “prescreened” offers of credit and insurance based on information in their credit report; may seek damages from violators.  </w:t>
      </w:r>
      <w:r w:rsidRPr="00FC2E7E">
        <w:rPr>
          <w:rFonts w:asciiTheme="majorHAnsi" w:hAnsiTheme="majorHAnsi"/>
          <w:i/>
          <w:sz w:val="20"/>
          <w:szCs w:val="20"/>
        </w:rPr>
        <w:t>See</w:t>
      </w:r>
      <w:r w:rsidRPr="00FC2E7E">
        <w:rPr>
          <w:rFonts w:asciiTheme="majorHAnsi" w:hAnsiTheme="majorHAnsi"/>
          <w:sz w:val="20"/>
          <w:szCs w:val="20"/>
        </w:rPr>
        <w:t xml:space="preserve"> </w:t>
      </w:r>
      <w:proofErr w:type="gramStart"/>
      <w:r w:rsidRPr="00FC2E7E">
        <w:rPr>
          <w:rFonts w:asciiTheme="majorHAnsi" w:hAnsiTheme="majorHAnsi"/>
          <w:sz w:val="20"/>
          <w:szCs w:val="20"/>
        </w:rPr>
        <w:t>A Summary of Your Rights Under</w:t>
      </w:r>
      <w:proofErr w:type="gramEnd"/>
      <w:r w:rsidRPr="00FC2E7E">
        <w:rPr>
          <w:rFonts w:asciiTheme="majorHAnsi" w:hAnsiTheme="majorHAnsi"/>
          <w:sz w:val="20"/>
          <w:szCs w:val="20"/>
        </w:rPr>
        <w:t xml:space="preserve"> the Fair Credit Reporting Act, </w:t>
      </w:r>
      <w:hyperlink r:id="rId29" w:history="1">
        <w:r w:rsidRPr="00FC2E7E">
          <w:rPr>
            <w:rStyle w:val="Hyperlink"/>
            <w:rFonts w:asciiTheme="majorHAnsi" w:hAnsiTheme="majorHAnsi"/>
            <w:sz w:val="20"/>
            <w:szCs w:val="20"/>
          </w:rPr>
          <w:t>https://www.consumer.ftc.gov/articles/pdf-0096-fair-credit-reporting-act.pdf</w:t>
        </w:r>
      </w:hyperlink>
      <w:r w:rsidRPr="00FC2E7E">
        <w:rPr>
          <w:rFonts w:asciiTheme="majorHAnsi" w:hAnsiTheme="majorHAnsi"/>
          <w:sz w:val="20"/>
          <w:szCs w:val="20"/>
        </w:rPr>
        <w:t>; see also 15 U.S.C.  § 1681-1681x.</w:t>
      </w:r>
    </w:p>
  </w:footnote>
  <w:footnote w:id="52">
    <w:p w14:paraId="1E59F805" w14:textId="55EB4D66"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HITPC Transmittal Letter, September 1, 2010, </w:t>
      </w:r>
      <w:hyperlink r:id="rId30" w:history="1">
        <w:r w:rsidRPr="00FC2E7E">
          <w:rPr>
            <w:rStyle w:val="Hyperlink"/>
            <w:rFonts w:asciiTheme="majorHAnsi" w:hAnsiTheme="majorHAnsi"/>
            <w:sz w:val="20"/>
            <w:szCs w:val="20"/>
          </w:rPr>
          <w:t>https://www.healthit.gov/sites/faca/files/hitpc_transmittal_p_s_tt_9_1_10_0.pdf</w:t>
        </w:r>
      </w:hyperlink>
      <w:r w:rsidRPr="00FC2E7E">
        <w:rPr>
          <w:rFonts w:asciiTheme="majorHAnsi" w:hAnsiTheme="majorHAnsi"/>
          <w:sz w:val="20"/>
          <w:szCs w:val="20"/>
        </w:rPr>
        <w:t xml:space="preserve">; </w:t>
      </w:r>
      <w:r w:rsidRPr="00FC2E7E">
        <w:rPr>
          <w:rFonts w:asciiTheme="majorHAnsi" w:hAnsiTheme="majorHAnsi"/>
          <w:i/>
          <w:sz w:val="20"/>
          <w:szCs w:val="20"/>
        </w:rPr>
        <w:t>see also</w:t>
      </w:r>
      <w:r w:rsidRPr="00FC2E7E">
        <w:rPr>
          <w:rFonts w:asciiTheme="majorHAnsi" w:hAnsiTheme="majorHAnsi"/>
          <w:sz w:val="20"/>
          <w:szCs w:val="20"/>
        </w:rPr>
        <w:t xml:space="preserve"> HITPC Transmittal Letter, October 18, 2011, </w:t>
      </w:r>
      <w:hyperlink r:id="rId31" w:history="1">
        <w:r w:rsidRPr="00FC2E7E">
          <w:rPr>
            <w:rStyle w:val="Hyperlink"/>
            <w:rFonts w:asciiTheme="majorHAnsi" w:hAnsiTheme="majorHAnsi"/>
            <w:sz w:val="20"/>
            <w:szCs w:val="20"/>
          </w:rPr>
          <w:t>http://www.healthit.gov/sites/default/files/pdf/HITPC_Privacy_and_Security_Transmittal_Letter_10_18_11.pdf</w:t>
        </w:r>
      </w:hyperlink>
      <w:r w:rsidRPr="00FC2E7E">
        <w:rPr>
          <w:rFonts w:asciiTheme="majorHAnsi" w:hAnsiTheme="majorHAnsi"/>
          <w:sz w:val="20"/>
          <w:szCs w:val="20"/>
        </w:rPr>
        <w:t xml:space="preserve">.  </w:t>
      </w:r>
    </w:p>
  </w:footnote>
  <w:footnote w:id="53">
    <w:p w14:paraId="6094B61B" w14:textId="4A800B03" w:rsidR="00E76581" w:rsidRPr="00FC2E7E" w:rsidRDefault="00E76581" w:rsidP="0087424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HITPC Meeting, May 22, 2015, </w:t>
      </w:r>
      <w:hyperlink r:id="rId32" w:history="1">
        <w:r w:rsidRPr="00FC2E7E">
          <w:rPr>
            <w:rStyle w:val="Hyperlink"/>
            <w:rFonts w:asciiTheme="majorHAnsi" w:hAnsiTheme="majorHAnsi"/>
            <w:sz w:val="20"/>
            <w:szCs w:val="20"/>
          </w:rPr>
          <w:t>http://www.healthit.gov/facas/sites/faca/files/HITPC_PSWG_Meeting_Slides_2015-05-22_Final.pdf</w:t>
        </w:r>
      </w:hyperlink>
      <w:r w:rsidRPr="00FC2E7E">
        <w:rPr>
          <w:rFonts w:asciiTheme="majorHAnsi" w:hAnsiTheme="majorHAnsi"/>
          <w:sz w:val="20"/>
          <w:szCs w:val="20"/>
        </w:rPr>
        <w:t>.</w:t>
      </w:r>
    </w:p>
  </w:footnote>
  <w:footnote w:id="54">
    <w:p w14:paraId="4D89E165" w14:textId="55DC08B3" w:rsidR="00E76581" w:rsidRPr="00FC2E7E" w:rsidRDefault="00E76581" w:rsidP="002C2C94">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 data enclave is a controlled, secure environment in which eligible researchers can perform analyses using restricted data resources.  </w:t>
      </w:r>
      <w:proofErr w:type="gramStart"/>
      <w:r w:rsidRPr="00FC2E7E">
        <w:rPr>
          <w:rFonts w:asciiTheme="majorHAnsi" w:hAnsiTheme="majorHAnsi"/>
          <w:i/>
          <w:sz w:val="20"/>
          <w:szCs w:val="20"/>
        </w:rPr>
        <w:t>See</w:t>
      </w:r>
      <w:r w:rsidRPr="00FC2E7E">
        <w:rPr>
          <w:rFonts w:asciiTheme="majorHAnsi" w:hAnsiTheme="majorHAnsi"/>
          <w:sz w:val="20"/>
          <w:szCs w:val="20"/>
        </w:rPr>
        <w:t xml:space="preserve"> National Institute of Health.</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NIH Data Sharing Policy and Implementation Guidance, </w:t>
      </w:r>
      <w:hyperlink r:id="rId33" w:anchor="enclave" w:history="1">
        <w:r w:rsidRPr="00FC2E7E">
          <w:rPr>
            <w:rStyle w:val="Hyperlink"/>
            <w:rFonts w:asciiTheme="majorHAnsi" w:hAnsiTheme="majorHAnsi"/>
            <w:sz w:val="20"/>
            <w:szCs w:val="20"/>
          </w:rPr>
          <w:t>http://grants.nih.gov/grants/policy/data_sharing/data_sharing_guidance.htm#enclave</w:t>
        </w:r>
      </w:hyperlink>
      <w:r w:rsidRPr="00FC2E7E">
        <w:rPr>
          <w:rFonts w:asciiTheme="majorHAnsi" w:hAnsiTheme="majorHAnsi"/>
          <w:sz w:val="20"/>
          <w:szCs w:val="20"/>
        </w:rPr>
        <w:t>.</w:t>
      </w:r>
      <w:proofErr w:type="gramEnd"/>
    </w:p>
  </w:footnote>
  <w:footnote w:id="55">
    <w:p w14:paraId="13B4F244" w14:textId="10074061"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For example, see the discussion by Al Richmond, MSW, of the Community-Campus Partnership for Health at the National Institutes of Health Precision Medicine Workshop on Patient Engagement, July 1-2, 2015, available at</w:t>
      </w:r>
      <w:r>
        <w:rPr>
          <w:rFonts w:asciiTheme="majorHAnsi" w:hAnsiTheme="majorHAnsi"/>
          <w:sz w:val="20"/>
          <w:szCs w:val="20"/>
        </w:rPr>
        <w:t>:</w:t>
      </w:r>
      <w:r w:rsidRPr="00FC2E7E">
        <w:rPr>
          <w:rFonts w:asciiTheme="majorHAnsi" w:hAnsiTheme="majorHAnsi"/>
          <w:sz w:val="20"/>
          <w:szCs w:val="20"/>
        </w:rPr>
        <w:t xml:space="preserve"> </w:t>
      </w:r>
      <w:hyperlink r:id="rId34" w:history="1">
        <w:r w:rsidRPr="00240740">
          <w:rPr>
            <w:rStyle w:val="Hyperlink"/>
            <w:rFonts w:asciiTheme="majorHAnsi" w:hAnsiTheme="majorHAnsi"/>
            <w:sz w:val="20"/>
            <w:szCs w:val="20"/>
          </w:rPr>
          <w:t>http://www.nih.gov/precisionmedicine/workshop-20150701.htm</w:t>
        </w:r>
      </w:hyperlink>
      <w:r>
        <w:rPr>
          <w:rFonts w:asciiTheme="majorHAnsi" w:hAnsiTheme="majorHAnsi"/>
          <w:sz w:val="20"/>
          <w:szCs w:val="20"/>
        </w:rPr>
        <w:t xml:space="preserve">. </w:t>
      </w:r>
    </w:p>
  </w:footnote>
  <w:footnote w:id="56">
    <w:p w14:paraId="0CE132F9" w14:textId="19F5B6AE"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HITPC Transmittal Letter, October 18, 2011, </w:t>
      </w:r>
      <w:hyperlink r:id="rId35" w:history="1">
        <w:r w:rsidRPr="00FC2E7E">
          <w:rPr>
            <w:rStyle w:val="Hyperlink"/>
            <w:rFonts w:asciiTheme="majorHAnsi" w:hAnsiTheme="majorHAnsi"/>
            <w:sz w:val="20"/>
            <w:szCs w:val="20"/>
          </w:rPr>
          <w:t>http://www.healthit.gov/sites/default/files/pdf/HITPC_Privacy_and_Security_Transmittal_Letter_10_18_11.pdf</w:t>
        </w:r>
      </w:hyperlink>
      <w:r w:rsidRPr="00FC2E7E">
        <w:rPr>
          <w:rFonts w:asciiTheme="majorHAnsi" w:hAnsiTheme="majorHAnsi"/>
          <w:sz w:val="20"/>
          <w:szCs w:val="20"/>
        </w:rPr>
        <w:t xml:space="preserve">.  </w:t>
      </w:r>
    </w:p>
  </w:footnote>
  <w:footnote w:id="57">
    <w:p w14:paraId="64D71644" w14:textId="77777777" w:rsidR="00E76581" w:rsidRPr="00FC2E7E" w:rsidRDefault="00E76581" w:rsidP="0087424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HITPC Transmittal Letter, August 16, 2011, </w:t>
      </w:r>
      <w:hyperlink r:id="rId36" w:history="1">
        <w:r w:rsidRPr="00FC2E7E">
          <w:rPr>
            <w:rStyle w:val="Hyperlink"/>
            <w:rFonts w:asciiTheme="majorHAnsi" w:hAnsiTheme="majorHAnsi"/>
            <w:sz w:val="20"/>
            <w:szCs w:val="20"/>
          </w:rPr>
          <w:t>http://www.healthit.gov/sites/faca/files/HITPC_PSTT_Transmit_8162011.pdf</w:t>
        </w:r>
      </w:hyperlink>
      <w:r w:rsidRPr="00FC2E7E">
        <w:rPr>
          <w:rFonts w:asciiTheme="majorHAnsi" w:hAnsiTheme="majorHAnsi"/>
          <w:sz w:val="20"/>
          <w:szCs w:val="20"/>
        </w:rPr>
        <w:t xml:space="preserve"> and HITPC Meeting, May 22, 2015, </w:t>
      </w:r>
      <w:hyperlink r:id="rId37" w:history="1">
        <w:r w:rsidRPr="00FC2E7E">
          <w:rPr>
            <w:rStyle w:val="Hyperlink"/>
            <w:rFonts w:asciiTheme="majorHAnsi" w:hAnsiTheme="majorHAnsi"/>
            <w:sz w:val="20"/>
            <w:szCs w:val="20"/>
          </w:rPr>
          <w:t>http://www.healthit.gov/facas/sites/faca/files/HITPC_PSWG_Meeting_Slides_2015-05-22_Final.pdf</w:t>
        </w:r>
      </w:hyperlink>
      <w:r w:rsidRPr="00FC2E7E">
        <w:rPr>
          <w:rFonts w:asciiTheme="majorHAnsi" w:hAnsiTheme="majorHAnsi"/>
          <w:sz w:val="20"/>
          <w:szCs w:val="20"/>
        </w:rPr>
        <w:t xml:space="preserve"> </w:t>
      </w:r>
    </w:p>
  </w:footnote>
  <w:footnote w:id="58">
    <w:p w14:paraId="1BEE3C52" w14:textId="7604B2D3"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HITRUST Alliance recently released its views on methodologies for de-identification standards it suggests could be used for health information.  </w:t>
      </w:r>
      <w:hyperlink r:id="rId38" w:history="1">
        <w:r w:rsidRPr="00FC2E7E">
          <w:rPr>
            <w:rStyle w:val="Hyperlink"/>
            <w:rFonts w:asciiTheme="majorHAnsi" w:hAnsiTheme="majorHAnsi"/>
            <w:sz w:val="20"/>
            <w:szCs w:val="20"/>
          </w:rPr>
          <w:t>https://hitrustalliance.net/de-identification/</w:t>
        </w:r>
      </w:hyperlink>
    </w:p>
  </w:footnote>
  <w:footnote w:id="59">
    <w:p w14:paraId="012E11A2" w14:textId="49975E09" w:rsidR="00E76581" w:rsidRPr="00FC2E7E" w:rsidRDefault="00E76581" w:rsidP="006C402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The FTC has recommended the enactment of strong, flexible, and technology-neutral legislation to strengthen the Commission’s existing data security enforcement tools.  </w:t>
      </w:r>
      <w:r w:rsidRPr="00FC2E7E">
        <w:rPr>
          <w:rFonts w:asciiTheme="majorHAnsi" w:hAnsiTheme="majorHAnsi"/>
          <w:i/>
          <w:sz w:val="20"/>
          <w:szCs w:val="20"/>
        </w:rPr>
        <w:t>See</w:t>
      </w:r>
      <w:r w:rsidRPr="00FC2E7E">
        <w:rPr>
          <w:rFonts w:asciiTheme="majorHAnsi" w:hAnsiTheme="majorHAnsi"/>
          <w:sz w:val="20"/>
          <w:szCs w:val="20"/>
        </w:rPr>
        <w:t xml:space="preserve"> Internet of Things: Privacy &amp; Security in a Connected World, FTC Staff Report, January 2015, p. 49, </w:t>
      </w:r>
      <w:hyperlink r:id="rId39" w:history="1">
        <w:r w:rsidRPr="00FC2E7E">
          <w:rPr>
            <w:rStyle w:val="Hyperlink"/>
            <w:rFonts w:asciiTheme="majorHAnsi" w:hAnsiTheme="majorHAnsi"/>
            <w:sz w:val="20"/>
            <w:szCs w:val="20"/>
          </w:rPr>
          <w:t>https://www.ftc.gov/system/files/documents/reports/federal-trade-commission-staff-report-november-2013-workshop-entitled-internet-things-privacy/150127iotrpt.pdf</w:t>
        </w:r>
      </w:hyperlink>
      <w:r w:rsidRPr="00FC2E7E">
        <w:rPr>
          <w:rFonts w:asciiTheme="majorHAnsi" w:hAnsiTheme="majorHAnsi"/>
          <w:sz w:val="20"/>
          <w:szCs w:val="20"/>
        </w:rPr>
        <w:t xml:space="preserve"> [hereinafter “Internet of Things Report”].</w:t>
      </w:r>
    </w:p>
  </w:footnote>
  <w:footnote w:id="60">
    <w:p w14:paraId="5E5727BC" w14:textId="1BAC9D3A" w:rsidR="00E76581" w:rsidRPr="00FC2E7E" w:rsidRDefault="00E76581" w:rsidP="0087424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HITPC Transmittal Letter, August 16, 2011, </w:t>
      </w:r>
      <w:hyperlink r:id="rId40" w:history="1">
        <w:r w:rsidRPr="00FC2E7E">
          <w:rPr>
            <w:rStyle w:val="Hyperlink"/>
            <w:rFonts w:asciiTheme="majorHAnsi" w:hAnsiTheme="majorHAnsi"/>
            <w:sz w:val="20"/>
            <w:szCs w:val="20"/>
          </w:rPr>
          <w:t>http://www.healthit.gov/sites/faca/files/HITPC_PSTT_Transmit_8162011.pdf</w:t>
        </w:r>
      </w:hyperlink>
      <w:r>
        <w:rPr>
          <w:rStyle w:val="Hyperlink"/>
          <w:rFonts w:asciiTheme="majorHAnsi" w:hAnsiTheme="majorHAnsi"/>
          <w:sz w:val="20"/>
          <w:szCs w:val="20"/>
        </w:rPr>
        <w:t xml:space="preserve">. </w:t>
      </w:r>
    </w:p>
  </w:footnote>
  <w:footnote w:id="61">
    <w:p w14:paraId="509C36E8" w14:textId="5A4E3067" w:rsidR="00E76581" w:rsidRPr="00FC2E7E" w:rsidRDefault="00E76581" w:rsidP="000D2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Public Hearing Responses of Richard Platt,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3, </w:t>
      </w:r>
      <w:hyperlink r:id="rId41" w:history="1">
        <w:r w:rsidRPr="00FC2E7E">
          <w:rPr>
            <w:rStyle w:val="Hyperlink"/>
            <w:rFonts w:asciiTheme="majorHAnsi" w:hAnsiTheme="majorHAnsi"/>
            <w:sz w:val="20"/>
            <w:szCs w:val="20"/>
          </w:rPr>
          <w:t>http://www.healthit.gov/facas/sites/faca/files/PSWG_Background_Richard_Platt_Reply_to_Questions_for_Panelists_2014-12-05.pdf</w:t>
        </w:r>
      </w:hyperlink>
      <w:r w:rsidRPr="00FC2E7E">
        <w:rPr>
          <w:rFonts w:asciiTheme="majorHAnsi" w:hAnsiTheme="majorHAnsi"/>
          <w:sz w:val="20"/>
          <w:szCs w:val="20"/>
        </w:rPr>
        <w:t xml:space="preserve"> [hereinafter "Richard Platt Responses”].</w:t>
      </w:r>
      <w:proofErr w:type="gramEnd"/>
    </w:p>
  </w:footnote>
  <w:footnote w:id="62">
    <w:p w14:paraId="13F3336E" w14:textId="17FB6B2B" w:rsidR="00E76581" w:rsidRPr="00FC2E7E" w:rsidRDefault="00E76581" w:rsidP="000D2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Richard Platt Responses, p.</w:t>
      </w:r>
      <w:proofErr w:type="gramEnd"/>
      <w:r w:rsidRPr="00FC2E7E">
        <w:rPr>
          <w:rFonts w:asciiTheme="majorHAnsi" w:hAnsiTheme="majorHAnsi"/>
          <w:sz w:val="20"/>
          <w:szCs w:val="20"/>
        </w:rPr>
        <w:t xml:space="preserve">  3.</w:t>
      </w:r>
    </w:p>
  </w:footnote>
  <w:footnote w:id="63">
    <w:p w14:paraId="7408D1EF" w14:textId="12502915" w:rsidR="00E76581" w:rsidRPr="00FC2E7E" w:rsidRDefault="00E76581" w:rsidP="000D2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Richard Platt Responses, p.</w:t>
      </w:r>
      <w:proofErr w:type="gramEnd"/>
      <w:r w:rsidRPr="00FC2E7E">
        <w:rPr>
          <w:rFonts w:asciiTheme="majorHAnsi" w:hAnsiTheme="majorHAnsi"/>
          <w:sz w:val="20"/>
          <w:szCs w:val="20"/>
        </w:rPr>
        <w:t xml:space="preserve">  3.</w:t>
      </w:r>
    </w:p>
  </w:footnote>
  <w:footnote w:id="64">
    <w:p w14:paraId="116AA8E6" w14:textId="77777777" w:rsidR="00E76581" w:rsidRPr="00FC2E7E" w:rsidRDefault="00E76581" w:rsidP="000D2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Toolkit for Communities Using Health Data: How to collect, use, protect, and share data responsibly, NCVHS, Draft 8: November 6, 2014, </w:t>
      </w:r>
      <w:hyperlink r:id="rId42" w:history="1">
        <w:r w:rsidRPr="00FC2E7E">
          <w:rPr>
            <w:rStyle w:val="Hyperlink"/>
            <w:rFonts w:asciiTheme="majorHAnsi" w:hAnsiTheme="majorHAnsi"/>
            <w:sz w:val="20"/>
            <w:szCs w:val="20"/>
          </w:rPr>
          <w:t>http://www.healthit.gov/facas/sites/faca/files/PSWG_Presentation_Leslie_Francis_2014-12-08.pdf/</w:t>
        </w:r>
      </w:hyperlink>
      <w:r w:rsidRPr="00FC2E7E">
        <w:rPr>
          <w:rFonts w:asciiTheme="majorHAnsi" w:hAnsiTheme="majorHAnsi"/>
          <w:sz w:val="20"/>
          <w:szCs w:val="20"/>
        </w:rPr>
        <w:t xml:space="preserve">  </w:t>
      </w:r>
    </w:p>
  </w:footnote>
  <w:footnote w:id="65">
    <w:p w14:paraId="43DE48C2" w14:textId="77777777" w:rsidR="00E76581" w:rsidRPr="00FC2E7E" w:rsidRDefault="00E76581" w:rsidP="000D2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Richard Platt Responses, p.3.</w:t>
      </w:r>
    </w:p>
  </w:footnote>
  <w:footnote w:id="66">
    <w:p w14:paraId="419A2613" w14:textId="77777777" w:rsidR="00E76581" w:rsidRPr="00FC2E7E" w:rsidRDefault="00E76581" w:rsidP="000D2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Richard Platt Responses, p.3.</w:t>
      </w:r>
    </w:p>
  </w:footnote>
  <w:footnote w:id="67">
    <w:p w14:paraId="51B37A72" w14:textId="2DB78274" w:rsidR="00E76581" w:rsidRPr="00FC2E7E" w:rsidRDefault="00E76581" w:rsidP="0009489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Stephen Downs, December 5,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20; Mark Savage, December 5,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30; David McCallie, Jr., December 8, p.</w:t>
      </w:r>
      <w:proofErr w:type="gramEnd"/>
      <w:r w:rsidRPr="00FC2E7E">
        <w:rPr>
          <w:rFonts w:asciiTheme="majorHAnsi" w:hAnsiTheme="majorHAnsi"/>
          <w:sz w:val="20"/>
          <w:szCs w:val="20"/>
        </w:rPr>
        <w:t xml:space="preserve">  21.</w:t>
      </w:r>
    </w:p>
  </w:footnote>
  <w:footnote w:id="68">
    <w:p w14:paraId="6D6D558E" w14:textId="455F08FE" w:rsidR="00E76581" w:rsidRPr="00FC2E7E" w:rsidRDefault="00E76581" w:rsidP="0009489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w:t>
      </w:r>
      <w:proofErr w:type="gramEnd"/>
      <w:r w:rsidRPr="00FC2E7E">
        <w:rPr>
          <w:rFonts w:asciiTheme="majorHAnsi" w:hAnsiTheme="majorHAnsi"/>
          <w:sz w:val="20"/>
          <w:szCs w:val="20"/>
        </w:rPr>
        <w:t xml:space="preserve">  44.</w:t>
      </w:r>
    </w:p>
  </w:footnote>
  <w:footnote w:id="69">
    <w:p w14:paraId="1678293E" w14:textId="247DEC73" w:rsidR="00E76581" w:rsidRPr="00FC2E7E" w:rsidRDefault="00E76581" w:rsidP="0009489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w:t>
      </w:r>
      <w:proofErr w:type="gramEnd"/>
      <w:r w:rsidRPr="00FC2E7E">
        <w:rPr>
          <w:rFonts w:asciiTheme="majorHAnsi" w:hAnsiTheme="majorHAnsi"/>
          <w:sz w:val="20"/>
          <w:szCs w:val="20"/>
        </w:rPr>
        <w:t xml:space="preserve">  30.</w:t>
      </w:r>
    </w:p>
  </w:footnote>
  <w:footnote w:id="70">
    <w:p w14:paraId="1AD2DE5B" w14:textId="1BA9CA56" w:rsidR="00E76581" w:rsidRPr="00FC2E7E" w:rsidRDefault="00E76581" w:rsidP="006D09E4">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w:t>
      </w:r>
      <w:proofErr w:type="gramEnd"/>
      <w:r w:rsidRPr="00FC2E7E">
        <w:rPr>
          <w:rFonts w:asciiTheme="majorHAnsi" w:hAnsiTheme="majorHAnsi"/>
          <w:sz w:val="20"/>
          <w:szCs w:val="20"/>
        </w:rPr>
        <w:t xml:space="preserve">  6.</w:t>
      </w:r>
    </w:p>
  </w:footnote>
  <w:footnote w:id="71">
    <w:p w14:paraId="26A910B1" w14:textId="5A3A890E" w:rsidR="00E76581" w:rsidRPr="00FC2E7E" w:rsidRDefault="00E76581" w:rsidP="00F2038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Robert Gellman, December 5, p. 51.</w:t>
      </w:r>
    </w:p>
  </w:footnote>
  <w:footnote w:id="72">
    <w:p w14:paraId="3EF222A7" w14:textId="722BC1E9" w:rsidR="00E76581" w:rsidRPr="00FC2E7E" w:rsidRDefault="00E76581" w:rsidP="0009489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30.</w:t>
      </w:r>
    </w:p>
  </w:footnote>
  <w:footnote w:id="73">
    <w:p w14:paraId="6A283E07" w14:textId="7452AC23" w:rsidR="00E76581" w:rsidRPr="00FC2E7E" w:rsidRDefault="00E76581" w:rsidP="008C556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Stephen Downs, December 5,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20; Mark Savage, December 5, p.</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31; D.</w:t>
      </w:r>
      <w:proofErr w:type="gramEnd"/>
      <w:r w:rsidRPr="00FC2E7E">
        <w:rPr>
          <w:rFonts w:asciiTheme="majorHAnsi" w:hAnsiTheme="majorHAnsi"/>
          <w:sz w:val="20"/>
          <w:szCs w:val="20"/>
        </w:rPr>
        <w:t xml:space="preserve">  </w:t>
      </w:r>
      <w:proofErr w:type="gramStart"/>
      <w:r w:rsidRPr="00FC2E7E">
        <w:rPr>
          <w:rFonts w:asciiTheme="majorHAnsi" w:hAnsiTheme="majorHAnsi"/>
          <w:sz w:val="20"/>
          <w:szCs w:val="20"/>
        </w:rPr>
        <w:t>McCallie, JR., December 8, p.</w:t>
      </w:r>
      <w:proofErr w:type="gramEnd"/>
      <w:r w:rsidRPr="00FC2E7E">
        <w:rPr>
          <w:rFonts w:asciiTheme="majorHAnsi" w:hAnsiTheme="majorHAnsi"/>
          <w:sz w:val="20"/>
          <w:szCs w:val="20"/>
        </w:rPr>
        <w:t xml:space="preserve">  21.</w:t>
      </w:r>
    </w:p>
  </w:footnote>
  <w:footnote w:id="74">
    <w:p w14:paraId="24E078D2" w14:textId="0E9FB82D" w:rsidR="00E76581" w:rsidRPr="00FC2E7E" w:rsidRDefault="00E76581" w:rsidP="002B2CC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Stephen Downs, December 5, p. 8.</w:t>
      </w:r>
    </w:p>
  </w:footnote>
  <w:footnote w:id="75">
    <w:p w14:paraId="6374F1A6" w14:textId="77777777" w:rsidR="00E76581" w:rsidRPr="00FC2E7E" w:rsidRDefault="00E76581" w:rsidP="00FF1FE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Style w:val="Hyperlink"/>
          <w:rFonts w:asciiTheme="majorHAnsi" w:hAnsiTheme="majorHAnsi"/>
          <w:color w:val="auto"/>
          <w:sz w:val="20"/>
          <w:szCs w:val="20"/>
          <w:u w:val="none"/>
        </w:rPr>
        <w:t>CDT Testimony</w:t>
      </w:r>
      <w:r w:rsidRPr="00FC2E7E">
        <w:rPr>
          <w:rFonts w:asciiTheme="majorHAnsi" w:hAnsiTheme="majorHAnsi"/>
          <w:sz w:val="20"/>
          <w:szCs w:val="20"/>
        </w:rPr>
        <w:t>, p. 3.</w:t>
      </w:r>
    </w:p>
  </w:footnote>
  <w:footnote w:id="76">
    <w:p w14:paraId="42D4A9AB" w14:textId="51E66E2B" w:rsidR="00E76581" w:rsidRPr="00FC2E7E" w:rsidRDefault="00E76581" w:rsidP="008C556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Style w:val="Hyperlink"/>
          <w:rFonts w:asciiTheme="majorHAnsi" w:hAnsiTheme="majorHAnsi"/>
          <w:color w:val="auto"/>
          <w:sz w:val="20"/>
          <w:szCs w:val="20"/>
          <w:u w:val="none"/>
        </w:rPr>
        <w:t>CDT Testimony</w:t>
      </w:r>
      <w:r w:rsidRPr="00FC2E7E">
        <w:rPr>
          <w:rFonts w:asciiTheme="majorHAnsi" w:hAnsiTheme="majorHAnsi"/>
          <w:sz w:val="20"/>
          <w:szCs w:val="20"/>
        </w:rPr>
        <w:t>, p. 3.</w:t>
      </w:r>
    </w:p>
  </w:footnote>
  <w:footnote w:id="77">
    <w:p w14:paraId="737DEB2C" w14:textId="0B186A63"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30.</w:t>
      </w:r>
    </w:p>
  </w:footnote>
  <w:footnote w:id="78">
    <w:p w14:paraId="40B3DFF6" w14:textId="3447CBFD"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48.</w:t>
      </w:r>
    </w:p>
  </w:footnote>
  <w:footnote w:id="79">
    <w:p w14:paraId="4FA3A646" w14:textId="60204C6E"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testimony of Ella </w:t>
      </w:r>
      <w:proofErr w:type="spellStart"/>
      <w:r w:rsidRPr="00FC2E7E">
        <w:rPr>
          <w:rFonts w:asciiTheme="majorHAnsi" w:hAnsiTheme="majorHAnsi"/>
          <w:sz w:val="20"/>
          <w:szCs w:val="20"/>
        </w:rPr>
        <w:t>Mihov</w:t>
      </w:r>
      <w:proofErr w:type="spellEnd"/>
      <w:r w:rsidRPr="00FC2E7E">
        <w:rPr>
          <w:rFonts w:asciiTheme="majorHAnsi" w:hAnsiTheme="majorHAnsi"/>
          <w:sz w:val="20"/>
          <w:szCs w:val="20"/>
        </w:rPr>
        <w:t xml:space="preserve"> (</w:t>
      </w:r>
      <w:proofErr w:type="spellStart"/>
      <w:r w:rsidRPr="00FC2E7E">
        <w:rPr>
          <w:rFonts w:asciiTheme="majorHAnsi" w:hAnsiTheme="majorHAnsi"/>
          <w:sz w:val="20"/>
          <w:szCs w:val="20"/>
        </w:rPr>
        <w:t>Ayasdi</w:t>
      </w:r>
      <w:proofErr w:type="spellEnd"/>
      <w:r w:rsidRPr="00FC2E7E">
        <w:rPr>
          <w:rFonts w:asciiTheme="majorHAnsi" w:hAnsiTheme="majorHAnsi"/>
          <w:sz w:val="20"/>
          <w:szCs w:val="20"/>
        </w:rPr>
        <w:t xml:space="preserve">), December 8, p. 32, 36 and </w:t>
      </w:r>
      <w:proofErr w:type="spellStart"/>
      <w:r w:rsidRPr="00FC2E7E">
        <w:rPr>
          <w:rFonts w:asciiTheme="majorHAnsi" w:hAnsiTheme="majorHAnsi"/>
          <w:sz w:val="20"/>
          <w:szCs w:val="20"/>
        </w:rPr>
        <w:t>Kald</w:t>
      </w:r>
      <w:proofErr w:type="spellEnd"/>
      <w:r w:rsidRPr="00FC2E7E">
        <w:rPr>
          <w:rFonts w:asciiTheme="majorHAnsi" w:hAnsiTheme="majorHAnsi"/>
          <w:sz w:val="20"/>
          <w:szCs w:val="20"/>
        </w:rPr>
        <w:t xml:space="preserve"> Abdallah (Project Data Sphere, LLC), December 8, p. 31, 36.</w:t>
      </w:r>
    </w:p>
  </w:footnote>
  <w:footnote w:id="80">
    <w:p w14:paraId="542EB753" w14:textId="3A26A423"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Richard Platt, December 5, p. 10.</w:t>
      </w:r>
    </w:p>
  </w:footnote>
  <w:footnote w:id="81">
    <w:p w14:paraId="1F3BDA93" w14:textId="74145575"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Melissa Bianchi, December 8, p. 6.</w:t>
      </w:r>
      <w:r w:rsidRPr="00FC2E7E" w:rsidDel="00E51FB8">
        <w:rPr>
          <w:rFonts w:asciiTheme="majorHAnsi" w:hAnsiTheme="majorHAnsi"/>
          <w:sz w:val="20"/>
          <w:szCs w:val="20"/>
        </w:rPr>
        <w:t xml:space="preserve"> </w:t>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r w:rsidRPr="00FC2E7E">
        <w:rPr>
          <w:rFonts w:asciiTheme="majorHAnsi" w:hAnsiTheme="majorHAnsi"/>
          <w:vanish/>
          <w:sz w:val="20"/>
          <w:szCs w:val="20"/>
        </w:rPr>
        <w:pgNum/>
      </w:r>
    </w:p>
  </w:footnote>
  <w:footnote w:id="82">
    <w:p w14:paraId="563CF0B3" w14:textId="5B290AA2"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Richard Platt, December 5, p. 10.</w:t>
      </w:r>
    </w:p>
  </w:footnote>
  <w:footnote w:id="83">
    <w:p w14:paraId="7AEADED0" w14:textId="35D26E7A"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49.</w:t>
      </w:r>
    </w:p>
  </w:footnote>
  <w:footnote w:id="84">
    <w:p w14:paraId="1F72BEF6" w14:textId="050E1DCB"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49.</w:t>
      </w:r>
    </w:p>
  </w:footnote>
  <w:footnote w:id="85">
    <w:p w14:paraId="10149E57" w14:textId="6922CADF"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67 and Fred Cate, December 5, p. 67.</w:t>
      </w:r>
    </w:p>
  </w:footnote>
  <w:footnote w:id="86">
    <w:p w14:paraId="020B2136" w14:textId="41669A5F"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66.</w:t>
      </w:r>
    </w:p>
  </w:footnote>
  <w:footnote w:id="87">
    <w:p w14:paraId="0005D18A" w14:textId="239C0202"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Paul Wallace, December 8, p. 55.</w:t>
      </w:r>
    </w:p>
  </w:footnote>
  <w:footnote w:id="88">
    <w:p w14:paraId="7A444218" w14:textId="59B26FB6"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McCallie, Jr., December 8, p. 56.</w:t>
      </w:r>
    </w:p>
  </w:footnote>
  <w:footnote w:id="89">
    <w:p w14:paraId="27A894F1" w14:textId="57184DD6"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51-52.</w:t>
      </w:r>
    </w:p>
  </w:footnote>
  <w:footnote w:id="90">
    <w:p w14:paraId="09669EC5" w14:textId="5E243370"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51-52.</w:t>
      </w:r>
    </w:p>
  </w:footnote>
  <w:footnote w:id="91">
    <w:p w14:paraId="40E5AE67" w14:textId="14B7235B"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29; Mark Savage, December 5, p. 38, 41; Fred Cate, December 5, p. 63.</w:t>
      </w:r>
    </w:p>
  </w:footnote>
  <w:footnote w:id="92">
    <w:p w14:paraId="46608028" w14:textId="69EE6656" w:rsidR="00E76581" w:rsidRPr="00FC2E7E" w:rsidRDefault="00E76581" w:rsidP="00FE30E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63.</w:t>
      </w:r>
    </w:p>
  </w:footnote>
  <w:footnote w:id="93">
    <w:p w14:paraId="7F215718" w14:textId="4B1F67FC" w:rsidR="00E76581" w:rsidRPr="00FC2E7E" w:rsidRDefault="00E76581" w:rsidP="00284DF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Stanley Crosley, PSWG Transcript 2015-01-26, p. 17.</w:t>
      </w:r>
    </w:p>
  </w:footnote>
  <w:footnote w:id="94">
    <w:p w14:paraId="3D172862" w14:textId="471EAB1B" w:rsidR="00E76581" w:rsidRPr="00FC2E7E" w:rsidRDefault="00E76581" w:rsidP="00F3400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Richard Platt, December 5, p. 26.</w:t>
      </w:r>
    </w:p>
  </w:footnote>
  <w:footnote w:id="95">
    <w:p w14:paraId="3C750A66" w14:textId="53BEE76B" w:rsidR="00E76581" w:rsidRPr="00FC2E7E" w:rsidRDefault="00E76581" w:rsidP="00F3400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Mark Savage, December 5, p. 32.</w:t>
      </w:r>
    </w:p>
  </w:footnote>
  <w:footnote w:id="96">
    <w:p w14:paraId="711CB9E0" w14:textId="57F13D40" w:rsidR="00E76581" w:rsidRPr="00FC2E7E" w:rsidRDefault="00E76581" w:rsidP="00F3400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Fred Cate, December 5, p.</w:t>
      </w:r>
      <w:proofErr w:type="gramEnd"/>
      <w:r w:rsidRPr="00FC2E7E">
        <w:rPr>
          <w:rFonts w:asciiTheme="majorHAnsi" w:hAnsiTheme="majorHAnsi"/>
          <w:sz w:val="20"/>
          <w:szCs w:val="20"/>
        </w:rPr>
        <w:t xml:space="preserve">  64; Robert Gellman, December 5, p. 64.</w:t>
      </w:r>
    </w:p>
  </w:footnote>
  <w:footnote w:id="97">
    <w:p w14:paraId="7613C9DF" w14:textId="72BE6254"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28.</w:t>
      </w:r>
    </w:p>
  </w:footnote>
  <w:footnote w:id="98">
    <w:p w14:paraId="703467D2" w14:textId="3B498FB8"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11.</w:t>
      </w:r>
    </w:p>
  </w:footnote>
  <w:footnote w:id="99">
    <w:p w14:paraId="257FCE37" w14:textId="78A34BA9" w:rsidR="00E76581" w:rsidRPr="00FC2E7E" w:rsidRDefault="00E76581" w:rsidP="002B789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Stanley Crosley, January 26, p. 17.</w:t>
      </w:r>
    </w:p>
  </w:footnote>
  <w:footnote w:id="100">
    <w:p w14:paraId="3316CF40" w14:textId="7D689AFC"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Richard Platt, December 5, p.</w:t>
      </w:r>
      <w:proofErr w:type="gramEnd"/>
      <w:r w:rsidRPr="00FC2E7E">
        <w:rPr>
          <w:rFonts w:asciiTheme="majorHAnsi" w:hAnsiTheme="majorHAnsi"/>
          <w:sz w:val="20"/>
          <w:szCs w:val="20"/>
        </w:rPr>
        <w:t xml:space="preserve">  10 (Additionally, offering a universal opt-out may be undesirable because it would create unreliable answers from the data, which is a data quality concern).</w:t>
      </w:r>
    </w:p>
  </w:footnote>
  <w:footnote w:id="101">
    <w:p w14:paraId="0D1997BB" w14:textId="434AB952"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65.</w:t>
      </w:r>
    </w:p>
  </w:footnote>
  <w:footnote w:id="102">
    <w:p w14:paraId="29DE8D5E" w14:textId="2986D8C4"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Fred Cate, December 5, p. 52.</w:t>
      </w:r>
    </w:p>
  </w:footnote>
  <w:footnote w:id="103">
    <w:p w14:paraId="59E21DF9" w14:textId="79A27E35" w:rsidR="00E76581" w:rsidRPr="00FC2E7E" w:rsidRDefault="00E76581" w:rsidP="000A6D31">
      <w:pPr>
        <w:pStyle w:val="FootnoteText"/>
        <w:rPr>
          <w:rFonts w:asciiTheme="majorHAnsi" w:hAnsiTheme="majorHAnsi"/>
          <w:sz w:val="20"/>
          <w:szCs w:val="20"/>
          <w:highlight w:val="yellow"/>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52.</w:t>
      </w:r>
    </w:p>
  </w:footnote>
  <w:footnote w:id="104">
    <w:p w14:paraId="52A4B698" w14:textId="06D4B2CF" w:rsidR="00E76581" w:rsidRPr="00FC2E7E" w:rsidRDefault="00E76581" w:rsidP="000A6D31">
      <w:pPr>
        <w:rPr>
          <w:rFonts w:asciiTheme="majorHAnsi" w:hAnsiTheme="majorHAnsi"/>
          <w:sz w:val="20"/>
          <w:szCs w:val="20"/>
          <w:highlight w:val="yellow"/>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53 (Throughout Workgroup discussions, people commented that consent places a significant burden for privacy on the individual; see Stanley Crosley, January 26, at 17; see also Deven McGraw, February 9, at 26).</w:t>
      </w:r>
    </w:p>
  </w:footnote>
  <w:footnote w:id="105">
    <w:p w14:paraId="13FDB698" w14:textId="7B748BDC" w:rsidR="00E76581" w:rsidRPr="00FC2E7E" w:rsidRDefault="00E76581" w:rsidP="000A6D31">
      <w:pPr>
        <w:rPr>
          <w:rFonts w:asciiTheme="majorHAnsi" w:hAnsiTheme="majorHAnsi"/>
          <w:sz w:val="20"/>
          <w:szCs w:val="20"/>
          <w:highlight w:val="yellow"/>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Robert Gellman, December 5, p. 65.</w:t>
      </w:r>
    </w:p>
  </w:footnote>
  <w:footnote w:id="106">
    <w:p w14:paraId="301347FB" w14:textId="5CB27322"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Robert Gellman, December 5, p. 66</w:t>
      </w:r>
    </w:p>
  </w:footnote>
  <w:footnote w:id="107">
    <w:p w14:paraId="6EBD423F" w14:textId="3D461231"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Stephen J.  Downs, December 5, p. 15.</w:t>
      </w:r>
    </w:p>
  </w:footnote>
  <w:footnote w:id="108">
    <w:p w14:paraId="6DA35176" w14:textId="77777777" w:rsidR="00E76581" w:rsidRPr="00FC2E7E" w:rsidRDefault="00E76581" w:rsidP="000A6D3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PSWG Meeting Slides, January 26, 2015, at 11, </w:t>
      </w:r>
      <w:hyperlink r:id="rId43" w:history="1">
        <w:r w:rsidRPr="00FC2E7E">
          <w:rPr>
            <w:rStyle w:val="Hyperlink"/>
            <w:rFonts w:asciiTheme="majorHAnsi" w:hAnsiTheme="majorHAnsi"/>
            <w:sz w:val="20"/>
            <w:szCs w:val="20"/>
          </w:rPr>
          <w:t>http://www.healthit.gov/facas/sites/faca/files/PSWG_Meeting_Slides_2015-01-26_v9.pptx</w:t>
        </w:r>
      </w:hyperlink>
      <w:r w:rsidRPr="00FC2E7E">
        <w:rPr>
          <w:rFonts w:asciiTheme="majorHAnsi" w:hAnsiTheme="majorHAnsi"/>
          <w:sz w:val="20"/>
          <w:szCs w:val="20"/>
        </w:rPr>
        <w:t>.</w:t>
      </w:r>
    </w:p>
  </w:footnote>
  <w:footnote w:id="109">
    <w:p w14:paraId="2D790F55" w14:textId="55A93DAB" w:rsidR="00E76581" w:rsidRPr="00FC2E7E" w:rsidRDefault="00E76581" w:rsidP="00473BA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6.</w:t>
      </w:r>
    </w:p>
  </w:footnote>
  <w:footnote w:id="110">
    <w:p w14:paraId="184E0646" w14:textId="0D24B182" w:rsidR="00E76581" w:rsidRPr="00FC2E7E" w:rsidRDefault="00E76581" w:rsidP="0075554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6.</w:t>
      </w:r>
    </w:p>
  </w:footnote>
  <w:footnote w:id="111">
    <w:p w14:paraId="04536F78" w14:textId="709EAEF1"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6 (The view that specific controls are needed was not shared by everyone; in some cases, such specificity may be inconsistent with the FTC’s approach).</w:t>
      </w:r>
    </w:p>
  </w:footnote>
  <w:footnote w:id="112">
    <w:p w14:paraId="0FE7FF60" w14:textId="24FFE94B" w:rsidR="00E76581" w:rsidRPr="00FC2E7E" w:rsidRDefault="00E76581" w:rsidP="0061340F">
      <w:pPr>
        <w:pStyle w:val="FootnoteText"/>
        <w:rPr>
          <w:rFonts w:asciiTheme="majorHAnsi" w:hAnsiTheme="majorHAnsi"/>
          <w:sz w:val="20"/>
          <w:szCs w:val="20"/>
          <w:highlight w:val="yellow"/>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14.</w:t>
      </w:r>
    </w:p>
  </w:footnote>
  <w:footnote w:id="113">
    <w:p w14:paraId="523CC2DE" w14:textId="1F20A98A"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6.</w:t>
      </w:r>
    </w:p>
  </w:footnote>
  <w:footnote w:id="114">
    <w:p w14:paraId="000C92F2" w14:textId="6A3C9B0B"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6.</w:t>
      </w:r>
    </w:p>
  </w:footnote>
  <w:footnote w:id="115">
    <w:p w14:paraId="7D6E0EA6" w14:textId="19998861"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15, 21 (stating that “there is a huge impediment and huge cost differential for security, but as you go [down] a path to critical mass and you have a decent sized IT operation … then it becomes easier and easier….”).</w:t>
      </w:r>
    </w:p>
  </w:footnote>
  <w:footnote w:id="116">
    <w:p w14:paraId="0234F41D" w14:textId="08189A99"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Andrei </w:t>
      </w:r>
      <w:proofErr w:type="spellStart"/>
      <w:r w:rsidRPr="00FC2E7E">
        <w:rPr>
          <w:rFonts w:asciiTheme="majorHAnsi" w:hAnsiTheme="majorHAnsi"/>
          <w:sz w:val="20"/>
          <w:szCs w:val="20"/>
        </w:rPr>
        <w:t>Stoica</w:t>
      </w:r>
      <w:proofErr w:type="spellEnd"/>
      <w:r w:rsidRPr="00FC2E7E">
        <w:rPr>
          <w:rFonts w:asciiTheme="majorHAnsi" w:hAnsiTheme="majorHAnsi"/>
          <w:sz w:val="20"/>
          <w:szCs w:val="20"/>
        </w:rPr>
        <w:t>, February 9, p. 15.</w:t>
      </w:r>
    </w:p>
  </w:footnote>
  <w:footnote w:id="117">
    <w:p w14:paraId="4485BCC0" w14:textId="48EBD0A2"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Denise Anthony, February 9, p. 10.</w:t>
      </w:r>
    </w:p>
  </w:footnote>
  <w:footnote w:id="118">
    <w:p w14:paraId="59A6DEC7" w14:textId="344D0C9A"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Denise Anthony, February 9, p. 16.</w:t>
      </w:r>
    </w:p>
  </w:footnote>
  <w:footnote w:id="119">
    <w:p w14:paraId="71BD5EA4" w14:textId="313D37EB"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Denise Anthony, February 9, p. 10.</w:t>
      </w:r>
    </w:p>
  </w:footnote>
  <w:footnote w:id="120">
    <w:p w14:paraId="08E4BE6E" w14:textId="518149E4" w:rsidR="00E76581" w:rsidRPr="00FC2E7E" w:rsidRDefault="00E76581" w:rsidP="002A4E5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51-52.</w:t>
      </w:r>
    </w:p>
  </w:footnote>
  <w:footnote w:id="121">
    <w:p w14:paraId="4A6A3762" w14:textId="40887671"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Written testimony of Richard Platt, p. 4, </w:t>
      </w:r>
      <w:hyperlink r:id="rId44" w:history="1">
        <w:r w:rsidRPr="00FC2E7E">
          <w:rPr>
            <w:rStyle w:val="Hyperlink"/>
            <w:rFonts w:asciiTheme="majorHAnsi" w:hAnsiTheme="majorHAnsi"/>
            <w:sz w:val="20"/>
            <w:szCs w:val="20"/>
          </w:rPr>
          <w:t>http://www.healthit.gov/facas/sites/faca/files/PSWG_Background_Richard_Platt_Reply_to_Questions_for_Panelists_2014-12-05.pdf</w:t>
        </w:r>
      </w:hyperlink>
      <w:r w:rsidRPr="00FC2E7E">
        <w:rPr>
          <w:rFonts w:asciiTheme="majorHAnsi" w:hAnsiTheme="majorHAnsi"/>
          <w:sz w:val="20"/>
          <w:szCs w:val="20"/>
        </w:rPr>
        <w:t>.</w:t>
      </w:r>
      <w:proofErr w:type="gramEnd"/>
      <w:r w:rsidRPr="00FC2E7E">
        <w:rPr>
          <w:rFonts w:asciiTheme="majorHAnsi" w:hAnsiTheme="majorHAnsi"/>
          <w:sz w:val="20"/>
          <w:szCs w:val="20"/>
        </w:rPr>
        <w:t xml:space="preserve">  </w:t>
      </w:r>
    </w:p>
  </w:footnote>
  <w:footnote w:id="122">
    <w:p w14:paraId="67DB97FF" w14:textId="7E9E5C89" w:rsidR="00E76581" w:rsidRPr="00FC2E7E" w:rsidRDefault="00E76581" w:rsidP="0061340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54.</w:t>
      </w:r>
    </w:p>
  </w:footnote>
  <w:footnote w:id="123">
    <w:p w14:paraId="6E62F2F7" w14:textId="0860DA06" w:rsidR="00E76581" w:rsidRPr="00FC2E7E" w:rsidRDefault="00E76581" w:rsidP="00DC5706">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37.</w:t>
      </w:r>
    </w:p>
  </w:footnote>
  <w:footnote w:id="124">
    <w:p w14:paraId="650FEC0F" w14:textId="2AA50D10"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72.</w:t>
      </w:r>
    </w:p>
  </w:footnote>
  <w:footnote w:id="125">
    <w:p w14:paraId="2EDFDEE1" w14:textId="2ADF6B4B" w:rsidR="00E76581" w:rsidRPr="00FC2E7E" w:rsidRDefault="00E76581" w:rsidP="005C368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Style w:val="Hyperlink"/>
          <w:rFonts w:asciiTheme="majorHAnsi" w:hAnsiTheme="majorHAnsi"/>
          <w:color w:val="auto"/>
          <w:sz w:val="20"/>
          <w:szCs w:val="20"/>
          <w:u w:val="none"/>
        </w:rPr>
        <w:t>CDT Testimony</w:t>
      </w:r>
      <w:r w:rsidRPr="00FC2E7E">
        <w:rPr>
          <w:rFonts w:asciiTheme="majorHAnsi" w:hAnsiTheme="majorHAnsi"/>
          <w:sz w:val="20"/>
          <w:szCs w:val="20"/>
        </w:rPr>
        <w:t>, p.</w:t>
      </w:r>
      <w:proofErr w:type="gramEnd"/>
      <w:r w:rsidRPr="00FC2E7E">
        <w:rPr>
          <w:rFonts w:asciiTheme="majorHAnsi" w:hAnsiTheme="majorHAnsi"/>
          <w:sz w:val="20"/>
          <w:szCs w:val="20"/>
        </w:rPr>
        <w:t xml:space="preserve">  3</w:t>
      </w:r>
      <w:r w:rsidRPr="00FC2E7E">
        <w:rPr>
          <w:rStyle w:val="Hyperlink"/>
          <w:rFonts w:asciiTheme="majorHAnsi" w:hAnsiTheme="majorHAnsi"/>
          <w:color w:val="auto"/>
          <w:sz w:val="20"/>
          <w:szCs w:val="20"/>
          <w:u w:val="none"/>
        </w:rPr>
        <w:t xml:space="preserve">; </w:t>
      </w:r>
      <w:r w:rsidRPr="00FC2E7E">
        <w:rPr>
          <w:rStyle w:val="Hyperlink"/>
          <w:rFonts w:asciiTheme="majorHAnsi" w:hAnsiTheme="majorHAnsi"/>
          <w:i/>
          <w:color w:val="auto"/>
          <w:sz w:val="20"/>
          <w:szCs w:val="20"/>
          <w:u w:val="none"/>
        </w:rPr>
        <w:t>see also</w:t>
      </w:r>
      <w:r w:rsidRPr="00FC2E7E">
        <w:rPr>
          <w:rStyle w:val="Hyperlink"/>
          <w:rFonts w:asciiTheme="majorHAnsi" w:hAnsiTheme="majorHAnsi"/>
          <w:color w:val="auto"/>
          <w:sz w:val="20"/>
          <w:szCs w:val="20"/>
          <w:u w:val="none"/>
        </w:rPr>
        <w:t xml:space="preserve">, </w:t>
      </w:r>
      <w:r w:rsidRPr="00FC2E7E">
        <w:rPr>
          <w:rFonts w:asciiTheme="majorHAnsi" w:hAnsiTheme="majorHAnsi"/>
          <w:sz w:val="20"/>
          <w:szCs w:val="20"/>
        </w:rPr>
        <w:t>Fred Cate, December 5, p. 69.</w:t>
      </w:r>
    </w:p>
  </w:footnote>
  <w:footnote w:id="126">
    <w:p w14:paraId="5D763900" w14:textId="75789FE0"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29-30.</w:t>
      </w:r>
    </w:p>
  </w:footnote>
  <w:footnote w:id="127">
    <w:p w14:paraId="1B7597FC" w14:textId="0B94FC27"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36.</w:t>
      </w:r>
    </w:p>
  </w:footnote>
  <w:footnote w:id="128">
    <w:p w14:paraId="09545001" w14:textId="786C0AAC"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35.</w:t>
      </w:r>
    </w:p>
  </w:footnote>
  <w:footnote w:id="129">
    <w:p w14:paraId="028DE559" w14:textId="0A1F3210"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Anna </w:t>
      </w:r>
      <w:proofErr w:type="spellStart"/>
      <w:r w:rsidRPr="00FC2E7E">
        <w:rPr>
          <w:rFonts w:asciiTheme="majorHAnsi" w:hAnsiTheme="majorHAnsi"/>
          <w:sz w:val="20"/>
          <w:szCs w:val="20"/>
        </w:rPr>
        <w:t>McCollister-Slipp</w:t>
      </w:r>
      <w:proofErr w:type="spellEnd"/>
      <w:r w:rsidRPr="00FC2E7E">
        <w:rPr>
          <w:rFonts w:asciiTheme="majorHAnsi" w:hAnsiTheme="majorHAnsi"/>
          <w:sz w:val="20"/>
          <w:szCs w:val="20"/>
        </w:rPr>
        <w:t>, December 5, p. 36.</w:t>
      </w:r>
    </w:p>
  </w:footnote>
  <w:footnote w:id="130">
    <w:p w14:paraId="18A4368A" w14:textId="6D2E3BF8"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Denise Anthony, February 9, p. 13.</w:t>
      </w:r>
    </w:p>
  </w:footnote>
  <w:footnote w:id="131">
    <w:p w14:paraId="6ECD103E" w14:textId="2151E707" w:rsidR="00E76581" w:rsidRPr="00FC2E7E" w:rsidRDefault="00E76581" w:rsidP="002C2B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17.</w:t>
      </w:r>
    </w:p>
  </w:footnote>
  <w:footnote w:id="132">
    <w:p w14:paraId="4BF50FA3" w14:textId="54E2496D" w:rsidR="00E76581" w:rsidRPr="00FC2E7E" w:rsidRDefault="00E76581" w:rsidP="0030619C">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42.</w:t>
      </w:r>
    </w:p>
  </w:footnote>
  <w:footnote w:id="133">
    <w:p w14:paraId="1365B676" w14:textId="7ACC3D34" w:rsidR="00E76581" w:rsidRPr="00FC2E7E" w:rsidRDefault="00E76581" w:rsidP="0030619C">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52.</w:t>
      </w:r>
    </w:p>
  </w:footnote>
  <w:footnote w:id="134">
    <w:p w14:paraId="401582F7" w14:textId="0FE30E09" w:rsidR="00E76581" w:rsidRPr="00FC2E7E" w:rsidRDefault="00E76581" w:rsidP="007304C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Richard Platt, December 5, p. 10.</w:t>
      </w:r>
    </w:p>
  </w:footnote>
  <w:footnote w:id="135">
    <w:p w14:paraId="144E1D1E" w14:textId="7486DCF2" w:rsidR="00E76581" w:rsidRPr="00FC2E7E" w:rsidRDefault="00E76581" w:rsidP="00305BA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44.</w:t>
      </w:r>
    </w:p>
  </w:footnote>
  <w:footnote w:id="136">
    <w:p w14:paraId="13BFC425" w14:textId="794BA99C" w:rsidR="00E76581" w:rsidRPr="00FC2E7E" w:rsidRDefault="00E76581" w:rsidP="00305BA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Khaled El </w:t>
      </w:r>
      <w:proofErr w:type="spellStart"/>
      <w:r w:rsidRPr="00FC2E7E">
        <w:rPr>
          <w:rFonts w:asciiTheme="majorHAnsi" w:hAnsiTheme="majorHAnsi"/>
          <w:sz w:val="20"/>
          <w:szCs w:val="20"/>
        </w:rPr>
        <w:t>Emam</w:t>
      </w:r>
      <w:proofErr w:type="spellEnd"/>
      <w:r w:rsidRPr="00FC2E7E">
        <w:rPr>
          <w:rFonts w:asciiTheme="majorHAnsi" w:hAnsiTheme="majorHAnsi"/>
          <w:sz w:val="20"/>
          <w:szCs w:val="20"/>
        </w:rPr>
        <w:t>, December 5, p. 52.</w:t>
      </w:r>
    </w:p>
  </w:footnote>
  <w:footnote w:id="137">
    <w:p w14:paraId="3ED4746B" w14:textId="329B11F7" w:rsidR="00E76581" w:rsidRPr="00FC2E7E" w:rsidRDefault="00E76581" w:rsidP="008143CB">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David McCallie, December 8, p. 21.</w:t>
      </w:r>
    </w:p>
  </w:footnote>
  <w:footnote w:id="138">
    <w:p w14:paraId="7782F074" w14:textId="1F850609" w:rsidR="00E76581" w:rsidRPr="00FC2E7E" w:rsidRDefault="00E76581" w:rsidP="00305BA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Stephen Downs, December 5, p. 22.</w:t>
      </w:r>
    </w:p>
  </w:footnote>
  <w:footnote w:id="139">
    <w:p w14:paraId="754F8C32" w14:textId="60D047E4"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Robert Gellman, December 5, p. 66.</w:t>
      </w:r>
    </w:p>
  </w:footnote>
  <w:footnote w:id="140">
    <w:p w14:paraId="07C25653" w14:textId="270785BC" w:rsidR="00E76581" w:rsidRPr="00FC2E7E" w:rsidRDefault="00E76581" w:rsidP="00305BA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55.</w:t>
      </w:r>
    </w:p>
  </w:footnote>
  <w:footnote w:id="141">
    <w:p w14:paraId="457660E1" w14:textId="5D924FA0" w:rsidR="00E76581" w:rsidRPr="00FC2E7E" w:rsidRDefault="00E76581" w:rsidP="00305BA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Melissa Bianchi, December 8, p. 21.</w:t>
      </w:r>
    </w:p>
  </w:footnote>
  <w:footnote w:id="142">
    <w:p w14:paraId="696F7074" w14:textId="537492DD" w:rsidR="00E76581" w:rsidRPr="00FC2E7E" w:rsidRDefault="00E76581" w:rsidP="00305BA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48.</w:t>
      </w:r>
    </w:p>
  </w:footnote>
  <w:footnote w:id="143">
    <w:p w14:paraId="7339EE60" w14:textId="2CC04E0C" w:rsidR="00E76581" w:rsidRPr="00FC2E7E" w:rsidRDefault="00E76581" w:rsidP="008631C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Anna </w:t>
      </w:r>
      <w:proofErr w:type="spellStart"/>
      <w:r w:rsidRPr="00FC2E7E">
        <w:rPr>
          <w:rFonts w:asciiTheme="majorHAnsi" w:hAnsiTheme="majorHAnsi"/>
          <w:sz w:val="20"/>
          <w:szCs w:val="20"/>
        </w:rPr>
        <w:t>McCollister-Slipp</w:t>
      </w:r>
      <w:proofErr w:type="spellEnd"/>
      <w:r w:rsidRPr="00FC2E7E">
        <w:rPr>
          <w:rFonts w:asciiTheme="majorHAnsi" w:hAnsiTheme="majorHAnsi"/>
          <w:sz w:val="20"/>
          <w:szCs w:val="20"/>
        </w:rPr>
        <w:t xml:space="preserve">, December 5, p.  33;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xml:space="preserve">, December 5, p. 37 (“… people think … HIPAA really covers all medical data and have … no idea or understanding that it doesn’t in a lot of circumstances”); Michelle De </w:t>
      </w:r>
      <w:proofErr w:type="spellStart"/>
      <w:r w:rsidRPr="00FC2E7E">
        <w:rPr>
          <w:rFonts w:asciiTheme="majorHAnsi" w:hAnsiTheme="majorHAnsi"/>
          <w:sz w:val="20"/>
          <w:szCs w:val="20"/>
        </w:rPr>
        <w:t>Mooy</w:t>
      </w:r>
      <w:proofErr w:type="spellEnd"/>
      <w:r w:rsidRPr="00FC2E7E">
        <w:rPr>
          <w:rFonts w:asciiTheme="majorHAnsi" w:hAnsiTheme="majorHAnsi"/>
          <w:sz w:val="20"/>
          <w:szCs w:val="20"/>
        </w:rPr>
        <w:t>, December 5, p. 37 (outreach to app developers is needed to ensure they understand their ethical responsibilities).</w:t>
      </w:r>
    </w:p>
  </w:footnote>
  <w:footnote w:id="144">
    <w:p w14:paraId="107AC9B8" w14:textId="6DB985D1" w:rsidR="00E76581" w:rsidRPr="00FC2E7E" w:rsidRDefault="00E76581" w:rsidP="008631C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Deven McGraw, HITPC Transcript, March 10, 2015, p. 19; see also, Moving </w:t>
      </w:r>
      <w:proofErr w:type="gramStart"/>
      <w:r w:rsidRPr="00FC2E7E">
        <w:rPr>
          <w:rFonts w:asciiTheme="majorHAnsi" w:hAnsiTheme="majorHAnsi"/>
          <w:sz w:val="20"/>
          <w:szCs w:val="20"/>
        </w:rPr>
        <w:t>Toward</w:t>
      </w:r>
      <w:proofErr w:type="gramEnd"/>
      <w:r w:rsidRPr="00FC2E7E">
        <w:rPr>
          <w:rFonts w:asciiTheme="majorHAnsi" w:hAnsiTheme="majorHAnsi"/>
          <w:sz w:val="20"/>
          <w:szCs w:val="20"/>
        </w:rPr>
        <w:t xml:space="preserve"> a New Health Care Privacy Paradigm, available at </w:t>
      </w:r>
      <w:hyperlink r:id="rId45" w:history="1">
        <w:r w:rsidRPr="00FC2E7E">
          <w:rPr>
            <w:rStyle w:val="Hyperlink"/>
            <w:rFonts w:asciiTheme="majorHAnsi" w:hAnsiTheme="majorHAnsi"/>
            <w:sz w:val="20"/>
            <w:szCs w:val="20"/>
          </w:rPr>
          <w:t>http://www.healthit.gov/facas/sites/faca/files/PSWG_Background_Kirk_Nahra_Health_Care_Privacy_Paradigm_2014-12-08.pdf</w:t>
        </w:r>
      </w:hyperlink>
      <w:r w:rsidRPr="00FC2E7E">
        <w:rPr>
          <w:rStyle w:val="Hyperlink"/>
          <w:rFonts w:asciiTheme="majorHAnsi" w:hAnsiTheme="majorHAnsi"/>
          <w:sz w:val="20"/>
          <w:szCs w:val="20"/>
        </w:rPr>
        <w:t>.</w:t>
      </w:r>
    </w:p>
  </w:footnote>
  <w:footnote w:id="145">
    <w:p w14:paraId="51996099" w14:textId="562BF5FA" w:rsidR="00E76581" w:rsidRPr="00FC2E7E" w:rsidRDefault="00E76581" w:rsidP="008631C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12.</w:t>
      </w:r>
    </w:p>
  </w:footnote>
  <w:footnote w:id="146">
    <w:p w14:paraId="041BB5BD" w14:textId="1B6A0A49" w:rsidR="00E76581" w:rsidRPr="00FC2E7E" w:rsidRDefault="00E76581" w:rsidP="008631C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11 (noting the explosion of data created by mobile applications, websites, personal health records, and wellness programs that are not subject to HIPAA).</w:t>
      </w:r>
    </w:p>
  </w:footnote>
  <w:footnote w:id="147">
    <w:p w14:paraId="3617B335" w14:textId="27DAAD3B" w:rsidR="00E76581" w:rsidRPr="00FC2E7E" w:rsidRDefault="00E76581" w:rsidP="007E4CD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Anna </w:t>
      </w:r>
      <w:proofErr w:type="spellStart"/>
      <w:r w:rsidRPr="00FC2E7E">
        <w:rPr>
          <w:rFonts w:asciiTheme="majorHAnsi" w:hAnsiTheme="majorHAnsi"/>
          <w:sz w:val="20"/>
          <w:szCs w:val="20"/>
        </w:rPr>
        <w:t>McCollister-Slipp</w:t>
      </w:r>
      <w:proofErr w:type="spellEnd"/>
      <w:r w:rsidRPr="00FC2E7E">
        <w:rPr>
          <w:rFonts w:asciiTheme="majorHAnsi" w:hAnsiTheme="majorHAnsi"/>
          <w:sz w:val="20"/>
          <w:szCs w:val="20"/>
        </w:rPr>
        <w:t>, December 5, p. 33-34.</w:t>
      </w:r>
    </w:p>
  </w:footnote>
  <w:footnote w:id="148">
    <w:p w14:paraId="4642BDCA" w14:textId="405BD490" w:rsidR="00E76581" w:rsidRPr="00FC2E7E" w:rsidRDefault="00E76581" w:rsidP="007E4CD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Anna </w:t>
      </w:r>
      <w:proofErr w:type="spellStart"/>
      <w:r w:rsidRPr="00FC2E7E">
        <w:rPr>
          <w:rFonts w:asciiTheme="majorHAnsi" w:hAnsiTheme="majorHAnsi"/>
          <w:sz w:val="20"/>
          <w:szCs w:val="20"/>
        </w:rPr>
        <w:t>McCollister-Slipp</w:t>
      </w:r>
      <w:proofErr w:type="spellEnd"/>
      <w:r w:rsidRPr="00FC2E7E">
        <w:rPr>
          <w:rFonts w:asciiTheme="majorHAnsi" w:hAnsiTheme="majorHAnsi"/>
          <w:sz w:val="20"/>
          <w:szCs w:val="20"/>
        </w:rPr>
        <w:t>, December 5, p. 35</w:t>
      </w:r>
    </w:p>
  </w:footnote>
  <w:footnote w:id="149">
    <w:p w14:paraId="0977B771" w14:textId="6F6C8988" w:rsidR="00E76581" w:rsidRPr="00FC2E7E" w:rsidRDefault="00E76581" w:rsidP="007E4CD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Melissa Bianchi, December 8, p. 5.</w:t>
      </w:r>
    </w:p>
  </w:footnote>
  <w:footnote w:id="150">
    <w:p w14:paraId="50C52159" w14:textId="2E39AA22" w:rsidR="00E76581" w:rsidRPr="00FC2E7E" w:rsidRDefault="00E76581" w:rsidP="007E4CD8">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19.</w:t>
      </w:r>
    </w:p>
  </w:footnote>
  <w:footnote w:id="151">
    <w:p w14:paraId="359D2F1F" w14:textId="2221B6A9" w:rsidR="00E76581" w:rsidRPr="00FC2E7E" w:rsidRDefault="00E76581" w:rsidP="000D2D80">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Melissa Bianchi, December 8, p. 6.</w:t>
      </w:r>
    </w:p>
  </w:footnote>
  <w:footnote w:id="152">
    <w:p w14:paraId="6A257F4B" w14:textId="641E6F3D" w:rsidR="00E76581" w:rsidRPr="00FC2E7E" w:rsidRDefault="00E76581" w:rsidP="00003A34">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11.</w:t>
      </w:r>
    </w:p>
  </w:footnote>
  <w:footnote w:id="153">
    <w:p w14:paraId="3B914194" w14:textId="1703552E" w:rsidR="00E76581" w:rsidRPr="00FC2E7E" w:rsidRDefault="00E76581" w:rsidP="00E57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Federal Trade Commission Policy Statement on Deception, appended to </w:t>
      </w:r>
      <w:proofErr w:type="spellStart"/>
      <w:r w:rsidRPr="00FC2E7E">
        <w:rPr>
          <w:rFonts w:asciiTheme="majorHAnsi" w:hAnsiTheme="majorHAnsi"/>
          <w:i/>
          <w:sz w:val="20"/>
          <w:szCs w:val="20"/>
        </w:rPr>
        <w:t>Cliffdale</w:t>
      </w:r>
      <w:proofErr w:type="spellEnd"/>
      <w:r w:rsidRPr="00FC2E7E">
        <w:rPr>
          <w:rFonts w:asciiTheme="majorHAnsi" w:hAnsiTheme="majorHAnsi"/>
          <w:i/>
          <w:sz w:val="20"/>
          <w:szCs w:val="20"/>
        </w:rPr>
        <w:t xml:space="preserve"> Assocs., Inc.</w:t>
      </w:r>
      <w:r w:rsidRPr="00FC2E7E">
        <w:rPr>
          <w:rFonts w:asciiTheme="majorHAnsi" w:hAnsiTheme="majorHAnsi"/>
          <w:sz w:val="20"/>
          <w:szCs w:val="20"/>
        </w:rPr>
        <w:t xml:space="preserve">, 103 F.T.C.  </w:t>
      </w:r>
      <w:proofErr w:type="gramStart"/>
      <w:r w:rsidRPr="00FC2E7E">
        <w:rPr>
          <w:rFonts w:asciiTheme="majorHAnsi" w:hAnsiTheme="majorHAnsi"/>
          <w:sz w:val="20"/>
          <w:szCs w:val="20"/>
        </w:rPr>
        <w:t>110, 174 (1984).</w:t>
      </w:r>
      <w:proofErr w:type="gramEnd"/>
    </w:p>
  </w:footnote>
  <w:footnote w:id="154">
    <w:p w14:paraId="4E8DA2BB" w14:textId="505F8739" w:rsidR="00E76581" w:rsidRPr="00FC2E7E" w:rsidRDefault="00E76581" w:rsidP="00E57E2F">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w:t>
      </w:r>
      <w:r w:rsidRPr="00FC2E7E">
        <w:rPr>
          <w:rFonts w:asciiTheme="majorHAnsi" w:hAnsiTheme="majorHAnsi"/>
          <w:sz w:val="20"/>
          <w:szCs w:val="20"/>
        </w:rPr>
        <w:t xml:space="preserve"> Federal Trade Commission Policy Statement on Unfairness, appended to </w:t>
      </w:r>
      <w:r w:rsidRPr="00FC2E7E">
        <w:rPr>
          <w:rFonts w:asciiTheme="majorHAnsi" w:hAnsiTheme="majorHAnsi"/>
          <w:i/>
          <w:sz w:val="20"/>
          <w:szCs w:val="20"/>
        </w:rPr>
        <w:t>Int’l Harvester Co</w:t>
      </w:r>
      <w:r w:rsidRPr="00FC2E7E">
        <w:rPr>
          <w:rFonts w:asciiTheme="majorHAnsi" w:hAnsiTheme="majorHAnsi"/>
          <w:sz w:val="20"/>
          <w:szCs w:val="20"/>
        </w:rPr>
        <w:t xml:space="preserve">., 104 F.T.C.  </w:t>
      </w:r>
      <w:proofErr w:type="gramStart"/>
      <w:r w:rsidRPr="00FC2E7E">
        <w:rPr>
          <w:rFonts w:asciiTheme="majorHAnsi" w:hAnsiTheme="majorHAnsi"/>
          <w:sz w:val="20"/>
          <w:szCs w:val="20"/>
        </w:rPr>
        <w:t>949, 1070 (1984).</w:t>
      </w:r>
      <w:proofErr w:type="gramEnd"/>
    </w:p>
  </w:footnote>
  <w:footnote w:id="155">
    <w:p w14:paraId="2AA8C337" w14:textId="37D674E2" w:rsidR="00E76581" w:rsidRPr="00FC2E7E" w:rsidRDefault="00E76581" w:rsidP="00F435CA">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See generally</w:t>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10-13.</w:t>
      </w:r>
    </w:p>
  </w:footnote>
  <w:footnote w:id="156">
    <w:p w14:paraId="2755E24F" w14:textId="117E26B8" w:rsidR="00E76581" w:rsidRPr="00FC2E7E" w:rsidRDefault="00E76581" w:rsidP="008F3AA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18.</w:t>
      </w:r>
    </w:p>
  </w:footnote>
  <w:footnote w:id="157">
    <w:p w14:paraId="24D7B58F" w14:textId="022C641E" w:rsidR="00E76581" w:rsidRPr="00FC2E7E" w:rsidRDefault="00E76581" w:rsidP="008F3AA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Kirk </w:t>
      </w:r>
      <w:proofErr w:type="spellStart"/>
      <w:r w:rsidRPr="00FC2E7E">
        <w:rPr>
          <w:rFonts w:asciiTheme="majorHAnsi" w:hAnsiTheme="majorHAnsi"/>
          <w:sz w:val="20"/>
          <w:szCs w:val="20"/>
        </w:rPr>
        <w:t>Nahra</w:t>
      </w:r>
      <w:proofErr w:type="spellEnd"/>
      <w:r w:rsidRPr="00FC2E7E">
        <w:rPr>
          <w:rFonts w:asciiTheme="majorHAnsi" w:hAnsiTheme="majorHAnsi"/>
          <w:sz w:val="20"/>
          <w:szCs w:val="20"/>
        </w:rPr>
        <w:t>, December 8, p. 17, 18.</w:t>
      </w:r>
      <w:proofErr w:type="gramEnd"/>
    </w:p>
  </w:footnote>
  <w:footnote w:id="158">
    <w:p w14:paraId="025D0605" w14:textId="1BCA9A29"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Fred Cate, December 5, p. 53.</w:t>
      </w:r>
    </w:p>
  </w:footnote>
  <w:footnote w:id="159">
    <w:p w14:paraId="45BCA3D7" w14:textId="2908F89D"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Robert Gellman, December 5, p. 51.</w:t>
      </w:r>
    </w:p>
  </w:footnote>
  <w:footnote w:id="160">
    <w:p w14:paraId="70E64785" w14:textId="765C0BB1" w:rsidR="00E76581" w:rsidRPr="00FC2E7E" w:rsidRDefault="00E76581" w:rsidP="003E30DD">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Deven McGraw, December 8, p. 9.</w:t>
      </w:r>
    </w:p>
  </w:footnote>
  <w:footnote w:id="161">
    <w:p w14:paraId="4D52B70C" w14:textId="3D2D3038"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Melissa Bianchi, December 8, p. 5; see also 45 CFR 164.501 (defining research as “</w:t>
      </w:r>
      <w:r w:rsidRPr="00FC2E7E">
        <w:rPr>
          <w:rFonts w:asciiTheme="majorHAnsi" w:hAnsiTheme="majorHAnsi" w:cs="Verdana"/>
          <w:sz w:val="20"/>
          <w:szCs w:val="20"/>
        </w:rPr>
        <w:t xml:space="preserve">a systematic investigation, including research development, testing, and evaluation, designed to develop or contribute to generalizable knowledge.”); see also </w:t>
      </w:r>
      <w:hyperlink r:id="rId46" w:history="1">
        <w:r w:rsidRPr="00FC2E7E">
          <w:rPr>
            <w:rStyle w:val="Hyperlink"/>
            <w:rFonts w:asciiTheme="majorHAnsi" w:hAnsiTheme="majorHAnsi" w:cs="Verdana"/>
            <w:sz w:val="20"/>
            <w:szCs w:val="20"/>
          </w:rPr>
          <w:t>http://www.hhs.gov/ocr/privacy/hipaa/understanding/special/research/</w:t>
        </w:r>
      </w:hyperlink>
      <w:r w:rsidRPr="00FC2E7E">
        <w:rPr>
          <w:rFonts w:asciiTheme="majorHAnsi" w:hAnsiTheme="majorHAnsi" w:cs="Verdana"/>
          <w:sz w:val="20"/>
          <w:szCs w:val="20"/>
        </w:rPr>
        <w:t xml:space="preserve">.  </w:t>
      </w:r>
    </w:p>
  </w:footnote>
  <w:footnote w:id="162">
    <w:p w14:paraId="79451967" w14:textId="17CAA117"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Deven McGraw, December 8, p.</w:t>
      </w:r>
      <w:proofErr w:type="gramEnd"/>
      <w:r w:rsidRPr="00FC2E7E">
        <w:rPr>
          <w:rFonts w:asciiTheme="majorHAnsi" w:hAnsiTheme="majorHAnsi"/>
          <w:sz w:val="20"/>
          <w:szCs w:val="20"/>
        </w:rPr>
        <w:t xml:space="preserve">  8, 9; </w:t>
      </w:r>
      <w:r w:rsidRPr="00FC2E7E">
        <w:rPr>
          <w:rFonts w:asciiTheme="majorHAnsi" w:hAnsiTheme="majorHAnsi"/>
          <w:i/>
          <w:sz w:val="20"/>
          <w:szCs w:val="20"/>
        </w:rPr>
        <w:t>see also</w:t>
      </w:r>
      <w:r w:rsidRPr="00FC2E7E">
        <w:rPr>
          <w:rFonts w:asciiTheme="majorHAnsi" w:hAnsiTheme="majorHAnsi"/>
          <w:sz w:val="20"/>
          <w:szCs w:val="20"/>
        </w:rPr>
        <w:t xml:space="preserve">, Deven McGraw &amp; Alice Leiter, </w:t>
      </w:r>
      <w:r w:rsidRPr="00FC2E7E">
        <w:rPr>
          <w:rFonts w:asciiTheme="majorHAnsi" w:hAnsiTheme="majorHAnsi"/>
          <w:i/>
          <w:sz w:val="20"/>
          <w:szCs w:val="20"/>
        </w:rPr>
        <w:t>Risk-Based Regulation of Clinical Health Data Analytics</w:t>
      </w:r>
      <w:r w:rsidRPr="00FC2E7E">
        <w:rPr>
          <w:rFonts w:asciiTheme="majorHAnsi" w:hAnsiTheme="majorHAnsi"/>
          <w:sz w:val="20"/>
          <w:szCs w:val="20"/>
        </w:rPr>
        <w:t xml:space="preserve">, Colo.  </w:t>
      </w:r>
      <w:proofErr w:type="gramStart"/>
      <w:r w:rsidRPr="00FC2E7E">
        <w:rPr>
          <w:rFonts w:asciiTheme="majorHAnsi" w:hAnsiTheme="majorHAnsi"/>
          <w:sz w:val="20"/>
          <w:szCs w:val="20"/>
        </w:rPr>
        <w:t>Tech.</w:t>
      </w:r>
      <w:proofErr w:type="gramEnd"/>
      <w:r w:rsidRPr="00FC2E7E">
        <w:rPr>
          <w:rFonts w:asciiTheme="majorHAnsi" w:hAnsiTheme="majorHAnsi"/>
          <w:sz w:val="20"/>
          <w:szCs w:val="20"/>
        </w:rPr>
        <w:t xml:space="preserve">  L.  J., Vol.  12.2, p. 435.</w:t>
      </w:r>
    </w:p>
  </w:footnote>
  <w:footnote w:id="163">
    <w:p w14:paraId="6AEC80A6" w14:textId="310843FD"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Deven McGraw, December 8, p. 9.</w:t>
      </w:r>
    </w:p>
  </w:footnote>
  <w:footnote w:id="164">
    <w:p w14:paraId="0E104071" w14:textId="4F307C46"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Deven McGraw, December 8, p. 9.</w:t>
      </w:r>
    </w:p>
  </w:footnote>
  <w:footnote w:id="165">
    <w:p w14:paraId="2084E454" w14:textId="77777777" w:rsidR="00E76581" w:rsidRPr="00FC2E7E" w:rsidRDefault="00E76581" w:rsidP="00F850B9">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HITPC Transmittal Letter, October 18, 2011, available at: </w:t>
      </w:r>
      <w:hyperlink r:id="rId47" w:history="1">
        <w:r w:rsidRPr="00FC2E7E">
          <w:rPr>
            <w:rStyle w:val="Hyperlink"/>
            <w:rFonts w:asciiTheme="majorHAnsi" w:hAnsiTheme="majorHAnsi"/>
            <w:sz w:val="20"/>
            <w:szCs w:val="20"/>
          </w:rPr>
          <w:t>http://www.healthit.gov/sites/default/files/pdf/HITPC_Privacy_and_Security_Transmittal_Letter_10_18_11.pdf</w:t>
        </w:r>
      </w:hyperlink>
      <w:r w:rsidRPr="00FC2E7E">
        <w:rPr>
          <w:rFonts w:asciiTheme="majorHAnsi" w:hAnsiTheme="majorHAnsi"/>
          <w:sz w:val="20"/>
          <w:szCs w:val="20"/>
        </w:rPr>
        <w:t xml:space="preserve"> [hereinafter “October 18 HITPC Recommendations”]</w:t>
      </w:r>
    </w:p>
  </w:footnote>
  <w:footnote w:id="166">
    <w:p w14:paraId="2538239D" w14:textId="1359B6C0" w:rsidR="00E76581" w:rsidRPr="00FC2E7E" w:rsidRDefault="00E76581" w:rsidP="00336BB5">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Deven McGraw, December 8, p. 8; </w:t>
      </w:r>
      <w:r w:rsidRPr="00FC2E7E">
        <w:rPr>
          <w:rFonts w:asciiTheme="majorHAnsi" w:hAnsiTheme="majorHAnsi"/>
          <w:i/>
          <w:sz w:val="20"/>
          <w:szCs w:val="20"/>
        </w:rPr>
        <w:t>see generally</w:t>
      </w:r>
      <w:r w:rsidRPr="00FC2E7E">
        <w:rPr>
          <w:rFonts w:asciiTheme="majorHAnsi" w:hAnsiTheme="majorHAnsi"/>
          <w:sz w:val="20"/>
          <w:szCs w:val="20"/>
        </w:rPr>
        <w:t>, October 18 HITPC Recommendations.</w:t>
      </w:r>
    </w:p>
  </w:footnote>
  <w:footnote w:id="167">
    <w:p w14:paraId="75BB013E" w14:textId="77777777" w:rsidR="00E76581" w:rsidRPr="00FC2E7E" w:rsidRDefault="00E76581">
      <w:pPr>
        <w:rPr>
          <w:rFonts w:asciiTheme="majorHAnsi" w:hAnsiTheme="majorHAnsi"/>
          <w:sz w:val="20"/>
          <w:szCs w:val="20"/>
        </w:rPr>
      </w:pPr>
      <w:r w:rsidRPr="00FC2E7E">
        <w:rPr>
          <w:rStyle w:val="FootnoteReference"/>
          <w:rFonts w:asciiTheme="majorHAnsi" w:hAnsiTheme="majorHAnsi"/>
          <w:sz w:val="20"/>
          <w:szCs w:val="20"/>
        </w:rPr>
        <w:footnoteRef/>
      </w:r>
      <w:proofErr w:type="gramStart"/>
      <w:r w:rsidRPr="00FC2E7E">
        <w:rPr>
          <w:rFonts w:asciiTheme="majorHAnsi" w:hAnsiTheme="majorHAnsi"/>
          <w:sz w:val="20"/>
          <w:szCs w:val="20"/>
        </w:rPr>
        <w:t>October 18 HITPC Recommendations.</w:t>
      </w:r>
      <w:proofErr w:type="gramEnd"/>
    </w:p>
  </w:footnote>
  <w:footnote w:id="168">
    <w:p w14:paraId="66E8A385" w14:textId="29ED8980" w:rsidR="00E76581" w:rsidRPr="00FC2E7E" w:rsidRDefault="00E76581" w:rsidP="00036BD2">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 xml:space="preserve">Internet of Things Report, p. </w:t>
      </w:r>
      <w:proofErr w:type="spellStart"/>
      <w:r w:rsidRPr="00FC2E7E">
        <w:rPr>
          <w:rFonts w:asciiTheme="majorHAnsi" w:hAnsiTheme="majorHAnsi"/>
          <w:sz w:val="20"/>
          <w:szCs w:val="20"/>
        </w:rPr>
        <w:t>i</w:t>
      </w:r>
      <w:proofErr w:type="spellEnd"/>
      <w:r w:rsidRPr="00FC2E7E">
        <w:rPr>
          <w:rFonts w:asciiTheme="majorHAnsi" w:hAnsiTheme="majorHAnsi"/>
          <w:sz w:val="20"/>
          <w:szCs w:val="20"/>
        </w:rPr>
        <w:t>.</w:t>
      </w:r>
      <w:proofErr w:type="gramEnd"/>
      <w:r w:rsidRPr="00FC2E7E">
        <w:rPr>
          <w:rFonts w:asciiTheme="majorHAnsi" w:hAnsiTheme="majorHAnsi"/>
          <w:sz w:val="20"/>
          <w:szCs w:val="20"/>
        </w:rPr>
        <w:t xml:space="preserve">  </w:t>
      </w:r>
    </w:p>
  </w:footnote>
  <w:footnote w:id="169">
    <w:p w14:paraId="7F69C0C4" w14:textId="7777777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hAnsiTheme="majorHAnsi"/>
          <w:i/>
          <w:sz w:val="20"/>
          <w:szCs w:val="20"/>
        </w:rPr>
        <w:t>Id</w:t>
      </w:r>
      <w:r w:rsidRPr="00FC2E7E">
        <w:rPr>
          <w:rFonts w:asciiTheme="majorHAnsi" w:hAnsiTheme="majorHAnsi"/>
          <w:sz w:val="20"/>
          <w:szCs w:val="20"/>
        </w:rPr>
        <w:t>.</w:t>
      </w:r>
    </w:p>
  </w:footnote>
  <w:footnote w:id="170">
    <w:p w14:paraId="171515BE" w14:textId="468848B2"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Big Data: A Tool for Inclusion or Exclusion</w:t>
      </w:r>
      <w:proofErr w:type="gramStart"/>
      <w:r w:rsidRPr="00FC2E7E">
        <w:rPr>
          <w:rFonts w:asciiTheme="majorHAnsi" w:hAnsiTheme="majorHAnsi"/>
          <w:sz w:val="20"/>
          <w:szCs w:val="20"/>
        </w:rPr>
        <w:t>?,</w:t>
      </w:r>
      <w:proofErr w:type="gramEnd"/>
      <w:r w:rsidRPr="00FC2E7E">
        <w:rPr>
          <w:rFonts w:asciiTheme="majorHAnsi" w:hAnsiTheme="majorHAnsi"/>
          <w:sz w:val="20"/>
          <w:szCs w:val="20"/>
        </w:rPr>
        <w:t xml:space="preserve"> </w:t>
      </w:r>
      <w:hyperlink r:id="rId48" w:history="1">
        <w:r w:rsidRPr="00FC2E7E">
          <w:rPr>
            <w:rStyle w:val="Hyperlink"/>
            <w:rFonts w:asciiTheme="majorHAnsi" w:hAnsiTheme="majorHAnsi"/>
            <w:sz w:val="20"/>
            <w:szCs w:val="20"/>
          </w:rPr>
          <w:t>https://www.ftc.gov/news-events/events-calendar/2014/09/big-data-tool-inclusion-or-exclusion</w:t>
        </w:r>
      </w:hyperlink>
      <w:r w:rsidRPr="00FC2E7E">
        <w:rPr>
          <w:rFonts w:asciiTheme="majorHAnsi" w:hAnsiTheme="majorHAnsi"/>
          <w:sz w:val="20"/>
          <w:szCs w:val="20"/>
        </w:rPr>
        <w:t xml:space="preserve">.  </w:t>
      </w:r>
    </w:p>
  </w:footnote>
  <w:footnote w:id="171">
    <w:p w14:paraId="1EEFDB4A" w14:textId="0DB90ED4"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About the Precision Medicine Initiative, National Institutes of Health, available at: </w:t>
      </w:r>
      <w:hyperlink r:id="rId49" w:history="1">
        <w:r w:rsidRPr="00FC2E7E">
          <w:rPr>
            <w:rStyle w:val="Hyperlink"/>
            <w:rFonts w:asciiTheme="majorHAnsi" w:hAnsiTheme="majorHAnsi"/>
            <w:sz w:val="20"/>
            <w:szCs w:val="20"/>
          </w:rPr>
          <w:t>http://www.nih.gov/precisionmedicine/</w:t>
        </w:r>
      </w:hyperlink>
      <w:r w:rsidRPr="00FC2E7E">
        <w:rPr>
          <w:rFonts w:asciiTheme="majorHAnsi" w:hAnsiTheme="majorHAnsi"/>
          <w:sz w:val="20"/>
          <w:szCs w:val="20"/>
        </w:rPr>
        <w:t xml:space="preserve">.  </w:t>
      </w:r>
    </w:p>
  </w:footnote>
  <w:footnote w:id="172">
    <w:p w14:paraId="72BC6160" w14:textId="7C18A824"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FACT SHEET: President Obama’s Precision Medicine Initiative, </w:t>
      </w:r>
      <w:hyperlink r:id="rId50" w:history="1">
        <w:r w:rsidRPr="00FC2E7E">
          <w:rPr>
            <w:rStyle w:val="Hyperlink"/>
            <w:rFonts w:asciiTheme="majorHAnsi" w:hAnsiTheme="majorHAnsi"/>
            <w:sz w:val="20"/>
            <w:szCs w:val="20"/>
          </w:rPr>
          <w:t>https://www.whitehouse.gov/the-press-office/2015/01/30/fact-sheet-president-obama-s-precision-medicine-initiative</w:t>
        </w:r>
      </w:hyperlink>
      <w:r w:rsidRPr="00FC2E7E">
        <w:rPr>
          <w:rFonts w:asciiTheme="majorHAnsi" w:hAnsiTheme="majorHAnsi"/>
          <w:sz w:val="20"/>
          <w:szCs w:val="20"/>
        </w:rPr>
        <w:t xml:space="preserve">.  </w:t>
      </w:r>
      <w:r w:rsidRPr="00FC2E7E">
        <w:rPr>
          <w:rFonts w:asciiTheme="majorHAnsi" w:hAnsiTheme="majorHAnsi"/>
          <w:i/>
          <w:sz w:val="20"/>
          <w:szCs w:val="20"/>
        </w:rPr>
        <w:t>See also</w:t>
      </w:r>
      <w:r w:rsidRPr="00FC2E7E">
        <w:rPr>
          <w:rFonts w:asciiTheme="majorHAnsi" w:hAnsiTheme="majorHAnsi"/>
          <w:sz w:val="20"/>
          <w:szCs w:val="20"/>
        </w:rPr>
        <w:t xml:space="preserve">, PMI: Proposed Privacy and Trust Principles, </w:t>
      </w:r>
      <w:hyperlink r:id="rId51" w:history="1">
        <w:r w:rsidRPr="00FC2E7E">
          <w:rPr>
            <w:rStyle w:val="Hyperlink"/>
            <w:rFonts w:asciiTheme="majorHAnsi" w:hAnsiTheme="majorHAnsi"/>
            <w:sz w:val="20"/>
            <w:szCs w:val="20"/>
          </w:rPr>
          <w:t>https://www.whitehouse.gov/sites/default/files/docs/pmi_privacy_and_trust_principles_july_2015.pdf</w:t>
        </w:r>
      </w:hyperlink>
      <w:r w:rsidRPr="00FC2E7E">
        <w:rPr>
          <w:rFonts w:asciiTheme="majorHAnsi" w:hAnsiTheme="majorHAnsi"/>
          <w:sz w:val="20"/>
          <w:szCs w:val="20"/>
        </w:rPr>
        <w:t xml:space="preserve">; Advisory Committee to the NIH Director (ACD) PMI Working Group: </w:t>
      </w:r>
      <w:r w:rsidRPr="00FC2E7E">
        <w:rPr>
          <w:rFonts w:asciiTheme="majorHAnsi" w:hAnsiTheme="majorHAnsi"/>
          <w:sz w:val="20"/>
          <w:szCs w:val="20"/>
          <w:lang w:val="en"/>
        </w:rPr>
        <w:t xml:space="preserve">Participant Engagement and Health Equity Workshop, </w:t>
      </w:r>
      <w:r w:rsidRPr="00FC2E7E">
        <w:rPr>
          <w:rFonts w:asciiTheme="majorHAnsi" w:hAnsiTheme="majorHAnsi" w:cs="Calibri"/>
          <w:bCs/>
          <w:color w:val="000000"/>
          <w:sz w:val="20"/>
          <w:szCs w:val="20"/>
        </w:rPr>
        <w:t xml:space="preserve">Session 8: Interagency Proposed Privacy and Trust Framework for a PMI Cohort </w:t>
      </w:r>
      <w:r w:rsidRPr="00FC2E7E">
        <w:rPr>
          <w:rFonts w:asciiTheme="majorHAnsi" w:hAnsiTheme="majorHAnsi"/>
          <w:sz w:val="20"/>
          <w:szCs w:val="20"/>
          <w:lang w:val="en"/>
        </w:rPr>
        <w:t xml:space="preserve">Day 2, </w:t>
      </w:r>
      <w:hyperlink r:id="rId52" w:history="1">
        <w:r w:rsidRPr="00FC2E7E">
          <w:rPr>
            <w:rStyle w:val="Hyperlink"/>
            <w:rFonts w:asciiTheme="majorHAnsi" w:hAnsiTheme="majorHAnsi"/>
            <w:sz w:val="20"/>
            <w:szCs w:val="20"/>
            <w:lang w:val="en"/>
          </w:rPr>
          <w:t>http://www.nih.gov/precisionmedicine/workshop-20150701.htm</w:t>
        </w:r>
      </w:hyperlink>
      <w:r w:rsidRPr="00FC2E7E">
        <w:rPr>
          <w:rFonts w:asciiTheme="majorHAnsi" w:hAnsiTheme="majorHAnsi"/>
          <w:sz w:val="20"/>
          <w:szCs w:val="20"/>
          <w:lang w:val="en"/>
        </w:rPr>
        <w:t xml:space="preserve">.  </w:t>
      </w:r>
    </w:p>
  </w:footnote>
  <w:footnote w:id="173">
    <w:p w14:paraId="3FF08242" w14:textId="7777777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21</w:t>
      </w:r>
      <w:r w:rsidRPr="00FC2E7E">
        <w:rPr>
          <w:rFonts w:asciiTheme="majorHAnsi" w:hAnsiTheme="majorHAnsi"/>
          <w:sz w:val="20"/>
          <w:szCs w:val="20"/>
          <w:vertAlign w:val="superscript"/>
        </w:rPr>
        <w:t>st</w:t>
      </w:r>
      <w:r w:rsidRPr="00FC2E7E">
        <w:rPr>
          <w:rFonts w:asciiTheme="majorHAnsi" w:hAnsiTheme="majorHAnsi"/>
          <w:sz w:val="20"/>
          <w:szCs w:val="20"/>
        </w:rPr>
        <w:t xml:space="preserve"> Century Cures Discussion Document, </w:t>
      </w:r>
      <w:hyperlink r:id="rId53" w:history="1">
        <w:r w:rsidRPr="00FC2E7E">
          <w:rPr>
            <w:rStyle w:val="Hyperlink"/>
            <w:rFonts w:asciiTheme="majorHAnsi" w:hAnsiTheme="majorHAnsi"/>
            <w:sz w:val="20"/>
            <w:szCs w:val="20"/>
          </w:rPr>
          <w:t>http://energycommerce.house.gov/sites/republicans.energycommerce.house.gov/files/114/Analysis/Cures/20150127-Cures-Discussion-Document-One-Pager.pdf</w:t>
        </w:r>
      </w:hyperlink>
      <w:r w:rsidRPr="00FC2E7E">
        <w:rPr>
          <w:rFonts w:asciiTheme="majorHAnsi" w:hAnsiTheme="majorHAnsi"/>
          <w:sz w:val="20"/>
          <w:szCs w:val="20"/>
        </w:rPr>
        <w:t xml:space="preserve"> </w:t>
      </w:r>
    </w:p>
  </w:footnote>
  <w:footnote w:id="174">
    <w:p w14:paraId="08C1E47D" w14:textId="7777777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21</w:t>
      </w:r>
      <w:r w:rsidRPr="00FC2E7E">
        <w:rPr>
          <w:rFonts w:asciiTheme="majorHAnsi" w:hAnsiTheme="majorHAnsi"/>
          <w:sz w:val="20"/>
          <w:szCs w:val="20"/>
          <w:vertAlign w:val="superscript"/>
        </w:rPr>
        <w:t>st</w:t>
      </w:r>
      <w:r w:rsidRPr="00FC2E7E">
        <w:rPr>
          <w:rFonts w:asciiTheme="majorHAnsi" w:hAnsiTheme="majorHAnsi"/>
          <w:sz w:val="20"/>
          <w:szCs w:val="20"/>
        </w:rPr>
        <w:t xml:space="preserve"> Century Cures Discussion Document.</w:t>
      </w:r>
      <w:proofErr w:type="gramEnd"/>
    </w:p>
  </w:footnote>
  <w:footnote w:id="175">
    <w:p w14:paraId="11673FF8" w14:textId="7777777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Energy and Commerce Cures, </w:t>
      </w:r>
      <w:hyperlink r:id="rId54" w:history="1">
        <w:r w:rsidRPr="00FC2E7E">
          <w:rPr>
            <w:rStyle w:val="Hyperlink"/>
            <w:rFonts w:asciiTheme="majorHAnsi" w:hAnsiTheme="majorHAnsi"/>
            <w:sz w:val="20"/>
            <w:szCs w:val="20"/>
          </w:rPr>
          <w:t>http://energycommerce.house.gov/cures</w:t>
        </w:r>
      </w:hyperlink>
    </w:p>
  </w:footnote>
  <w:footnote w:id="176">
    <w:p w14:paraId="410DB52E" w14:textId="136C309A"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Id.  </w:t>
      </w:r>
    </w:p>
  </w:footnote>
  <w:footnote w:id="177">
    <w:p w14:paraId="45EC865E" w14:textId="7777777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Federal Health IT Strategic Plan: 2015-2020, </w:t>
      </w:r>
      <w:hyperlink r:id="rId55" w:history="1">
        <w:r w:rsidRPr="00FC2E7E">
          <w:rPr>
            <w:rStyle w:val="Hyperlink"/>
            <w:rFonts w:asciiTheme="majorHAnsi" w:hAnsiTheme="majorHAnsi"/>
            <w:sz w:val="20"/>
            <w:szCs w:val="20"/>
          </w:rPr>
          <w:t>http://www.healthit.gov/sites/default/files/federal-healthIT-strategic-plan-2014.pdf</w:t>
        </w:r>
      </w:hyperlink>
      <w:r w:rsidRPr="00FC2E7E">
        <w:rPr>
          <w:rFonts w:asciiTheme="majorHAnsi" w:hAnsiTheme="majorHAnsi"/>
          <w:sz w:val="20"/>
          <w:szCs w:val="20"/>
        </w:rPr>
        <w:t xml:space="preserve"> [hereinafter “Federal Health IT Strategic Plan 2015-2020”].</w:t>
      </w:r>
    </w:p>
  </w:footnote>
  <w:footnote w:id="178">
    <w:p w14:paraId="1DEBAA21" w14:textId="74C57194"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Federal Health IT Strategic Plan: 2015-2020, p. 3.</w:t>
      </w:r>
    </w:p>
  </w:footnote>
  <w:footnote w:id="179">
    <w:p w14:paraId="74EA6FA1" w14:textId="758947FA"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Federal Health IT Strategic Plan: 2015-2020, p. 26.  </w:t>
      </w:r>
    </w:p>
  </w:footnote>
  <w:footnote w:id="180">
    <w:p w14:paraId="60C963CE" w14:textId="0225B23D"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Interoperability Roadmap, </w:t>
      </w:r>
      <w:r w:rsidRPr="00FC2E7E">
        <w:rPr>
          <w:rFonts w:asciiTheme="majorHAnsi" w:hAnsiTheme="majorHAnsi"/>
          <w:i/>
          <w:sz w:val="20"/>
          <w:szCs w:val="20"/>
        </w:rPr>
        <w:t>supra</w:t>
      </w:r>
      <w:r w:rsidRPr="00FC2E7E">
        <w:rPr>
          <w:rFonts w:asciiTheme="majorHAnsi" w:hAnsiTheme="majorHAnsi"/>
          <w:sz w:val="20"/>
          <w:szCs w:val="20"/>
        </w:rPr>
        <w:t xml:space="preserve">.  </w:t>
      </w:r>
    </w:p>
  </w:footnote>
  <w:footnote w:id="181">
    <w:p w14:paraId="2906BA77" w14:textId="74FCD2D9"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See Federal Health IT Strategic Plan: 2015-2020, p. 5.  </w:t>
      </w:r>
    </w:p>
  </w:footnote>
  <w:footnote w:id="182">
    <w:p w14:paraId="022C3EE7" w14:textId="44349D94"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Goal 3: strengthen health care delivery; goal 4: advance the heath and </w:t>
      </w:r>
      <w:proofErr w:type="spellStart"/>
      <w:r w:rsidRPr="00FC2E7E">
        <w:rPr>
          <w:rFonts w:asciiTheme="majorHAnsi" w:hAnsiTheme="majorHAnsi"/>
          <w:sz w:val="20"/>
          <w:szCs w:val="20"/>
        </w:rPr>
        <w:t>well being</w:t>
      </w:r>
      <w:proofErr w:type="spellEnd"/>
      <w:r w:rsidRPr="00FC2E7E">
        <w:rPr>
          <w:rFonts w:asciiTheme="majorHAnsi" w:hAnsiTheme="majorHAnsi"/>
          <w:sz w:val="20"/>
          <w:szCs w:val="20"/>
        </w:rPr>
        <w:t xml:space="preserve"> of individuals and communities; and goal 5: advance research, scientific knowledge, and innovation.  See Federal Health IT Strategic Plan: 2015-2020, p. 5.</w:t>
      </w:r>
    </w:p>
  </w:footnote>
  <w:footnote w:id="183">
    <w:p w14:paraId="7675C4F5" w14:textId="2B16671E"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proofErr w:type="gramStart"/>
      <w:r w:rsidRPr="00FC2E7E">
        <w:rPr>
          <w:rFonts w:asciiTheme="majorHAnsi" w:hAnsiTheme="majorHAnsi"/>
          <w:sz w:val="20"/>
          <w:szCs w:val="20"/>
        </w:rPr>
        <w:t>Interoperability Roadmap, p.</w:t>
      </w:r>
      <w:proofErr w:type="gramEnd"/>
      <w:r w:rsidRPr="00FC2E7E">
        <w:rPr>
          <w:rFonts w:asciiTheme="majorHAnsi" w:hAnsiTheme="majorHAnsi"/>
          <w:sz w:val="20"/>
          <w:szCs w:val="20"/>
        </w:rPr>
        <w:t xml:space="preserve">  35.</w:t>
      </w:r>
    </w:p>
  </w:footnote>
  <w:footnote w:id="184">
    <w:p w14:paraId="0E01FF62" w14:textId="2067E681" w:rsidR="00E76581" w:rsidRPr="00FC2E7E" w:rsidRDefault="00E76581">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Patient Protection and Affordable Care Act, Pub.  L. 111-148, Mar.  </w:t>
      </w:r>
      <w:proofErr w:type="gramStart"/>
      <w:r w:rsidRPr="00FC2E7E">
        <w:rPr>
          <w:rFonts w:asciiTheme="majorHAnsi" w:hAnsiTheme="majorHAnsi"/>
          <w:sz w:val="20"/>
          <w:szCs w:val="20"/>
        </w:rPr>
        <w:t>23, 2010, Sec.</w:t>
      </w:r>
      <w:proofErr w:type="gramEnd"/>
      <w:r w:rsidRPr="00FC2E7E">
        <w:rPr>
          <w:rFonts w:asciiTheme="majorHAnsi" w:hAnsiTheme="majorHAnsi"/>
          <w:sz w:val="20"/>
          <w:szCs w:val="20"/>
        </w:rPr>
        <w:t xml:space="preserve">  6301(b), 124 Stat 727, </w:t>
      </w:r>
      <w:hyperlink r:id="rId56" w:history="1">
        <w:r w:rsidRPr="00FC2E7E">
          <w:rPr>
            <w:rStyle w:val="Hyperlink"/>
            <w:rFonts w:asciiTheme="majorHAnsi" w:hAnsiTheme="majorHAnsi"/>
            <w:sz w:val="20"/>
            <w:szCs w:val="20"/>
          </w:rPr>
          <w:t>http://www.gpo.gov/fdsys/pkg/PLAW-111publ148/pdf/PLAW-111publ148.pdf</w:t>
        </w:r>
      </w:hyperlink>
      <w:r w:rsidRPr="00FC2E7E">
        <w:rPr>
          <w:rFonts w:asciiTheme="majorHAnsi" w:hAnsiTheme="majorHAnsi"/>
          <w:sz w:val="20"/>
          <w:szCs w:val="20"/>
        </w:rPr>
        <w:t xml:space="preserve">   </w:t>
      </w:r>
    </w:p>
  </w:footnote>
  <w:footnote w:id="185">
    <w:p w14:paraId="1F11EF2F" w14:textId="1C4DA9F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r w:rsidRPr="00FC2E7E">
        <w:rPr>
          <w:rFonts w:asciiTheme="majorHAnsi" w:eastAsia="Times New Roman" w:hAnsiTheme="majorHAnsi" w:cs="Arial"/>
          <w:sz w:val="20"/>
          <w:szCs w:val="20"/>
          <w:lang w:val="en"/>
        </w:rPr>
        <w:t xml:space="preserve">Patient-Centered Outcomes Research Institute, </w:t>
      </w:r>
      <w:hyperlink r:id="rId57" w:history="1">
        <w:r w:rsidRPr="00FC2E7E">
          <w:rPr>
            <w:rStyle w:val="Hyperlink"/>
            <w:rFonts w:asciiTheme="majorHAnsi" w:hAnsiTheme="majorHAnsi"/>
            <w:sz w:val="20"/>
            <w:szCs w:val="20"/>
          </w:rPr>
          <w:t>http://www.pcori.org/about-us</w:t>
        </w:r>
      </w:hyperlink>
      <w:r w:rsidRPr="00FC2E7E">
        <w:rPr>
          <w:rFonts w:asciiTheme="majorHAnsi" w:hAnsiTheme="majorHAnsi"/>
          <w:sz w:val="20"/>
          <w:szCs w:val="20"/>
        </w:rPr>
        <w:t xml:space="preserve">.  </w:t>
      </w:r>
    </w:p>
  </w:footnote>
  <w:footnote w:id="186">
    <w:p w14:paraId="0E119227" w14:textId="0AB33F4B"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w:t>
      </w:r>
      <w:hyperlink r:id="rId58" w:history="1">
        <w:r w:rsidRPr="00FC2E7E">
          <w:rPr>
            <w:rStyle w:val="Hyperlink"/>
            <w:rFonts w:asciiTheme="majorHAnsi" w:hAnsiTheme="majorHAnsi"/>
            <w:sz w:val="20"/>
            <w:szCs w:val="20"/>
          </w:rPr>
          <w:t>http://www.hhs.gov/ohrp/sachrp/</w:t>
        </w:r>
      </w:hyperlink>
      <w:r w:rsidRPr="00FC2E7E">
        <w:rPr>
          <w:rFonts w:asciiTheme="majorHAnsi" w:hAnsiTheme="majorHAnsi"/>
          <w:sz w:val="20"/>
          <w:szCs w:val="20"/>
        </w:rPr>
        <w:t xml:space="preserve"> </w:t>
      </w:r>
    </w:p>
  </w:footnote>
  <w:footnote w:id="187">
    <w:p w14:paraId="53209EDC" w14:textId="04ECF955"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Human Subjects Research Implications of “Big Data” Studies, US Department of Health and Human Services, </w:t>
      </w:r>
      <w:hyperlink r:id="rId59" w:history="1">
        <w:r w:rsidRPr="00FC2E7E">
          <w:rPr>
            <w:rStyle w:val="Hyperlink"/>
            <w:rFonts w:asciiTheme="majorHAnsi" w:hAnsiTheme="majorHAnsi"/>
            <w:sz w:val="20"/>
            <w:szCs w:val="20"/>
          </w:rPr>
          <w:t>http://www.hhs.gov/ohrp/sachrp/commsec/hsrimplicationsofbig_datastudies.html</w:t>
        </w:r>
      </w:hyperlink>
      <w:r w:rsidRPr="00FC2E7E">
        <w:rPr>
          <w:rFonts w:asciiTheme="majorHAnsi" w:hAnsiTheme="majorHAnsi"/>
          <w:sz w:val="20"/>
          <w:szCs w:val="20"/>
        </w:rPr>
        <w:t xml:space="preserve">.  </w:t>
      </w:r>
    </w:p>
  </w:footnote>
  <w:footnote w:id="188">
    <w:p w14:paraId="257B3CB5" w14:textId="77777777" w:rsidR="00E76581" w:rsidRPr="00FC2E7E" w:rsidRDefault="00E76581" w:rsidP="00633E97">
      <w:pPr>
        <w:pStyle w:val="FootnoteText"/>
        <w:rPr>
          <w:rFonts w:asciiTheme="majorHAnsi" w:hAnsiTheme="majorHAnsi"/>
          <w:sz w:val="20"/>
          <w:szCs w:val="20"/>
        </w:rPr>
      </w:pPr>
      <w:r w:rsidRPr="00FC2E7E">
        <w:rPr>
          <w:rStyle w:val="FootnoteReference"/>
          <w:rFonts w:asciiTheme="majorHAnsi" w:hAnsiTheme="majorHAnsi"/>
          <w:sz w:val="20"/>
          <w:szCs w:val="20"/>
        </w:rPr>
        <w:footnoteRef/>
      </w:r>
      <w:r w:rsidRPr="00FC2E7E">
        <w:rPr>
          <w:rFonts w:asciiTheme="majorHAnsi" w:hAnsiTheme="majorHAnsi"/>
          <w:sz w:val="20"/>
          <w:szCs w:val="20"/>
        </w:rPr>
        <w:t xml:space="preserv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BC41" w14:textId="712338CF" w:rsidR="00E76581" w:rsidRDefault="00E76581">
    <w:pPr>
      <w:pStyle w:val="Header"/>
    </w:pPr>
    <w:r>
      <w:rPr>
        <w:noProof/>
      </w:rPr>
      <mc:AlternateContent>
        <mc:Choice Requires="wps">
          <w:drawing>
            <wp:anchor distT="0" distB="0" distL="114300" distR="114300" simplePos="0" relativeHeight="251679744" behindDoc="1" locked="0" layoutInCell="1" allowOverlap="1" wp14:anchorId="05FF09B6" wp14:editId="27E0AB95">
              <wp:simplePos x="0" y="0"/>
              <wp:positionH relativeFrom="margin">
                <wp:align>center</wp:align>
              </wp:positionH>
              <wp:positionV relativeFrom="margin">
                <wp:align>center</wp:align>
              </wp:positionV>
              <wp:extent cx="6285230" cy="91440"/>
              <wp:effectExtent l="0" t="1704975" r="0" b="1505585"/>
              <wp:wrapNone/>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BCBDF0"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FF09B6" id="_x0000_t202" coordsize="21600,21600" o:spt="202" path="m,l,21600r21600,l21600,xe">
              <v:stroke joinstyle="miter"/>
              <v:path gradientshapeok="t" o:connecttype="rect"/>
            </v:shapetype>
            <v:shape id="WordArt 13" o:spid="_x0000_s1027" type="#_x0000_t202" style="position:absolute;margin-left:0;margin-top:0;width:494.9pt;height:7.2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" filled="f" stroked="f">
              <o:lock v:ext="edit" shapetype="t"/>
              <v:textbox style="mso-fit-shape-to-text:t">
                <w:txbxContent>
                  <w:p w14:paraId="39BCBDF0"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1" allowOverlap="1" wp14:anchorId="7B2ED058" wp14:editId="4DFBC976">
              <wp:simplePos x="0" y="0"/>
              <wp:positionH relativeFrom="margin">
                <wp:align>center</wp:align>
              </wp:positionH>
              <wp:positionV relativeFrom="margin">
                <wp:align>center</wp:align>
              </wp:positionV>
              <wp:extent cx="6285230" cy="91440"/>
              <wp:effectExtent l="0" t="1704975" r="0" b="150558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6298C4" w14:textId="77777777" w:rsidR="00E76581" w:rsidRDefault="00E76581" w:rsidP="00D64331">
                          <w:pPr>
                            <w:pStyle w:val="NormalWeb"/>
                            <w:spacing w:before="0" w:beforeAutospacing="0" w:after="0" w:afterAutospacing="0"/>
                            <w:jc w:val="center"/>
                            <w:rPr>
                              <w:sz w:val="24"/>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2ED058" id="WordArt 6" o:spid="_x0000_s1028" type="#_x0000_t202" style="position:absolute;margin-left:0;margin-top:0;width:494.9pt;height:7.2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" filled="f" stroked="f">
              <o:lock v:ext="edit" shapetype="t"/>
              <v:textbox style="mso-fit-shape-to-text:t">
                <w:txbxContent>
                  <w:p w14:paraId="136298C4" w14:textId="77777777" w:rsidR="00E76581" w:rsidRDefault="00E76581" w:rsidP="00D64331">
                    <w:pPr>
                      <w:pStyle w:val="NormalWeb"/>
                      <w:spacing w:before="0" w:beforeAutospacing="0" w:after="0" w:afterAutospacing="0"/>
                      <w:jc w:val="center"/>
                      <w:rPr>
                        <w:sz w:val="24"/>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C223" w14:textId="2471EEF9" w:rsidR="00E76581" w:rsidRPr="00D54E45" w:rsidRDefault="00E76581">
    <w:pPr>
      <w:pStyle w:val="Header"/>
      <w:rPr>
        <w:sz w:val="20"/>
      </w:rPr>
    </w:pPr>
    <w:r w:rsidRPr="00D54E45">
      <w:rPr>
        <w:sz w:val="20"/>
      </w:rPr>
      <w:t>Health IT Policy Committee</w:t>
    </w:r>
  </w:p>
  <w:p w14:paraId="50032A13" w14:textId="39922279" w:rsidR="00E76581" w:rsidRPr="00D54E45" w:rsidRDefault="00E76581">
    <w:pPr>
      <w:pStyle w:val="Header"/>
      <w:rPr>
        <w:sz w:val="20"/>
      </w:rPr>
    </w:pPr>
    <w:r w:rsidRPr="00D54E45">
      <w:rPr>
        <w:sz w:val="20"/>
      </w:rPr>
      <w:t>Privacy and Security Workgroup</w:t>
    </w:r>
  </w:p>
  <w:p w14:paraId="41E998A7" w14:textId="364153B3" w:rsidR="00E76581" w:rsidRDefault="00E76581">
    <w:pPr>
      <w:pStyle w:val="Header"/>
      <w:rPr>
        <w:sz w:val="20"/>
      </w:rPr>
    </w:pPr>
    <w:r w:rsidRPr="00D54E45">
      <w:rPr>
        <w:sz w:val="20"/>
      </w:rPr>
      <w:t>Recommendations on Health Big Data</w:t>
    </w:r>
  </w:p>
  <w:p w14:paraId="6C217751" w14:textId="77777777" w:rsidR="00E76581" w:rsidRPr="00D54E45" w:rsidRDefault="00E76581">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001A9" w14:textId="10A6497B" w:rsidR="00E76581" w:rsidRDefault="00E76581">
    <w:pPr>
      <w:pStyle w:val="Header"/>
    </w:pPr>
    <w:r>
      <w:rPr>
        <w:noProof/>
      </w:rPr>
      <mc:AlternateContent>
        <mc:Choice Requires="wps">
          <w:drawing>
            <wp:anchor distT="0" distB="0" distL="114300" distR="114300" simplePos="0" relativeHeight="251681792" behindDoc="1" locked="0" layoutInCell="1" allowOverlap="1" wp14:anchorId="7A813D9D" wp14:editId="5D5B3FAA">
              <wp:simplePos x="0" y="0"/>
              <wp:positionH relativeFrom="margin">
                <wp:align>center</wp:align>
              </wp:positionH>
              <wp:positionV relativeFrom="margin">
                <wp:align>center</wp:align>
              </wp:positionV>
              <wp:extent cx="6285230" cy="91440"/>
              <wp:effectExtent l="0" t="1704975" r="0" b="1505585"/>
              <wp:wrapNone/>
              <wp:docPr id="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D49B13"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813D9D" id="_x0000_t202" coordsize="21600,21600" o:spt="202" path="m,l,21600r21600,l21600,xe">
              <v:stroke joinstyle="miter"/>
              <v:path gradientshapeok="t" o:connecttype="rect"/>
            </v:shapetype>
            <v:shape id="WordArt 14" o:spid="_x0000_s1029" type="#_x0000_t202" style="position:absolute;margin-left:0;margin-top:0;width:494.9pt;height:7.2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" filled="f" stroked="f">
              <o:lock v:ext="edit" shapetype="t"/>
              <v:textbox style="mso-fit-shape-to-text:t">
                <w:txbxContent>
                  <w:p w14:paraId="61D49B13"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69504" behindDoc="1" locked="0" layoutInCell="1" allowOverlap="1" wp14:anchorId="05BB9F7F" wp14:editId="09E28895">
              <wp:simplePos x="0" y="0"/>
              <wp:positionH relativeFrom="margin">
                <wp:align>center</wp:align>
              </wp:positionH>
              <wp:positionV relativeFrom="margin">
                <wp:align>center</wp:align>
              </wp:positionV>
              <wp:extent cx="6285230" cy="91440"/>
              <wp:effectExtent l="0" t="1704975" r="0" b="150558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D2747D" w14:textId="77777777" w:rsidR="00E76581" w:rsidRDefault="00E76581" w:rsidP="00D64331">
                          <w:pPr>
                            <w:pStyle w:val="NormalWeb"/>
                            <w:spacing w:before="0" w:beforeAutospacing="0" w:after="0" w:afterAutospacing="0"/>
                            <w:jc w:val="center"/>
                            <w:rPr>
                              <w:sz w:val="24"/>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BB9F7F" id="WordArt 7" o:spid="_x0000_s1030" type="#_x0000_t202" style="position:absolute;margin-left:0;margin-top:0;width:494.9pt;height:7.2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" filled="f" stroked="f">
              <o:lock v:ext="edit" shapetype="t"/>
              <v:textbox style="mso-fit-shape-to-text:t">
                <w:txbxContent>
                  <w:p w14:paraId="09D2747D" w14:textId="77777777" w:rsidR="00E76581" w:rsidRDefault="00E76581" w:rsidP="00D64331">
                    <w:pPr>
                      <w:pStyle w:val="NormalWeb"/>
                      <w:spacing w:before="0" w:beforeAutospacing="0" w:after="0" w:afterAutospacing="0"/>
                      <w:jc w:val="center"/>
                      <w:rPr>
                        <w:sz w:val="24"/>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0426" w14:textId="1F528C6F" w:rsidR="00E76581" w:rsidRDefault="00E76581">
    <w:pPr>
      <w:pStyle w:val="Header"/>
    </w:pPr>
    <w:r>
      <w:rPr>
        <w:noProof/>
      </w:rPr>
      <mc:AlternateContent>
        <mc:Choice Requires="wps">
          <w:drawing>
            <wp:anchor distT="0" distB="0" distL="114300" distR="114300" simplePos="0" relativeHeight="251685888" behindDoc="1" locked="0" layoutInCell="1" allowOverlap="1" wp14:anchorId="193E0C20" wp14:editId="4EDA1488">
              <wp:simplePos x="0" y="0"/>
              <wp:positionH relativeFrom="margin">
                <wp:align>center</wp:align>
              </wp:positionH>
              <wp:positionV relativeFrom="margin">
                <wp:align>center</wp:align>
              </wp:positionV>
              <wp:extent cx="6285230" cy="91440"/>
              <wp:effectExtent l="0" t="1704975" r="0" b="1505585"/>
              <wp:wrapNone/>
              <wp:docPr id="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E91983"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E0C20" id="_x0000_t202" coordsize="21600,21600" o:spt="202" path="m,l,21600r21600,l21600,xe">
              <v:stroke joinstyle="miter"/>
              <v:path gradientshapeok="t" o:connecttype="rect"/>
            </v:shapetype>
            <v:shape id="WordArt 16" o:spid="_x0000_s1031" type="#_x0000_t202" style="position:absolute;margin-left:0;margin-top:0;width:494.9pt;height:7.2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" filled="f" stroked="f">
              <o:lock v:ext="edit" shapetype="t"/>
              <v:textbox style="mso-fit-shape-to-text:t">
                <w:txbxContent>
                  <w:p w14:paraId="62E91983"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v:textbox>
              <w10:wrap anchorx="margin" anchory="margin"/>
            </v:shape>
          </w:pict>
        </mc:Fallback>
      </mc:AlternateContent>
    </w:r>
    <w:r w:rsidR="006E7D3A">
      <w:rPr>
        <w:noProof/>
      </w:rPr>
      <w:pict w14:anchorId="529E6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7" type="#_x0000_t136" style="position:absolute;margin-left:0;margin-top:0;width:494.9pt;height:164.95pt;rotation:315;z-index:-25164288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r w:rsidR="006E7D3A">
      <w:rPr>
        <w:noProof/>
      </w:rPr>
      <w:pict w14:anchorId="22DBE29B">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o:allowincell="f" fillcolor="silver" stroked="f">
          <v:fill opacity=".5"/>
          <v:textpath style="font-family:&quot;Cambria&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5F388" w14:textId="7004AC5C" w:rsidR="00E76581" w:rsidRDefault="00E76581">
    <w:pPr>
      <w:pStyle w:val="Header"/>
    </w:pPr>
    <w:r>
      <w:rPr>
        <w:noProof/>
      </w:rPr>
      <mc:AlternateContent>
        <mc:Choice Requires="wps">
          <w:drawing>
            <wp:anchor distT="0" distB="0" distL="114300" distR="114300" simplePos="0" relativeHeight="251683840" behindDoc="1" locked="0" layoutInCell="1" allowOverlap="1" wp14:anchorId="23ADC6D9" wp14:editId="007A5467">
              <wp:simplePos x="0" y="0"/>
              <wp:positionH relativeFrom="margin">
                <wp:align>center</wp:align>
              </wp:positionH>
              <wp:positionV relativeFrom="margin">
                <wp:align>center</wp:align>
              </wp:positionV>
              <wp:extent cx="6285230" cy="91440"/>
              <wp:effectExtent l="0" t="1704975" r="0" b="1505585"/>
              <wp:wrapNone/>
              <wp:docPr id="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91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C2454B"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ADC6D9" id="_x0000_t202" coordsize="21600,21600" o:spt="202" path="m,l,21600r21600,l21600,xe">
              <v:stroke joinstyle="miter"/>
              <v:path gradientshapeok="t" o:connecttype="rect"/>
            </v:shapetype>
            <v:shape id="WordArt 15" o:spid="_x0000_s1032" type="#_x0000_t202" style="position:absolute;margin-left:0;margin-top:0;width:494.9pt;height:7.2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" filled="f" stroked="f">
              <o:lock v:ext="edit" shapetype="t"/>
              <v:textbox style="mso-fit-shape-to-text:t">
                <w:txbxContent>
                  <w:p w14:paraId="0EC2454B" w14:textId="77777777" w:rsidR="00E76581" w:rsidRDefault="00E76581" w:rsidP="00536556">
                    <w:pPr>
                      <w:pStyle w:val="NormalWeb"/>
                      <w:spacing w:before="0" w:beforeAutospacing="0" w:after="0" w:afterAutospacing="0"/>
                      <w:jc w:val="center"/>
                      <w:rPr>
                        <w:sz w:val="24"/>
                        <w:szCs w:val="24"/>
                      </w:rPr>
                    </w:pPr>
                    <w:r>
                      <w:rPr>
                        <w:rFonts w:ascii="Cambria" w:hAnsi="Cambria"/>
                        <w:color w:val="C0C0C0"/>
                        <w:sz w:val="2"/>
                        <w:szCs w:val="2"/>
                      </w:rPr>
                      <w:t>DRAFT</w:t>
                    </w:r>
                  </w:p>
                </w:txbxContent>
              </v:textbox>
              <w10:wrap anchorx="margin" anchory="margin"/>
            </v:shape>
          </w:pict>
        </mc:Fallback>
      </mc:AlternateContent>
    </w:r>
    <w:r w:rsidR="006E7D3A">
      <w:rPr>
        <w:noProof/>
      </w:rPr>
      <w:pict w14:anchorId="68910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6" type="#_x0000_t136" style="position:absolute;margin-left:0;margin-top:0;width:494.9pt;height:164.95pt;rotation:315;z-index:-25164492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w10:wrap anchorx="margin" anchory="margin"/>
        </v:shape>
      </w:pict>
    </w:r>
    <w:r w:rsidR="006E7D3A">
      <w:rPr>
        <w:noProof/>
      </w:rPr>
      <w:pict w14:anchorId="1EDEBBF4">
        <v:shape id="PowerPlusWaterMarkObject1"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o:allowincell="f" fillcolor="silver" stroked="f">
          <v:fill opacity=".5"/>
          <v:textpath style="font-family:&quot;Cambria&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3EB9E" w14:textId="77777777" w:rsidR="00E76581" w:rsidRPr="00D54E45" w:rsidRDefault="00E76581" w:rsidP="00FF1FE5">
    <w:pPr>
      <w:pStyle w:val="Header"/>
      <w:rPr>
        <w:sz w:val="20"/>
      </w:rPr>
    </w:pPr>
    <w:r w:rsidRPr="00D54E45">
      <w:rPr>
        <w:sz w:val="20"/>
      </w:rPr>
      <w:t>Health IT Policy Committee</w:t>
    </w:r>
  </w:p>
  <w:p w14:paraId="0272CE1D" w14:textId="77777777" w:rsidR="00E76581" w:rsidRPr="00D54E45" w:rsidRDefault="00E76581" w:rsidP="00FF1FE5">
    <w:pPr>
      <w:pStyle w:val="Header"/>
      <w:rPr>
        <w:sz w:val="20"/>
      </w:rPr>
    </w:pPr>
    <w:r w:rsidRPr="00D54E45">
      <w:rPr>
        <w:sz w:val="20"/>
      </w:rPr>
      <w:t>Privacy and Security Workgroup</w:t>
    </w:r>
  </w:p>
  <w:p w14:paraId="3CEF4BFD" w14:textId="59F82AFA" w:rsidR="00E76581" w:rsidRPr="00FF1FE5" w:rsidRDefault="00E76581" w:rsidP="00FE28A1">
    <w:pPr>
      <w:pStyle w:val="Header"/>
      <w:rPr>
        <w:sz w:val="20"/>
      </w:rPr>
    </w:pPr>
    <w:r w:rsidRPr="00D54E45">
      <w:rPr>
        <w:sz w:val="20"/>
      </w:rPr>
      <w:t>Recommendations on Health Big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1EA"/>
    <w:multiLevelType w:val="hybridMultilevel"/>
    <w:tmpl w:val="CDB895AA"/>
    <w:lvl w:ilvl="0" w:tplc="026C6AAC">
      <w:start w:val="1"/>
      <w:numFmt w:val="bullet"/>
      <w:lvlText w:val="•"/>
      <w:lvlJc w:val="left"/>
      <w:pPr>
        <w:tabs>
          <w:tab w:val="num" w:pos="720"/>
        </w:tabs>
        <w:ind w:left="720" w:hanging="360"/>
      </w:pPr>
      <w:rPr>
        <w:rFonts w:ascii="Arial" w:hAnsi="Arial" w:hint="default"/>
      </w:rPr>
    </w:lvl>
    <w:lvl w:ilvl="1" w:tplc="D1589E1E">
      <w:numFmt w:val="none"/>
      <w:lvlText w:val=""/>
      <w:lvlJc w:val="left"/>
      <w:pPr>
        <w:tabs>
          <w:tab w:val="num" w:pos="360"/>
        </w:tabs>
      </w:pPr>
    </w:lvl>
    <w:lvl w:ilvl="2" w:tplc="71647E6A" w:tentative="1">
      <w:start w:val="1"/>
      <w:numFmt w:val="bullet"/>
      <w:lvlText w:val="•"/>
      <w:lvlJc w:val="left"/>
      <w:pPr>
        <w:tabs>
          <w:tab w:val="num" w:pos="2160"/>
        </w:tabs>
        <w:ind w:left="2160" w:hanging="360"/>
      </w:pPr>
      <w:rPr>
        <w:rFonts w:ascii="Arial" w:hAnsi="Arial" w:hint="default"/>
      </w:rPr>
    </w:lvl>
    <w:lvl w:ilvl="3" w:tplc="2C74D852" w:tentative="1">
      <w:start w:val="1"/>
      <w:numFmt w:val="bullet"/>
      <w:lvlText w:val="•"/>
      <w:lvlJc w:val="left"/>
      <w:pPr>
        <w:tabs>
          <w:tab w:val="num" w:pos="2880"/>
        </w:tabs>
        <w:ind w:left="2880" w:hanging="360"/>
      </w:pPr>
      <w:rPr>
        <w:rFonts w:ascii="Arial" w:hAnsi="Arial" w:hint="default"/>
      </w:rPr>
    </w:lvl>
    <w:lvl w:ilvl="4" w:tplc="3C18C196" w:tentative="1">
      <w:start w:val="1"/>
      <w:numFmt w:val="bullet"/>
      <w:lvlText w:val="•"/>
      <w:lvlJc w:val="left"/>
      <w:pPr>
        <w:tabs>
          <w:tab w:val="num" w:pos="3600"/>
        </w:tabs>
        <w:ind w:left="3600" w:hanging="360"/>
      </w:pPr>
      <w:rPr>
        <w:rFonts w:ascii="Arial" w:hAnsi="Arial" w:hint="default"/>
      </w:rPr>
    </w:lvl>
    <w:lvl w:ilvl="5" w:tplc="27DC8E38" w:tentative="1">
      <w:start w:val="1"/>
      <w:numFmt w:val="bullet"/>
      <w:lvlText w:val="•"/>
      <w:lvlJc w:val="left"/>
      <w:pPr>
        <w:tabs>
          <w:tab w:val="num" w:pos="4320"/>
        </w:tabs>
        <w:ind w:left="4320" w:hanging="360"/>
      </w:pPr>
      <w:rPr>
        <w:rFonts w:ascii="Arial" w:hAnsi="Arial" w:hint="default"/>
      </w:rPr>
    </w:lvl>
    <w:lvl w:ilvl="6" w:tplc="9B2C7610" w:tentative="1">
      <w:start w:val="1"/>
      <w:numFmt w:val="bullet"/>
      <w:lvlText w:val="•"/>
      <w:lvlJc w:val="left"/>
      <w:pPr>
        <w:tabs>
          <w:tab w:val="num" w:pos="5040"/>
        </w:tabs>
        <w:ind w:left="5040" w:hanging="360"/>
      </w:pPr>
      <w:rPr>
        <w:rFonts w:ascii="Arial" w:hAnsi="Arial" w:hint="default"/>
      </w:rPr>
    </w:lvl>
    <w:lvl w:ilvl="7" w:tplc="ACDE4B98" w:tentative="1">
      <w:start w:val="1"/>
      <w:numFmt w:val="bullet"/>
      <w:lvlText w:val="•"/>
      <w:lvlJc w:val="left"/>
      <w:pPr>
        <w:tabs>
          <w:tab w:val="num" w:pos="5760"/>
        </w:tabs>
        <w:ind w:left="5760" w:hanging="360"/>
      </w:pPr>
      <w:rPr>
        <w:rFonts w:ascii="Arial" w:hAnsi="Arial" w:hint="default"/>
      </w:rPr>
    </w:lvl>
    <w:lvl w:ilvl="8" w:tplc="5A12B822" w:tentative="1">
      <w:start w:val="1"/>
      <w:numFmt w:val="bullet"/>
      <w:lvlText w:val="•"/>
      <w:lvlJc w:val="left"/>
      <w:pPr>
        <w:tabs>
          <w:tab w:val="num" w:pos="6480"/>
        </w:tabs>
        <w:ind w:left="6480" w:hanging="360"/>
      </w:pPr>
      <w:rPr>
        <w:rFonts w:ascii="Arial" w:hAnsi="Arial" w:hint="default"/>
      </w:rPr>
    </w:lvl>
  </w:abstractNum>
  <w:abstractNum w:abstractNumId="1">
    <w:nsid w:val="071F63B8"/>
    <w:multiLevelType w:val="hybridMultilevel"/>
    <w:tmpl w:val="B45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228D0"/>
    <w:multiLevelType w:val="hybridMultilevel"/>
    <w:tmpl w:val="C00C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B6679"/>
    <w:multiLevelType w:val="hybridMultilevel"/>
    <w:tmpl w:val="E0C0D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706425"/>
    <w:multiLevelType w:val="hybridMultilevel"/>
    <w:tmpl w:val="A6F2314C"/>
    <w:lvl w:ilvl="0" w:tplc="A52C31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F3591"/>
    <w:multiLevelType w:val="multilevel"/>
    <w:tmpl w:val="FD94A7FC"/>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9EE7F17"/>
    <w:multiLevelType w:val="hybridMultilevel"/>
    <w:tmpl w:val="E8E4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8A2BC5"/>
    <w:multiLevelType w:val="hybridMultilevel"/>
    <w:tmpl w:val="DB66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43B55"/>
    <w:multiLevelType w:val="hybridMultilevel"/>
    <w:tmpl w:val="FD22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82760"/>
    <w:multiLevelType w:val="hybridMultilevel"/>
    <w:tmpl w:val="CCDA3D18"/>
    <w:lvl w:ilvl="0" w:tplc="66A084C4">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15FD9"/>
    <w:multiLevelType w:val="hybridMultilevel"/>
    <w:tmpl w:val="C58A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EC2503"/>
    <w:multiLevelType w:val="hybridMultilevel"/>
    <w:tmpl w:val="5ABC4B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3301676B"/>
    <w:multiLevelType w:val="hybridMultilevel"/>
    <w:tmpl w:val="62CC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732BA"/>
    <w:multiLevelType w:val="hybridMultilevel"/>
    <w:tmpl w:val="6C267C46"/>
    <w:lvl w:ilvl="0" w:tplc="0C78AC4E">
      <w:start w:val="1"/>
      <w:numFmt w:val="bullet"/>
      <w:lvlText w:val="•"/>
      <w:lvlJc w:val="left"/>
      <w:pPr>
        <w:tabs>
          <w:tab w:val="num" w:pos="720"/>
        </w:tabs>
        <w:ind w:left="720" w:hanging="360"/>
      </w:pPr>
      <w:rPr>
        <w:rFonts w:ascii="Arial" w:hAnsi="Arial" w:hint="default"/>
      </w:rPr>
    </w:lvl>
    <w:lvl w:ilvl="1" w:tplc="BE4AA722" w:tentative="1">
      <w:start w:val="1"/>
      <w:numFmt w:val="bullet"/>
      <w:lvlText w:val="•"/>
      <w:lvlJc w:val="left"/>
      <w:pPr>
        <w:tabs>
          <w:tab w:val="num" w:pos="1440"/>
        </w:tabs>
        <w:ind w:left="1440" w:hanging="360"/>
      </w:pPr>
      <w:rPr>
        <w:rFonts w:ascii="Arial" w:hAnsi="Arial" w:hint="default"/>
      </w:rPr>
    </w:lvl>
    <w:lvl w:ilvl="2" w:tplc="38346C9A" w:tentative="1">
      <w:start w:val="1"/>
      <w:numFmt w:val="bullet"/>
      <w:lvlText w:val="•"/>
      <w:lvlJc w:val="left"/>
      <w:pPr>
        <w:tabs>
          <w:tab w:val="num" w:pos="2160"/>
        </w:tabs>
        <w:ind w:left="2160" w:hanging="360"/>
      </w:pPr>
      <w:rPr>
        <w:rFonts w:ascii="Arial" w:hAnsi="Arial" w:hint="default"/>
      </w:rPr>
    </w:lvl>
    <w:lvl w:ilvl="3" w:tplc="EDC8BD34" w:tentative="1">
      <w:start w:val="1"/>
      <w:numFmt w:val="bullet"/>
      <w:lvlText w:val="•"/>
      <w:lvlJc w:val="left"/>
      <w:pPr>
        <w:tabs>
          <w:tab w:val="num" w:pos="2880"/>
        </w:tabs>
        <w:ind w:left="2880" w:hanging="360"/>
      </w:pPr>
      <w:rPr>
        <w:rFonts w:ascii="Arial" w:hAnsi="Arial" w:hint="default"/>
      </w:rPr>
    </w:lvl>
    <w:lvl w:ilvl="4" w:tplc="10062078" w:tentative="1">
      <w:start w:val="1"/>
      <w:numFmt w:val="bullet"/>
      <w:lvlText w:val="•"/>
      <w:lvlJc w:val="left"/>
      <w:pPr>
        <w:tabs>
          <w:tab w:val="num" w:pos="3600"/>
        </w:tabs>
        <w:ind w:left="3600" w:hanging="360"/>
      </w:pPr>
      <w:rPr>
        <w:rFonts w:ascii="Arial" w:hAnsi="Arial" w:hint="default"/>
      </w:rPr>
    </w:lvl>
    <w:lvl w:ilvl="5" w:tplc="06A2B652" w:tentative="1">
      <w:start w:val="1"/>
      <w:numFmt w:val="bullet"/>
      <w:lvlText w:val="•"/>
      <w:lvlJc w:val="left"/>
      <w:pPr>
        <w:tabs>
          <w:tab w:val="num" w:pos="4320"/>
        </w:tabs>
        <w:ind w:left="4320" w:hanging="360"/>
      </w:pPr>
      <w:rPr>
        <w:rFonts w:ascii="Arial" w:hAnsi="Arial" w:hint="default"/>
      </w:rPr>
    </w:lvl>
    <w:lvl w:ilvl="6" w:tplc="11F2E4B0" w:tentative="1">
      <w:start w:val="1"/>
      <w:numFmt w:val="bullet"/>
      <w:lvlText w:val="•"/>
      <w:lvlJc w:val="left"/>
      <w:pPr>
        <w:tabs>
          <w:tab w:val="num" w:pos="5040"/>
        </w:tabs>
        <w:ind w:left="5040" w:hanging="360"/>
      </w:pPr>
      <w:rPr>
        <w:rFonts w:ascii="Arial" w:hAnsi="Arial" w:hint="default"/>
      </w:rPr>
    </w:lvl>
    <w:lvl w:ilvl="7" w:tplc="AF74A1B4" w:tentative="1">
      <w:start w:val="1"/>
      <w:numFmt w:val="bullet"/>
      <w:lvlText w:val="•"/>
      <w:lvlJc w:val="left"/>
      <w:pPr>
        <w:tabs>
          <w:tab w:val="num" w:pos="5760"/>
        </w:tabs>
        <w:ind w:left="5760" w:hanging="360"/>
      </w:pPr>
      <w:rPr>
        <w:rFonts w:ascii="Arial" w:hAnsi="Arial" w:hint="default"/>
      </w:rPr>
    </w:lvl>
    <w:lvl w:ilvl="8" w:tplc="27A2D41E" w:tentative="1">
      <w:start w:val="1"/>
      <w:numFmt w:val="bullet"/>
      <w:lvlText w:val="•"/>
      <w:lvlJc w:val="left"/>
      <w:pPr>
        <w:tabs>
          <w:tab w:val="num" w:pos="6480"/>
        </w:tabs>
        <w:ind w:left="6480" w:hanging="360"/>
      </w:pPr>
      <w:rPr>
        <w:rFonts w:ascii="Arial" w:hAnsi="Arial" w:hint="default"/>
      </w:rPr>
    </w:lvl>
  </w:abstractNum>
  <w:abstractNum w:abstractNumId="14">
    <w:nsid w:val="339A5327"/>
    <w:multiLevelType w:val="hybridMultilevel"/>
    <w:tmpl w:val="75EE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15F7F"/>
    <w:multiLevelType w:val="hybridMultilevel"/>
    <w:tmpl w:val="AED0F0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71686"/>
    <w:multiLevelType w:val="hybridMultilevel"/>
    <w:tmpl w:val="29E8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869C4"/>
    <w:multiLevelType w:val="hybridMultilevel"/>
    <w:tmpl w:val="A242654A"/>
    <w:lvl w:ilvl="0" w:tplc="28C8FA06">
      <w:start w:val="1"/>
      <w:numFmt w:val="bullet"/>
      <w:lvlText w:val="•"/>
      <w:lvlJc w:val="left"/>
      <w:pPr>
        <w:tabs>
          <w:tab w:val="num" w:pos="360"/>
        </w:tabs>
        <w:ind w:left="360" w:hanging="360"/>
      </w:pPr>
      <w:rPr>
        <w:rFonts w:ascii="Arial" w:hAnsi="Arial" w:hint="default"/>
      </w:rPr>
    </w:lvl>
    <w:lvl w:ilvl="1" w:tplc="7BFE4094" w:tentative="1">
      <w:start w:val="1"/>
      <w:numFmt w:val="bullet"/>
      <w:lvlText w:val="•"/>
      <w:lvlJc w:val="left"/>
      <w:pPr>
        <w:tabs>
          <w:tab w:val="num" w:pos="1080"/>
        </w:tabs>
        <w:ind w:left="1080" w:hanging="360"/>
      </w:pPr>
      <w:rPr>
        <w:rFonts w:ascii="Arial" w:hAnsi="Arial" w:hint="default"/>
      </w:rPr>
    </w:lvl>
    <w:lvl w:ilvl="2" w:tplc="D14E2C68" w:tentative="1">
      <w:start w:val="1"/>
      <w:numFmt w:val="bullet"/>
      <w:lvlText w:val="•"/>
      <w:lvlJc w:val="left"/>
      <w:pPr>
        <w:tabs>
          <w:tab w:val="num" w:pos="1800"/>
        </w:tabs>
        <w:ind w:left="1800" w:hanging="360"/>
      </w:pPr>
      <w:rPr>
        <w:rFonts w:ascii="Arial" w:hAnsi="Arial" w:hint="default"/>
      </w:rPr>
    </w:lvl>
    <w:lvl w:ilvl="3" w:tplc="08EA4376" w:tentative="1">
      <w:start w:val="1"/>
      <w:numFmt w:val="bullet"/>
      <w:lvlText w:val="•"/>
      <w:lvlJc w:val="left"/>
      <w:pPr>
        <w:tabs>
          <w:tab w:val="num" w:pos="2520"/>
        </w:tabs>
        <w:ind w:left="2520" w:hanging="360"/>
      </w:pPr>
      <w:rPr>
        <w:rFonts w:ascii="Arial" w:hAnsi="Arial" w:hint="default"/>
      </w:rPr>
    </w:lvl>
    <w:lvl w:ilvl="4" w:tplc="566E53C6" w:tentative="1">
      <w:start w:val="1"/>
      <w:numFmt w:val="bullet"/>
      <w:lvlText w:val="•"/>
      <w:lvlJc w:val="left"/>
      <w:pPr>
        <w:tabs>
          <w:tab w:val="num" w:pos="3240"/>
        </w:tabs>
        <w:ind w:left="3240" w:hanging="360"/>
      </w:pPr>
      <w:rPr>
        <w:rFonts w:ascii="Arial" w:hAnsi="Arial" w:hint="default"/>
      </w:rPr>
    </w:lvl>
    <w:lvl w:ilvl="5" w:tplc="331E8B9E" w:tentative="1">
      <w:start w:val="1"/>
      <w:numFmt w:val="bullet"/>
      <w:lvlText w:val="•"/>
      <w:lvlJc w:val="left"/>
      <w:pPr>
        <w:tabs>
          <w:tab w:val="num" w:pos="3960"/>
        </w:tabs>
        <w:ind w:left="3960" w:hanging="360"/>
      </w:pPr>
      <w:rPr>
        <w:rFonts w:ascii="Arial" w:hAnsi="Arial" w:hint="default"/>
      </w:rPr>
    </w:lvl>
    <w:lvl w:ilvl="6" w:tplc="9CCEF552" w:tentative="1">
      <w:start w:val="1"/>
      <w:numFmt w:val="bullet"/>
      <w:lvlText w:val="•"/>
      <w:lvlJc w:val="left"/>
      <w:pPr>
        <w:tabs>
          <w:tab w:val="num" w:pos="4680"/>
        </w:tabs>
        <w:ind w:left="4680" w:hanging="360"/>
      </w:pPr>
      <w:rPr>
        <w:rFonts w:ascii="Arial" w:hAnsi="Arial" w:hint="default"/>
      </w:rPr>
    </w:lvl>
    <w:lvl w:ilvl="7" w:tplc="16FAB956" w:tentative="1">
      <w:start w:val="1"/>
      <w:numFmt w:val="bullet"/>
      <w:lvlText w:val="•"/>
      <w:lvlJc w:val="left"/>
      <w:pPr>
        <w:tabs>
          <w:tab w:val="num" w:pos="5400"/>
        </w:tabs>
        <w:ind w:left="5400" w:hanging="360"/>
      </w:pPr>
      <w:rPr>
        <w:rFonts w:ascii="Arial" w:hAnsi="Arial" w:hint="default"/>
      </w:rPr>
    </w:lvl>
    <w:lvl w:ilvl="8" w:tplc="C69833EC" w:tentative="1">
      <w:start w:val="1"/>
      <w:numFmt w:val="bullet"/>
      <w:lvlText w:val="•"/>
      <w:lvlJc w:val="left"/>
      <w:pPr>
        <w:tabs>
          <w:tab w:val="num" w:pos="6120"/>
        </w:tabs>
        <w:ind w:left="6120" w:hanging="360"/>
      </w:pPr>
      <w:rPr>
        <w:rFonts w:ascii="Arial" w:hAnsi="Arial" w:hint="default"/>
      </w:rPr>
    </w:lvl>
  </w:abstractNum>
  <w:abstractNum w:abstractNumId="18">
    <w:nsid w:val="3BA7424F"/>
    <w:multiLevelType w:val="hybridMultilevel"/>
    <w:tmpl w:val="3DA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92189"/>
    <w:multiLevelType w:val="hybridMultilevel"/>
    <w:tmpl w:val="A03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B0464"/>
    <w:multiLevelType w:val="hybridMultilevel"/>
    <w:tmpl w:val="2ACAE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3537A9"/>
    <w:multiLevelType w:val="hybridMultilevel"/>
    <w:tmpl w:val="3466A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717B7A"/>
    <w:multiLevelType w:val="multilevel"/>
    <w:tmpl w:val="CD48D19C"/>
    <w:lvl w:ilvl="0">
      <w:start w:val="1"/>
      <w:numFmt w:val="decimal"/>
      <w:pStyle w:val="Heading1"/>
      <w:lvlText w:val="%1"/>
      <w:lvlJc w:val="left"/>
      <w:pPr>
        <w:ind w:left="1062" w:hanging="432"/>
      </w:pPr>
    </w:lvl>
    <w:lvl w:ilvl="1">
      <w:start w:val="1"/>
      <w:numFmt w:val="decimal"/>
      <w:pStyle w:val="Heading2"/>
      <w:lvlText w:val="%1.%2"/>
      <w:lvlJc w:val="left"/>
      <w:pPr>
        <w:ind w:left="576" w:hanging="576"/>
      </w:pPr>
      <w:rPr>
        <w:sz w:val="26"/>
        <w:szCs w:val="26"/>
      </w:rPr>
    </w:lvl>
    <w:lvl w:ilvl="2">
      <w:start w:val="1"/>
      <w:numFmt w:val="decimal"/>
      <w:pStyle w:val="Heading3"/>
      <w:lvlText w:val="%1.%2.%3"/>
      <w:lvlJc w:val="left"/>
      <w:pPr>
        <w:ind w:left="61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6027B96"/>
    <w:multiLevelType w:val="hybridMultilevel"/>
    <w:tmpl w:val="E4ECD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9A369D"/>
    <w:multiLevelType w:val="hybridMultilevel"/>
    <w:tmpl w:val="CB40E75E"/>
    <w:lvl w:ilvl="0" w:tplc="972CE16E">
      <w:start w:val="1"/>
      <w:numFmt w:val="bullet"/>
      <w:lvlText w:val="•"/>
      <w:lvlJc w:val="left"/>
      <w:pPr>
        <w:tabs>
          <w:tab w:val="num" w:pos="360"/>
        </w:tabs>
        <w:ind w:left="360" w:hanging="360"/>
      </w:pPr>
      <w:rPr>
        <w:rFonts w:ascii="Arial" w:hAnsi="Arial" w:hint="default"/>
      </w:rPr>
    </w:lvl>
    <w:lvl w:ilvl="1" w:tplc="FB127E0E" w:tentative="1">
      <w:start w:val="1"/>
      <w:numFmt w:val="bullet"/>
      <w:lvlText w:val="•"/>
      <w:lvlJc w:val="left"/>
      <w:pPr>
        <w:tabs>
          <w:tab w:val="num" w:pos="1080"/>
        </w:tabs>
        <w:ind w:left="1080" w:hanging="360"/>
      </w:pPr>
      <w:rPr>
        <w:rFonts w:ascii="Arial" w:hAnsi="Arial" w:hint="default"/>
      </w:rPr>
    </w:lvl>
    <w:lvl w:ilvl="2" w:tplc="6B400116" w:tentative="1">
      <w:start w:val="1"/>
      <w:numFmt w:val="bullet"/>
      <w:lvlText w:val="•"/>
      <w:lvlJc w:val="left"/>
      <w:pPr>
        <w:tabs>
          <w:tab w:val="num" w:pos="1800"/>
        </w:tabs>
        <w:ind w:left="1800" w:hanging="360"/>
      </w:pPr>
      <w:rPr>
        <w:rFonts w:ascii="Arial" w:hAnsi="Arial" w:hint="default"/>
      </w:rPr>
    </w:lvl>
    <w:lvl w:ilvl="3" w:tplc="EA00C5CE" w:tentative="1">
      <w:start w:val="1"/>
      <w:numFmt w:val="bullet"/>
      <w:lvlText w:val="•"/>
      <w:lvlJc w:val="left"/>
      <w:pPr>
        <w:tabs>
          <w:tab w:val="num" w:pos="2520"/>
        </w:tabs>
        <w:ind w:left="2520" w:hanging="360"/>
      </w:pPr>
      <w:rPr>
        <w:rFonts w:ascii="Arial" w:hAnsi="Arial" w:hint="default"/>
      </w:rPr>
    </w:lvl>
    <w:lvl w:ilvl="4" w:tplc="274046AC" w:tentative="1">
      <w:start w:val="1"/>
      <w:numFmt w:val="bullet"/>
      <w:lvlText w:val="•"/>
      <w:lvlJc w:val="left"/>
      <w:pPr>
        <w:tabs>
          <w:tab w:val="num" w:pos="3240"/>
        </w:tabs>
        <w:ind w:left="3240" w:hanging="360"/>
      </w:pPr>
      <w:rPr>
        <w:rFonts w:ascii="Arial" w:hAnsi="Arial" w:hint="default"/>
      </w:rPr>
    </w:lvl>
    <w:lvl w:ilvl="5" w:tplc="8B4E9734" w:tentative="1">
      <w:start w:val="1"/>
      <w:numFmt w:val="bullet"/>
      <w:lvlText w:val="•"/>
      <w:lvlJc w:val="left"/>
      <w:pPr>
        <w:tabs>
          <w:tab w:val="num" w:pos="3960"/>
        </w:tabs>
        <w:ind w:left="3960" w:hanging="360"/>
      </w:pPr>
      <w:rPr>
        <w:rFonts w:ascii="Arial" w:hAnsi="Arial" w:hint="default"/>
      </w:rPr>
    </w:lvl>
    <w:lvl w:ilvl="6" w:tplc="2A9E68EE" w:tentative="1">
      <w:start w:val="1"/>
      <w:numFmt w:val="bullet"/>
      <w:lvlText w:val="•"/>
      <w:lvlJc w:val="left"/>
      <w:pPr>
        <w:tabs>
          <w:tab w:val="num" w:pos="4680"/>
        </w:tabs>
        <w:ind w:left="4680" w:hanging="360"/>
      </w:pPr>
      <w:rPr>
        <w:rFonts w:ascii="Arial" w:hAnsi="Arial" w:hint="default"/>
      </w:rPr>
    </w:lvl>
    <w:lvl w:ilvl="7" w:tplc="C97ADE14" w:tentative="1">
      <w:start w:val="1"/>
      <w:numFmt w:val="bullet"/>
      <w:lvlText w:val="•"/>
      <w:lvlJc w:val="left"/>
      <w:pPr>
        <w:tabs>
          <w:tab w:val="num" w:pos="5400"/>
        </w:tabs>
        <w:ind w:left="5400" w:hanging="360"/>
      </w:pPr>
      <w:rPr>
        <w:rFonts w:ascii="Arial" w:hAnsi="Arial" w:hint="default"/>
      </w:rPr>
    </w:lvl>
    <w:lvl w:ilvl="8" w:tplc="4B00B0B4" w:tentative="1">
      <w:start w:val="1"/>
      <w:numFmt w:val="bullet"/>
      <w:lvlText w:val="•"/>
      <w:lvlJc w:val="left"/>
      <w:pPr>
        <w:tabs>
          <w:tab w:val="num" w:pos="6120"/>
        </w:tabs>
        <w:ind w:left="6120" w:hanging="360"/>
      </w:pPr>
      <w:rPr>
        <w:rFonts w:ascii="Arial" w:hAnsi="Arial" w:hint="default"/>
      </w:rPr>
    </w:lvl>
  </w:abstractNum>
  <w:abstractNum w:abstractNumId="25">
    <w:nsid w:val="49D1241C"/>
    <w:multiLevelType w:val="hybridMultilevel"/>
    <w:tmpl w:val="F3468162"/>
    <w:lvl w:ilvl="0" w:tplc="004CAD5A">
      <w:numFmt w:val="bullet"/>
      <w:lvlText w:val="-"/>
      <w:lvlJc w:val="left"/>
      <w:pPr>
        <w:ind w:left="1080" w:hanging="360"/>
      </w:pPr>
      <w:rPr>
        <w:rFonts w:ascii="Calibri" w:eastAsiaTheme="majorEastAsia"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DE0611F"/>
    <w:multiLevelType w:val="hybridMultilevel"/>
    <w:tmpl w:val="27A8C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D6384C"/>
    <w:multiLevelType w:val="hybridMultilevel"/>
    <w:tmpl w:val="0282B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3A2472"/>
    <w:multiLevelType w:val="hybridMultilevel"/>
    <w:tmpl w:val="E89C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C0BC6"/>
    <w:multiLevelType w:val="hybridMultilevel"/>
    <w:tmpl w:val="DFAC8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AE214C"/>
    <w:multiLevelType w:val="hybridMultilevel"/>
    <w:tmpl w:val="2B3021FA"/>
    <w:lvl w:ilvl="0" w:tplc="CF547880">
      <w:start w:val="1"/>
      <w:numFmt w:val="bullet"/>
      <w:lvlText w:val="•"/>
      <w:lvlJc w:val="left"/>
      <w:pPr>
        <w:tabs>
          <w:tab w:val="num" w:pos="720"/>
        </w:tabs>
        <w:ind w:left="720" w:hanging="360"/>
      </w:pPr>
      <w:rPr>
        <w:rFonts w:ascii="Arial" w:hAnsi="Arial" w:hint="default"/>
      </w:rPr>
    </w:lvl>
    <w:lvl w:ilvl="1" w:tplc="45B484FC" w:tentative="1">
      <w:start w:val="1"/>
      <w:numFmt w:val="bullet"/>
      <w:lvlText w:val="•"/>
      <w:lvlJc w:val="left"/>
      <w:pPr>
        <w:tabs>
          <w:tab w:val="num" w:pos="1440"/>
        </w:tabs>
        <w:ind w:left="1440" w:hanging="360"/>
      </w:pPr>
      <w:rPr>
        <w:rFonts w:ascii="Arial" w:hAnsi="Arial" w:hint="default"/>
      </w:rPr>
    </w:lvl>
    <w:lvl w:ilvl="2" w:tplc="2BB4EE66" w:tentative="1">
      <w:start w:val="1"/>
      <w:numFmt w:val="bullet"/>
      <w:lvlText w:val="•"/>
      <w:lvlJc w:val="left"/>
      <w:pPr>
        <w:tabs>
          <w:tab w:val="num" w:pos="2160"/>
        </w:tabs>
        <w:ind w:left="2160" w:hanging="360"/>
      </w:pPr>
      <w:rPr>
        <w:rFonts w:ascii="Arial" w:hAnsi="Arial" w:hint="default"/>
      </w:rPr>
    </w:lvl>
    <w:lvl w:ilvl="3" w:tplc="3D36B254" w:tentative="1">
      <w:start w:val="1"/>
      <w:numFmt w:val="bullet"/>
      <w:lvlText w:val="•"/>
      <w:lvlJc w:val="left"/>
      <w:pPr>
        <w:tabs>
          <w:tab w:val="num" w:pos="2880"/>
        </w:tabs>
        <w:ind w:left="2880" w:hanging="360"/>
      </w:pPr>
      <w:rPr>
        <w:rFonts w:ascii="Arial" w:hAnsi="Arial" w:hint="default"/>
      </w:rPr>
    </w:lvl>
    <w:lvl w:ilvl="4" w:tplc="B3600B84" w:tentative="1">
      <w:start w:val="1"/>
      <w:numFmt w:val="bullet"/>
      <w:lvlText w:val="•"/>
      <w:lvlJc w:val="left"/>
      <w:pPr>
        <w:tabs>
          <w:tab w:val="num" w:pos="3600"/>
        </w:tabs>
        <w:ind w:left="3600" w:hanging="360"/>
      </w:pPr>
      <w:rPr>
        <w:rFonts w:ascii="Arial" w:hAnsi="Arial" w:hint="default"/>
      </w:rPr>
    </w:lvl>
    <w:lvl w:ilvl="5" w:tplc="107A5620" w:tentative="1">
      <w:start w:val="1"/>
      <w:numFmt w:val="bullet"/>
      <w:lvlText w:val="•"/>
      <w:lvlJc w:val="left"/>
      <w:pPr>
        <w:tabs>
          <w:tab w:val="num" w:pos="4320"/>
        </w:tabs>
        <w:ind w:left="4320" w:hanging="360"/>
      </w:pPr>
      <w:rPr>
        <w:rFonts w:ascii="Arial" w:hAnsi="Arial" w:hint="default"/>
      </w:rPr>
    </w:lvl>
    <w:lvl w:ilvl="6" w:tplc="6554C562" w:tentative="1">
      <w:start w:val="1"/>
      <w:numFmt w:val="bullet"/>
      <w:lvlText w:val="•"/>
      <w:lvlJc w:val="left"/>
      <w:pPr>
        <w:tabs>
          <w:tab w:val="num" w:pos="5040"/>
        </w:tabs>
        <w:ind w:left="5040" w:hanging="360"/>
      </w:pPr>
      <w:rPr>
        <w:rFonts w:ascii="Arial" w:hAnsi="Arial" w:hint="default"/>
      </w:rPr>
    </w:lvl>
    <w:lvl w:ilvl="7" w:tplc="E2B6DE56" w:tentative="1">
      <w:start w:val="1"/>
      <w:numFmt w:val="bullet"/>
      <w:lvlText w:val="•"/>
      <w:lvlJc w:val="left"/>
      <w:pPr>
        <w:tabs>
          <w:tab w:val="num" w:pos="5760"/>
        </w:tabs>
        <w:ind w:left="5760" w:hanging="360"/>
      </w:pPr>
      <w:rPr>
        <w:rFonts w:ascii="Arial" w:hAnsi="Arial" w:hint="default"/>
      </w:rPr>
    </w:lvl>
    <w:lvl w:ilvl="8" w:tplc="30E66262" w:tentative="1">
      <w:start w:val="1"/>
      <w:numFmt w:val="bullet"/>
      <w:lvlText w:val="•"/>
      <w:lvlJc w:val="left"/>
      <w:pPr>
        <w:tabs>
          <w:tab w:val="num" w:pos="6480"/>
        </w:tabs>
        <w:ind w:left="6480" w:hanging="360"/>
      </w:pPr>
      <w:rPr>
        <w:rFonts w:ascii="Arial" w:hAnsi="Arial" w:hint="default"/>
      </w:rPr>
    </w:lvl>
  </w:abstractNum>
  <w:abstractNum w:abstractNumId="31">
    <w:nsid w:val="59236CEC"/>
    <w:multiLevelType w:val="hybridMultilevel"/>
    <w:tmpl w:val="E5EC4D3C"/>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2">
    <w:nsid w:val="5E5D634C"/>
    <w:multiLevelType w:val="hybridMultilevel"/>
    <w:tmpl w:val="6B32B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B15D9E"/>
    <w:multiLevelType w:val="hybridMultilevel"/>
    <w:tmpl w:val="A020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1C6E28"/>
    <w:multiLevelType w:val="hybridMultilevel"/>
    <w:tmpl w:val="9D12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7F024F"/>
    <w:multiLevelType w:val="hybridMultilevel"/>
    <w:tmpl w:val="49023C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4135BE"/>
    <w:multiLevelType w:val="hybridMultilevel"/>
    <w:tmpl w:val="5EC66520"/>
    <w:lvl w:ilvl="0" w:tplc="FB185F9C">
      <w:start w:val="1"/>
      <w:numFmt w:val="bullet"/>
      <w:lvlText w:val="•"/>
      <w:lvlJc w:val="left"/>
      <w:pPr>
        <w:tabs>
          <w:tab w:val="num" w:pos="720"/>
        </w:tabs>
        <w:ind w:left="720" w:hanging="360"/>
      </w:pPr>
      <w:rPr>
        <w:rFonts w:ascii="Arial" w:hAnsi="Arial" w:hint="default"/>
      </w:rPr>
    </w:lvl>
    <w:lvl w:ilvl="1" w:tplc="37F4F3AA">
      <w:numFmt w:val="none"/>
      <w:lvlText w:val=""/>
      <w:lvlJc w:val="left"/>
      <w:pPr>
        <w:tabs>
          <w:tab w:val="num" w:pos="360"/>
        </w:tabs>
      </w:pPr>
    </w:lvl>
    <w:lvl w:ilvl="2" w:tplc="679EA236" w:tentative="1">
      <w:start w:val="1"/>
      <w:numFmt w:val="bullet"/>
      <w:lvlText w:val="•"/>
      <w:lvlJc w:val="left"/>
      <w:pPr>
        <w:tabs>
          <w:tab w:val="num" w:pos="2160"/>
        </w:tabs>
        <w:ind w:left="2160" w:hanging="360"/>
      </w:pPr>
      <w:rPr>
        <w:rFonts w:ascii="Arial" w:hAnsi="Arial" w:hint="default"/>
      </w:rPr>
    </w:lvl>
    <w:lvl w:ilvl="3" w:tplc="5C9EA66A" w:tentative="1">
      <w:start w:val="1"/>
      <w:numFmt w:val="bullet"/>
      <w:lvlText w:val="•"/>
      <w:lvlJc w:val="left"/>
      <w:pPr>
        <w:tabs>
          <w:tab w:val="num" w:pos="2880"/>
        </w:tabs>
        <w:ind w:left="2880" w:hanging="360"/>
      </w:pPr>
      <w:rPr>
        <w:rFonts w:ascii="Arial" w:hAnsi="Arial" w:hint="default"/>
      </w:rPr>
    </w:lvl>
    <w:lvl w:ilvl="4" w:tplc="CBBEC590" w:tentative="1">
      <w:start w:val="1"/>
      <w:numFmt w:val="bullet"/>
      <w:lvlText w:val="•"/>
      <w:lvlJc w:val="left"/>
      <w:pPr>
        <w:tabs>
          <w:tab w:val="num" w:pos="3600"/>
        </w:tabs>
        <w:ind w:left="3600" w:hanging="360"/>
      </w:pPr>
      <w:rPr>
        <w:rFonts w:ascii="Arial" w:hAnsi="Arial" w:hint="default"/>
      </w:rPr>
    </w:lvl>
    <w:lvl w:ilvl="5" w:tplc="E28A700A" w:tentative="1">
      <w:start w:val="1"/>
      <w:numFmt w:val="bullet"/>
      <w:lvlText w:val="•"/>
      <w:lvlJc w:val="left"/>
      <w:pPr>
        <w:tabs>
          <w:tab w:val="num" w:pos="4320"/>
        </w:tabs>
        <w:ind w:left="4320" w:hanging="360"/>
      </w:pPr>
      <w:rPr>
        <w:rFonts w:ascii="Arial" w:hAnsi="Arial" w:hint="default"/>
      </w:rPr>
    </w:lvl>
    <w:lvl w:ilvl="6" w:tplc="BB1813AC" w:tentative="1">
      <w:start w:val="1"/>
      <w:numFmt w:val="bullet"/>
      <w:lvlText w:val="•"/>
      <w:lvlJc w:val="left"/>
      <w:pPr>
        <w:tabs>
          <w:tab w:val="num" w:pos="5040"/>
        </w:tabs>
        <w:ind w:left="5040" w:hanging="360"/>
      </w:pPr>
      <w:rPr>
        <w:rFonts w:ascii="Arial" w:hAnsi="Arial" w:hint="default"/>
      </w:rPr>
    </w:lvl>
    <w:lvl w:ilvl="7" w:tplc="2CFAFF2A" w:tentative="1">
      <w:start w:val="1"/>
      <w:numFmt w:val="bullet"/>
      <w:lvlText w:val="•"/>
      <w:lvlJc w:val="left"/>
      <w:pPr>
        <w:tabs>
          <w:tab w:val="num" w:pos="5760"/>
        </w:tabs>
        <w:ind w:left="5760" w:hanging="360"/>
      </w:pPr>
      <w:rPr>
        <w:rFonts w:ascii="Arial" w:hAnsi="Arial" w:hint="default"/>
      </w:rPr>
    </w:lvl>
    <w:lvl w:ilvl="8" w:tplc="B7DCEEA2" w:tentative="1">
      <w:start w:val="1"/>
      <w:numFmt w:val="bullet"/>
      <w:lvlText w:val="•"/>
      <w:lvlJc w:val="left"/>
      <w:pPr>
        <w:tabs>
          <w:tab w:val="num" w:pos="6480"/>
        </w:tabs>
        <w:ind w:left="6480" w:hanging="360"/>
      </w:pPr>
      <w:rPr>
        <w:rFonts w:ascii="Arial" w:hAnsi="Arial" w:hint="default"/>
      </w:rPr>
    </w:lvl>
  </w:abstractNum>
  <w:abstractNum w:abstractNumId="37">
    <w:nsid w:val="62482CC4"/>
    <w:multiLevelType w:val="hybridMultilevel"/>
    <w:tmpl w:val="19BA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1618EC"/>
    <w:multiLevelType w:val="hybridMultilevel"/>
    <w:tmpl w:val="83720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277B4E"/>
    <w:multiLevelType w:val="hybridMultilevel"/>
    <w:tmpl w:val="7450A96A"/>
    <w:lvl w:ilvl="0" w:tplc="DE923BF2">
      <w:start w:val="1"/>
      <w:numFmt w:val="bullet"/>
      <w:lvlText w:val="•"/>
      <w:lvlJc w:val="left"/>
      <w:pPr>
        <w:tabs>
          <w:tab w:val="num" w:pos="360"/>
        </w:tabs>
        <w:ind w:left="360" w:hanging="360"/>
      </w:pPr>
      <w:rPr>
        <w:rFonts w:ascii="Arial" w:hAnsi="Arial" w:hint="default"/>
      </w:rPr>
    </w:lvl>
    <w:lvl w:ilvl="1" w:tplc="13C82A8E" w:tentative="1">
      <w:start w:val="1"/>
      <w:numFmt w:val="bullet"/>
      <w:lvlText w:val="•"/>
      <w:lvlJc w:val="left"/>
      <w:pPr>
        <w:tabs>
          <w:tab w:val="num" w:pos="1080"/>
        </w:tabs>
        <w:ind w:left="1080" w:hanging="360"/>
      </w:pPr>
      <w:rPr>
        <w:rFonts w:ascii="Arial" w:hAnsi="Arial" w:hint="default"/>
      </w:rPr>
    </w:lvl>
    <w:lvl w:ilvl="2" w:tplc="FCCCA1F6" w:tentative="1">
      <w:start w:val="1"/>
      <w:numFmt w:val="bullet"/>
      <w:lvlText w:val="•"/>
      <w:lvlJc w:val="left"/>
      <w:pPr>
        <w:tabs>
          <w:tab w:val="num" w:pos="1800"/>
        </w:tabs>
        <w:ind w:left="1800" w:hanging="360"/>
      </w:pPr>
      <w:rPr>
        <w:rFonts w:ascii="Arial" w:hAnsi="Arial" w:hint="default"/>
      </w:rPr>
    </w:lvl>
    <w:lvl w:ilvl="3" w:tplc="0D642A8E" w:tentative="1">
      <w:start w:val="1"/>
      <w:numFmt w:val="bullet"/>
      <w:lvlText w:val="•"/>
      <w:lvlJc w:val="left"/>
      <w:pPr>
        <w:tabs>
          <w:tab w:val="num" w:pos="2520"/>
        </w:tabs>
        <w:ind w:left="2520" w:hanging="360"/>
      </w:pPr>
      <w:rPr>
        <w:rFonts w:ascii="Arial" w:hAnsi="Arial" w:hint="default"/>
      </w:rPr>
    </w:lvl>
    <w:lvl w:ilvl="4" w:tplc="E82A2BF2" w:tentative="1">
      <w:start w:val="1"/>
      <w:numFmt w:val="bullet"/>
      <w:lvlText w:val="•"/>
      <w:lvlJc w:val="left"/>
      <w:pPr>
        <w:tabs>
          <w:tab w:val="num" w:pos="3240"/>
        </w:tabs>
        <w:ind w:left="3240" w:hanging="360"/>
      </w:pPr>
      <w:rPr>
        <w:rFonts w:ascii="Arial" w:hAnsi="Arial" w:hint="default"/>
      </w:rPr>
    </w:lvl>
    <w:lvl w:ilvl="5" w:tplc="5394A49A" w:tentative="1">
      <w:start w:val="1"/>
      <w:numFmt w:val="bullet"/>
      <w:lvlText w:val="•"/>
      <w:lvlJc w:val="left"/>
      <w:pPr>
        <w:tabs>
          <w:tab w:val="num" w:pos="3960"/>
        </w:tabs>
        <w:ind w:left="3960" w:hanging="360"/>
      </w:pPr>
      <w:rPr>
        <w:rFonts w:ascii="Arial" w:hAnsi="Arial" w:hint="default"/>
      </w:rPr>
    </w:lvl>
    <w:lvl w:ilvl="6" w:tplc="4F0CF050" w:tentative="1">
      <w:start w:val="1"/>
      <w:numFmt w:val="bullet"/>
      <w:lvlText w:val="•"/>
      <w:lvlJc w:val="left"/>
      <w:pPr>
        <w:tabs>
          <w:tab w:val="num" w:pos="4680"/>
        </w:tabs>
        <w:ind w:left="4680" w:hanging="360"/>
      </w:pPr>
      <w:rPr>
        <w:rFonts w:ascii="Arial" w:hAnsi="Arial" w:hint="default"/>
      </w:rPr>
    </w:lvl>
    <w:lvl w:ilvl="7" w:tplc="E8D85416" w:tentative="1">
      <w:start w:val="1"/>
      <w:numFmt w:val="bullet"/>
      <w:lvlText w:val="•"/>
      <w:lvlJc w:val="left"/>
      <w:pPr>
        <w:tabs>
          <w:tab w:val="num" w:pos="5400"/>
        </w:tabs>
        <w:ind w:left="5400" w:hanging="360"/>
      </w:pPr>
      <w:rPr>
        <w:rFonts w:ascii="Arial" w:hAnsi="Arial" w:hint="default"/>
      </w:rPr>
    </w:lvl>
    <w:lvl w:ilvl="8" w:tplc="26367132" w:tentative="1">
      <w:start w:val="1"/>
      <w:numFmt w:val="bullet"/>
      <w:lvlText w:val="•"/>
      <w:lvlJc w:val="left"/>
      <w:pPr>
        <w:tabs>
          <w:tab w:val="num" w:pos="6120"/>
        </w:tabs>
        <w:ind w:left="6120" w:hanging="360"/>
      </w:pPr>
      <w:rPr>
        <w:rFonts w:ascii="Arial" w:hAnsi="Arial" w:hint="default"/>
      </w:rPr>
    </w:lvl>
  </w:abstractNum>
  <w:abstractNum w:abstractNumId="40">
    <w:nsid w:val="667F5A92"/>
    <w:multiLevelType w:val="hybridMultilevel"/>
    <w:tmpl w:val="49023C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9A4C33"/>
    <w:multiLevelType w:val="hybridMultilevel"/>
    <w:tmpl w:val="209C6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7A023A5"/>
    <w:multiLevelType w:val="hybridMultilevel"/>
    <w:tmpl w:val="5574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C62519"/>
    <w:multiLevelType w:val="hybridMultilevel"/>
    <w:tmpl w:val="F524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12038A"/>
    <w:multiLevelType w:val="hybridMultilevel"/>
    <w:tmpl w:val="EEE4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1B7AB8"/>
    <w:multiLevelType w:val="hybridMultilevel"/>
    <w:tmpl w:val="7E16A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C923D6"/>
    <w:multiLevelType w:val="hybridMultilevel"/>
    <w:tmpl w:val="0F0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C925BD"/>
    <w:multiLevelType w:val="hybridMultilevel"/>
    <w:tmpl w:val="DE947874"/>
    <w:lvl w:ilvl="0" w:tplc="9036E018">
      <w:start w:val="1"/>
      <w:numFmt w:val="bullet"/>
      <w:lvlText w:val="•"/>
      <w:lvlJc w:val="left"/>
      <w:pPr>
        <w:tabs>
          <w:tab w:val="num" w:pos="360"/>
        </w:tabs>
        <w:ind w:left="360" w:hanging="360"/>
      </w:pPr>
      <w:rPr>
        <w:rFonts w:ascii="Arial" w:hAnsi="Arial" w:hint="default"/>
      </w:rPr>
    </w:lvl>
    <w:lvl w:ilvl="1" w:tplc="7B02A26C" w:tentative="1">
      <w:start w:val="1"/>
      <w:numFmt w:val="bullet"/>
      <w:lvlText w:val="•"/>
      <w:lvlJc w:val="left"/>
      <w:pPr>
        <w:tabs>
          <w:tab w:val="num" w:pos="1080"/>
        </w:tabs>
        <w:ind w:left="1080" w:hanging="360"/>
      </w:pPr>
      <w:rPr>
        <w:rFonts w:ascii="Arial" w:hAnsi="Arial" w:hint="default"/>
      </w:rPr>
    </w:lvl>
    <w:lvl w:ilvl="2" w:tplc="8636599C" w:tentative="1">
      <w:start w:val="1"/>
      <w:numFmt w:val="bullet"/>
      <w:lvlText w:val="•"/>
      <w:lvlJc w:val="left"/>
      <w:pPr>
        <w:tabs>
          <w:tab w:val="num" w:pos="1800"/>
        </w:tabs>
        <w:ind w:left="1800" w:hanging="360"/>
      </w:pPr>
      <w:rPr>
        <w:rFonts w:ascii="Arial" w:hAnsi="Arial" w:hint="default"/>
      </w:rPr>
    </w:lvl>
    <w:lvl w:ilvl="3" w:tplc="43B4B64A" w:tentative="1">
      <w:start w:val="1"/>
      <w:numFmt w:val="bullet"/>
      <w:lvlText w:val="•"/>
      <w:lvlJc w:val="left"/>
      <w:pPr>
        <w:tabs>
          <w:tab w:val="num" w:pos="2520"/>
        </w:tabs>
        <w:ind w:left="2520" w:hanging="360"/>
      </w:pPr>
      <w:rPr>
        <w:rFonts w:ascii="Arial" w:hAnsi="Arial" w:hint="default"/>
      </w:rPr>
    </w:lvl>
    <w:lvl w:ilvl="4" w:tplc="BE3EC7DE" w:tentative="1">
      <w:start w:val="1"/>
      <w:numFmt w:val="bullet"/>
      <w:lvlText w:val="•"/>
      <w:lvlJc w:val="left"/>
      <w:pPr>
        <w:tabs>
          <w:tab w:val="num" w:pos="3240"/>
        </w:tabs>
        <w:ind w:left="3240" w:hanging="360"/>
      </w:pPr>
      <w:rPr>
        <w:rFonts w:ascii="Arial" w:hAnsi="Arial" w:hint="default"/>
      </w:rPr>
    </w:lvl>
    <w:lvl w:ilvl="5" w:tplc="3F9473C6" w:tentative="1">
      <w:start w:val="1"/>
      <w:numFmt w:val="bullet"/>
      <w:lvlText w:val="•"/>
      <w:lvlJc w:val="left"/>
      <w:pPr>
        <w:tabs>
          <w:tab w:val="num" w:pos="3960"/>
        </w:tabs>
        <w:ind w:left="3960" w:hanging="360"/>
      </w:pPr>
      <w:rPr>
        <w:rFonts w:ascii="Arial" w:hAnsi="Arial" w:hint="default"/>
      </w:rPr>
    </w:lvl>
    <w:lvl w:ilvl="6" w:tplc="D3BC4CFE" w:tentative="1">
      <w:start w:val="1"/>
      <w:numFmt w:val="bullet"/>
      <w:lvlText w:val="•"/>
      <w:lvlJc w:val="left"/>
      <w:pPr>
        <w:tabs>
          <w:tab w:val="num" w:pos="4680"/>
        </w:tabs>
        <w:ind w:left="4680" w:hanging="360"/>
      </w:pPr>
      <w:rPr>
        <w:rFonts w:ascii="Arial" w:hAnsi="Arial" w:hint="default"/>
      </w:rPr>
    </w:lvl>
    <w:lvl w:ilvl="7" w:tplc="164EEEA6" w:tentative="1">
      <w:start w:val="1"/>
      <w:numFmt w:val="bullet"/>
      <w:lvlText w:val="•"/>
      <w:lvlJc w:val="left"/>
      <w:pPr>
        <w:tabs>
          <w:tab w:val="num" w:pos="5400"/>
        </w:tabs>
        <w:ind w:left="5400" w:hanging="360"/>
      </w:pPr>
      <w:rPr>
        <w:rFonts w:ascii="Arial" w:hAnsi="Arial" w:hint="default"/>
      </w:rPr>
    </w:lvl>
    <w:lvl w:ilvl="8" w:tplc="F174825C" w:tentative="1">
      <w:start w:val="1"/>
      <w:numFmt w:val="bullet"/>
      <w:lvlText w:val="•"/>
      <w:lvlJc w:val="left"/>
      <w:pPr>
        <w:tabs>
          <w:tab w:val="num" w:pos="6120"/>
        </w:tabs>
        <w:ind w:left="6120" w:hanging="360"/>
      </w:pPr>
      <w:rPr>
        <w:rFonts w:ascii="Arial" w:hAnsi="Arial" w:hint="default"/>
      </w:rPr>
    </w:lvl>
  </w:abstractNum>
  <w:abstractNum w:abstractNumId="48">
    <w:nsid w:val="78FC2E8A"/>
    <w:multiLevelType w:val="hybridMultilevel"/>
    <w:tmpl w:val="B3BCD5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8A1725"/>
    <w:multiLevelType w:val="hybridMultilevel"/>
    <w:tmpl w:val="25D0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394D6D"/>
    <w:multiLevelType w:val="hybridMultilevel"/>
    <w:tmpl w:val="4B9AB078"/>
    <w:lvl w:ilvl="0" w:tplc="8B1C205C">
      <w:start w:val="1"/>
      <w:numFmt w:val="bullet"/>
      <w:lvlText w:val="•"/>
      <w:lvlJc w:val="left"/>
      <w:pPr>
        <w:tabs>
          <w:tab w:val="num" w:pos="720"/>
        </w:tabs>
        <w:ind w:left="720" w:hanging="360"/>
      </w:pPr>
      <w:rPr>
        <w:rFonts w:ascii="Arial" w:hAnsi="Arial" w:hint="default"/>
      </w:rPr>
    </w:lvl>
    <w:lvl w:ilvl="1" w:tplc="C3DECA60">
      <w:start w:val="1"/>
      <w:numFmt w:val="bullet"/>
      <w:lvlText w:val="•"/>
      <w:lvlJc w:val="left"/>
      <w:pPr>
        <w:tabs>
          <w:tab w:val="num" w:pos="1440"/>
        </w:tabs>
        <w:ind w:left="1440" w:hanging="360"/>
      </w:pPr>
      <w:rPr>
        <w:rFonts w:ascii="Arial" w:hAnsi="Arial" w:hint="default"/>
      </w:rPr>
    </w:lvl>
    <w:lvl w:ilvl="2" w:tplc="602AC872" w:tentative="1">
      <w:start w:val="1"/>
      <w:numFmt w:val="bullet"/>
      <w:lvlText w:val="•"/>
      <w:lvlJc w:val="left"/>
      <w:pPr>
        <w:tabs>
          <w:tab w:val="num" w:pos="2160"/>
        </w:tabs>
        <w:ind w:left="2160" w:hanging="360"/>
      </w:pPr>
      <w:rPr>
        <w:rFonts w:ascii="Arial" w:hAnsi="Arial" w:hint="default"/>
      </w:rPr>
    </w:lvl>
    <w:lvl w:ilvl="3" w:tplc="761EF616" w:tentative="1">
      <w:start w:val="1"/>
      <w:numFmt w:val="bullet"/>
      <w:lvlText w:val="•"/>
      <w:lvlJc w:val="left"/>
      <w:pPr>
        <w:tabs>
          <w:tab w:val="num" w:pos="2880"/>
        </w:tabs>
        <w:ind w:left="2880" w:hanging="360"/>
      </w:pPr>
      <w:rPr>
        <w:rFonts w:ascii="Arial" w:hAnsi="Arial" w:hint="default"/>
      </w:rPr>
    </w:lvl>
    <w:lvl w:ilvl="4" w:tplc="39DC166A" w:tentative="1">
      <w:start w:val="1"/>
      <w:numFmt w:val="bullet"/>
      <w:lvlText w:val="•"/>
      <w:lvlJc w:val="left"/>
      <w:pPr>
        <w:tabs>
          <w:tab w:val="num" w:pos="3600"/>
        </w:tabs>
        <w:ind w:left="3600" w:hanging="360"/>
      </w:pPr>
      <w:rPr>
        <w:rFonts w:ascii="Arial" w:hAnsi="Arial" w:hint="default"/>
      </w:rPr>
    </w:lvl>
    <w:lvl w:ilvl="5" w:tplc="51BE7710" w:tentative="1">
      <w:start w:val="1"/>
      <w:numFmt w:val="bullet"/>
      <w:lvlText w:val="•"/>
      <w:lvlJc w:val="left"/>
      <w:pPr>
        <w:tabs>
          <w:tab w:val="num" w:pos="4320"/>
        </w:tabs>
        <w:ind w:left="4320" w:hanging="360"/>
      </w:pPr>
      <w:rPr>
        <w:rFonts w:ascii="Arial" w:hAnsi="Arial" w:hint="default"/>
      </w:rPr>
    </w:lvl>
    <w:lvl w:ilvl="6" w:tplc="0786E3E2" w:tentative="1">
      <w:start w:val="1"/>
      <w:numFmt w:val="bullet"/>
      <w:lvlText w:val="•"/>
      <w:lvlJc w:val="left"/>
      <w:pPr>
        <w:tabs>
          <w:tab w:val="num" w:pos="5040"/>
        </w:tabs>
        <w:ind w:left="5040" w:hanging="360"/>
      </w:pPr>
      <w:rPr>
        <w:rFonts w:ascii="Arial" w:hAnsi="Arial" w:hint="default"/>
      </w:rPr>
    </w:lvl>
    <w:lvl w:ilvl="7" w:tplc="DA0A5480" w:tentative="1">
      <w:start w:val="1"/>
      <w:numFmt w:val="bullet"/>
      <w:lvlText w:val="•"/>
      <w:lvlJc w:val="left"/>
      <w:pPr>
        <w:tabs>
          <w:tab w:val="num" w:pos="5760"/>
        </w:tabs>
        <w:ind w:left="5760" w:hanging="360"/>
      </w:pPr>
      <w:rPr>
        <w:rFonts w:ascii="Arial" w:hAnsi="Arial" w:hint="default"/>
      </w:rPr>
    </w:lvl>
    <w:lvl w:ilvl="8" w:tplc="23E688E4" w:tentative="1">
      <w:start w:val="1"/>
      <w:numFmt w:val="bullet"/>
      <w:lvlText w:val="•"/>
      <w:lvlJc w:val="left"/>
      <w:pPr>
        <w:tabs>
          <w:tab w:val="num" w:pos="6480"/>
        </w:tabs>
        <w:ind w:left="6480" w:hanging="360"/>
      </w:pPr>
      <w:rPr>
        <w:rFonts w:ascii="Arial" w:hAnsi="Arial" w:hint="default"/>
      </w:rPr>
    </w:lvl>
  </w:abstractNum>
  <w:abstractNum w:abstractNumId="51">
    <w:nsid w:val="7D4939EA"/>
    <w:multiLevelType w:val="hybridMultilevel"/>
    <w:tmpl w:val="114E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35"/>
  </w:num>
  <w:num w:numId="5">
    <w:abstractNumId w:val="50"/>
  </w:num>
  <w:num w:numId="6">
    <w:abstractNumId w:val="0"/>
  </w:num>
  <w:num w:numId="7">
    <w:abstractNumId w:val="36"/>
  </w:num>
  <w:num w:numId="8">
    <w:abstractNumId w:val="3"/>
  </w:num>
  <w:num w:numId="9">
    <w:abstractNumId w:val="46"/>
  </w:num>
  <w:num w:numId="10">
    <w:abstractNumId w:val="22"/>
  </w:num>
  <w:num w:numId="11">
    <w:abstractNumId w:val="12"/>
  </w:num>
  <w:num w:numId="12">
    <w:abstractNumId w:val="19"/>
  </w:num>
  <w:num w:numId="13">
    <w:abstractNumId w:val="24"/>
  </w:num>
  <w:num w:numId="14">
    <w:abstractNumId w:val="47"/>
  </w:num>
  <w:num w:numId="15">
    <w:abstractNumId w:val="17"/>
  </w:num>
  <w:num w:numId="16">
    <w:abstractNumId w:val="39"/>
  </w:num>
  <w:num w:numId="17">
    <w:abstractNumId w:val="49"/>
  </w:num>
  <w:num w:numId="18">
    <w:abstractNumId w:val="43"/>
  </w:num>
  <w:num w:numId="19">
    <w:abstractNumId w:val="40"/>
  </w:num>
  <w:num w:numId="20">
    <w:abstractNumId w:val="37"/>
  </w:num>
  <w:num w:numId="21">
    <w:abstractNumId w:val="15"/>
  </w:num>
  <w:num w:numId="22">
    <w:abstractNumId w:val="48"/>
  </w:num>
  <w:num w:numId="23">
    <w:abstractNumId w:val="21"/>
  </w:num>
  <w:num w:numId="24">
    <w:abstractNumId w:val="5"/>
  </w:num>
  <w:num w:numId="25">
    <w:abstractNumId w:val="11"/>
  </w:num>
  <w:num w:numId="26">
    <w:abstractNumId w:val="42"/>
  </w:num>
  <w:num w:numId="27">
    <w:abstractNumId w:val="25"/>
  </w:num>
  <w:num w:numId="28">
    <w:abstractNumId w:val="2"/>
  </w:num>
  <w:num w:numId="29">
    <w:abstractNumId w:val="28"/>
  </w:num>
  <w:num w:numId="30">
    <w:abstractNumId w:val="41"/>
  </w:num>
  <w:num w:numId="31">
    <w:abstractNumId w:val="8"/>
  </w:num>
  <w:num w:numId="32">
    <w:abstractNumId w:val="44"/>
  </w:num>
  <w:num w:numId="33">
    <w:abstractNumId w:val="33"/>
  </w:num>
  <w:num w:numId="34">
    <w:abstractNumId w:val="32"/>
  </w:num>
  <w:num w:numId="35">
    <w:abstractNumId w:val="20"/>
  </w:num>
  <w:num w:numId="36">
    <w:abstractNumId w:val="18"/>
  </w:num>
  <w:num w:numId="37">
    <w:abstractNumId w:val="31"/>
  </w:num>
  <w:num w:numId="38">
    <w:abstractNumId w:val="38"/>
  </w:num>
  <w:num w:numId="39">
    <w:abstractNumId w:val="10"/>
  </w:num>
  <w:num w:numId="40">
    <w:abstractNumId w:val="6"/>
  </w:num>
  <w:num w:numId="41">
    <w:abstractNumId w:val="29"/>
  </w:num>
  <w:num w:numId="42">
    <w:abstractNumId w:val="16"/>
  </w:num>
  <w:num w:numId="43">
    <w:abstractNumId w:val="23"/>
  </w:num>
  <w:num w:numId="44">
    <w:abstractNumId w:val="26"/>
  </w:num>
  <w:num w:numId="45">
    <w:abstractNumId w:val="27"/>
  </w:num>
  <w:num w:numId="46">
    <w:abstractNumId w:val="14"/>
  </w:num>
  <w:num w:numId="47">
    <w:abstractNumId w:val="1"/>
  </w:num>
  <w:num w:numId="48">
    <w:abstractNumId w:val="22"/>
    <w:lvlOverride w:ilvl="0">
      <w:startOverride w:val="6"/>
    </w:lvlOverride>
    <w:lvlOverride w:ilvl="1">
      <w:startOverride w:val="1"/>
    </w:lvlOverride>
  </w:num>
  <w:num w:numId="49">
    <w:abstractNumId w:val="51"/>
  </w:num>
  <w:num w:numId="50">
    <w:abstractNumId w:val="34"/>
  </w:num>
  <w:num w:numId="51">
    <w:abstractNumId w:val="45"/>
  </w:num>
  <w:num w:numId="52">
    <w:abstractNumId w:val="30"/>
  </w:num>
  <w:num w:numId="53">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removePersonalInformation/>
  <w:removeDateAndTime/>
  <w:activeWritingStyle w:appName="MSWord" w:lang="en-US" w:vendorID="64" w:dllVersion="131078" w:nlCheck="1" w:checkStyle="1"/>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34"/>
    <w:rsid w:val="0000005F"/>
    <w:rsid w:val="00000551"/>
    <w:rsid w:val="00000C13"/>
    <w:rsid w:val="00001A25"/>
    <w:rsid w:val="000031FD"/>
    <w:rsid w:val="00003A34"/>
    <w:rsid w:val="00003B31"/>
    <w:rsid w:val="000040FA"/>
    <w:rsid w:val="00004E98"/>
    <w:rsid w:val="00010228"/>
    <w:rsid w:val="00010273"/>
    <w:rsid w:val="00010C55"/>
    <w:rsid w:val="0001146D"/>
    <w:rsid w:val="00013BBC"/>
    <w:rsid w:val="00014FDA"/>
    <w:rsid w:val="0001546D"/>
    <w:rsid w:val="00015D7D"/>
    <w:rsid w:val="000176F2"/>
    <w:rsid w:val="00020A75"/>
    <w:rsid w:val="000219A2"/>
    <w:rsid w:val="00023425"/>
    <w:rsid w:val="00023732"/>
    <w:rsid w:val="00023B8B"/>
    <w:rsid w:val="000246EA"/>
    <w:rsid w:val="0002501D"/>
    <w:rsid w:val="00025233"/>
    <w:rsid w:val="00025C83"/>
    <w:rsid w:val="00026758"/>
    <w:rsid w:val="000313F1"/>
    <w:rsid w:val="00031414"/>
    <w:rsid w:val="0003329D"/>
    <w:rsid w:val="00034983"/>
    <w:rsid w:val="000354F4"/>
    <w:rsid w:val="000365F8"/>
    <w:rsid w:val="00036BD2"/>
    <w:rsid w:val="00036D7E"/>
    <w:rsid w:val="00037EBA"/>
    <w:rsid w:val="00040461"/>
    <w:rsid w:val="00042167"/>
    <w:rsid w:val="00042814"/>
    <w:rsid w:val="00042B0F"/>
    <w:rsid w:val="00046201"/>
    <w:rsid w:val="000471B9"/>
    <w:rsid w:val="00047853"/>
    <w:rsid w:val="00047EC1"/>
    <w:rsid w:val="0005120A"/>
    <w:rsid w:val="00051F6E"/>
    <w:rsid w:val="00052904"/>
    <w:rsid w:val="00053313"/>
    <w:rsid w:val="00053380"/>
    <w:rsid w:val="000540FC"/>
    <w:rsid w:val="00054811"/>
    <w:rsid w:val="00054881"/>
    <w:rsid w:val="00054F40"/>
    <w:rsid w:val="00055234"/>
    <w:rsid w:val="000561CA"/>
    <w:rsid w:val="00056AEA"/>
    <w:rsid w:val="00057109"/>
    <w:rsid w:val="00057340"/>
    <w:rsid w:val="000573AB"/>
    <w:rsid w:val="00057E01"/>
    <w:rsid w:val="00057FC0"/>
    <w:rsid w:val="000602EB"/>
    <w:rsid w:val="00060618"/>
    <w:rsid w:val="000606A6"/>
    <w:rsid w:val="0006077B"/>
    <w:rsid w:val="0006215C"/>
    <w:rsid w:val="000628AF"/>
    <w:rsid w:val="000635AC"/>
    <w:rsid w:val="00063AE9"/>
    <w:rsid w:val="00063F09"/>
    <w:rsid w:val="00066837"/>
    <w:rsid w:val="00067D26"/>
    <w:rsid w:val="00070BB2"/>
    <w:rsid w:val="00070D98"/>
    <w:rsid w:val="0007198A"/>
    <w:rsid w:val="00071C54"/>
    <w:rsid w:val="0007259C"/>
    <w:rsid w:val="00072F7B"/>
    <w:rsid w:val="000759B4"/>
    <w:rsid w:val="00075AAF"/>
    <w:rsid w:val="00076668"/>
    <w:rsid w:val="000768C2"/>
    <w:rsid w:val="000774D9"/>
    <w:rsid w:val="00077D47"/>
    <w:rsid w:val="0008058A"/>
    <w:rsid w:val="000827D6"/>
    <w:rsid w:val="00084AEF"/>
    <w:rsid w:val="000850DB"/>
    <w:rsid w:val="000855D9"/>
    <w:rsid w:val="000860E7"/>
    <w:rsid w:val="00087FBD"/>
    <w:rsid w:val="00090959"/>
    <w:rsid w:val="0009103C"/>
    <w:rsid w:val="00091814"/>
    <w:rsid w:val="00091B15"/>
    <w:rsid w:val="0009251A"/>
    <w:rsid w:val="0009268C"/>
    <w:rsid w:val="0009299E"/>
    <w:rsid w:val="00093A27"/>
    <w:rsid w:val="00093C24"/>
    <w:rsid w:val="0009489B"/>
    <w:rsid w:val="000978E8"/>
    <w:rsid w:val="000A05D6"/>
    <w:rsid w:val="000A09BE"/>
    <w:rsid w:val="000A21C3"/>
    <w:rsid w:val="000A3432"/>
    <w:rsid w:val="000A3FD0"/>
    <w:rsid w:val="000A4750"/>
    <w:rsid w:val="000A4E23"/>
    <w:rsid w:val="000A5270"/>
    <w:rsid w:val="000A53FD"/>
    <w:rsid w:val="000A54AB"/>
    <w:rsid w:val="000A6A36"/>
    <w:rsid w:val="000A6D31"/>
    <w:rsid w:val="000A787E"/>
    <w:rsid w:val="000A7E12"/>
    <w:rsid w:val="000B08C6"/>
    <w:rsid w:val="000B0989"/>
    <w:rsid w:val="000B111D"/>
    <w:rsid w:val="000B1B25"/>
    <w:rsid w:val="000B1DD3"/>
    <w:rsid w:val="000B255A"/>
    <w:rsid w:val="000B2CBD"/>
    <w:rsid w:val="000B38F3"/>
    <w:rsid w:val="000B4116"/>
    <w:rsid w:val="000B6ADB"/>
    <w:rsid w:val="000B7F9A"/>
    <w:rsid w:val="000C0BA6"/>
    <w:rsid w:val="000C10DC"/>
    <w:rsid w:val="000C1246"/>
    <w:rsid w:val="000C1753"/>
    <w:rsid w:val="000C27C9"/>
    <w:rsid w:val="000C39EB"/>
    <w:rsid w:val="000C3E79"/>
    <w:rsid w:val="000C6270"/>
    <w:rsid w:val="000C6289"/>
    <w:rsid w:val="000C6422"/>
    <w:rsid w:val="000C6808"/>
    <w:rsid w:val="000C6A8F"/>
    <w:rsid w:val="000C704D"/>
    <w:rsid w:val="000C74D9"/>
    <w:rsid w:val="000D061C"/>
    <w:rsid w:val="000D0795"/>
    <w:rsid w:val="000D12E6"/>
    <w:rsid w:val="000D1A53"/>
    <w:rsid w:val="000D1DDF"/>
    <w:rsid w:val="000D1FAE"/>
    <w:rsid w:val="000D24FB"/>
    <w:rsid w:val="000D2D80"/>
    <w:rsid w:val="000D2E2F"/>
    <w:rsid w:val="000D2E50"/>
    <w:rsid w:val="000D4111"/>
    <w:rsid w:val="000D5B9A"/>
    <w:rsid w:val="000D65D0"/>
    <w:rsid w:val="000D7F13"/>
    <w:rsid w:val="000E01B1"/>
    <w:rsid w:val="000E0B1F"/>
    <w:rsid w:val="000E1211"/>
    <w:rsid w:val="000E13EE"/>
    <w:rsid w:val="000E1F8D"/>
    <w:rsid w:val="000E225C"/>
    <w:rsid w:val="000E2381"/>
    <w:rsid w:val="000E29B0"/>
    <w:rsid w:val="000E3C3A"/>
    <w:rsid w:val="000E3EAB"/>
    <w:rsid w:val="000E42D1"/>
    <w:rsid w:val="000E4A34"/>
    <w:rsid w:val="000E5E8F"/>
    <w:rsid w:val="000E61DF"/>
    <w:rsid w:val="000E6A6D"/>
    <w:rsid w:val="000E6C99"/>
    <w:rsid w:val="000E708E"/>
    <w:rsid w:val="000F184F"/>
    <w:rsid w:val="000F2B1E"/>
    <w:rsid w:val="000F35CB"/>
    <w:rsid w:val="000F76F0"/>
    <w:rsid w:val="000F7CC0"/>
    <w:rsid w:val="000F7F30"/>
    <w:rsid w:val="00100F08"/>
    <w:rsid w:val="0010127E"/>
    <w:rsid w:val="00101ADB"/>
    <w:rsid w:val="00103B06"/>
    <w:rsid w:val="001048A4"/>
    <w:rsid w:val="00105E70"/>
    <w:rsid w:val="001075E8"/>
    <w:rsid w:val="0010792E"/>
    <w:rsid w:val="001106F8"/>
    <w:rsid w:val="00110F91"/>
    <w:rsid w:val="00111064"/>
    <w:rsid w:val="00114AD9"/>
    <w:rsid w:val="00114BED"/>
    <w:rsid w:val="0011524C"/>
    <w:rsid w:val="001156AF"/>
    <w:rsid w:val="00116CC8"/>
    <w:rsid w:val="0011758B"/>
    <w:rsid w:val="001206CB"/>
    <w:rsid w:val="00120FB3"/>
    <w:rsid w:val="00121176"/>
    <w:rsid w:val="001213C2"/>
    <w:rsid w:val="00121BBA"/>
    <w:rsid w:val="00122F1E"/>
    <w:rsid w:val="00125987"/>
    <w:rsid w:val="00125CAD"/>
    <w:rsid w:val="00125DA3"/>
    <w:rsid w:val="0012606D"/>
    <w:rsid w:val="00126248"/>
    <w:rsid w:val="00127722"/>
    <w:rsid w:val="0012794F"/>
    <w:rsid w:val="00127ACF"/>
    <w:rsid w:val="00127EEE"/>
    <w:rsid w:val="001310B3"/>
    <w:rsid w:val="0013147F"/>
    <w:rsid w:val="00131794"/>
    <w:rsid w:val="00131E91"/>
    <w:rsid w:val="00131EAA"/>
    <w:rsid w:val="0013204B"/>
    <w:rsid w:val="00132A57"/>
    <w:rsid w:val="00134986"/>
    <w:rsid w:val="00135294"/>
    <w:rsid w:val="00135CA3"/>
    <w:rsid w:val="001362E0"/>
    <w:rsid w:val="001432E0"/>
    <w:rsid w:val="0014371B"/>
    <w:rsid w:val="00144594"/>
    <w:rsid w:val="00144FFA"/>
    <w:rsid w:val="001474C6"/>
    <w:rsid w:val="001475EE"/>
    <w:rsid w:val="001514BE"/>
    <w:rsid w:val="00152303"/>
    <w:rsid w:val="00154B0A"/>
    <w:rsid w:val="00154F4C"/>
    <w:rsid w:val="0015610B"/>
    <w:rsid w:val="001561A0"/>
    <w:rsid w:val="0015629D"/>
    <w:rsid w:val="00156D7C"/>
    <w:rsid w:val="001576A3"/>
    <w:rsid w:val="0016008D"/>
    <w:rsid w:val="00160814"/>
    <w:rsid w:val="00162074"/>
    <w:rsid w:val="00162110"/>
    <w:rsid w:val="0016351D"/>
    <w:rsid w:val="0016381B"/>
    <w:rsid w:val="00163A09"/>
    <w:rsid w:val="00163ED5"/>
    <w:rsid w:val="00164199"/>
    <w:rsid w:val="001641FF"/>
    <w:rsid w:val="001646B0"/>
    <w:rsid w:val="0016559F"/>
    <w:rsid w:val="00166572"/>
    <w:rsid w:val="001671C3"/>
    <w:rsid w:val="0017072A"/>
    <w:rsid w:val="00171045"/>
    <w:rsid w:val="00171120"/>
    <w:rsid w:val="001712BD"/>
    <w:rsid w:val="0017147E"/>
    <w:rsid w:val="00173152"/>
    <w:rsid w:val="00173A56"/>
    <w:rsid w:val="0017416A"/>
    <w:rsid w:val="001742FB"/>
    <w:rsid w:val="00174809"/>
    <w:rsid w:val="00175F05"/>
    <w:rsid w:val="0017723E"/>
    <w:rsid w:val="0017745A"/>
    <w:rsid w:val="00182889"/>
    <w:rsid w:val="001830DE"/>
    <w:rsid w:val="00183BDB"/>
    <w:rsid w:val="00183F9B"/>
    <w:rsid w:val="00184DAB"/>
    <w:rsid w:val="00184FC1"/>
    <w:rsid w:val="00185223"/>
    <w:rsid w:val="00185B69"/>
    <w:rsid w:val="00186DAD"/>
    <w:rsid w:val="001872A8"/>
    <w:rsid w:val="001918A2"/>
    <w:rsid w:val="00191E1C"/>
    <w:rsid w:val="00192590"/>
    <w:rsid w:val="00192EF4"/>
    <w:rsid w:val="001934F9"/>
    <w:rsid w:val="001946F0"/>
    <w:rsid w:val="00194DB6"/>
    <w:rsid w:val="001960A4"/>
    <w:rsid w:val="0019768E"/>
    <w:rsid w:val="001A05AB"/>
    <w:rsid w:val="001A0C86"/>
    <w:rsid w:val="001A2374"/>
    <w:rsid w:val="001A2834"/>
    <w:rsid w:val="001A3142"/>
    <w:rsid w:val="001A3DB1"/>
    <w:rsid w:val="001A3F4E"/>
    <w:rsid w:val="001A429A"/>
    <w:rsid w:val="001A5EA8"/>
    <w:rsid w:val="001A6CC7"/>
    <w:rsid w:val="001A7136"/>
    <w:rsid w:val="001B1D6F"/>
    <w:rsid w:val="001B287C"/>
    <w:rsid w:val="001B34F3"/>
    <w:rsid w:val="001B4383"/>
    <w:rsid w:val="001B5713"/>
    <w:rsid w:val="001B5ABE"/>
    <w:rsid w:val="001B5F79"/>
    <w:rsid w:val="001B615A"/>
    <w:rsid w:val="001B6EA5"/>
    <w:rsid w:val="001B74BE"/>
    <w:rsid w:val="001C0752"/>
    <w:rsid w:val="001C0DBB"/>
    <w:rsid w:val="001C18EA"/>
    <w:rsid w:val="001C29DF"/>
    <w:rsid w:val="001C2F72"/>
    <w:rsid w:val="001C31FF"/>
    <w:rsid w:val="001C35AB"/>
    <w:rsid w:val="001C3FDC"/>
    <w:rsid w:val="001C459C"/>
    <w:rsid w:val="001C4617"/>
    <w:rsid w:val="001C72E2"/>
    <w:rsid w:val="001D0C13"/>
    <w:rsid w:val="001D15E8"/>
    <w:rsid w:val="001D219C"/>
    <w:rsid w:val="001D2DAC"/>
    <w:rsid w:val="001D3D4C"/>
    <w:rsid w:val="001D445C"/>
    <w:rsid w:val="001D471C"/>
    <w:rsid w:val="001D59DA"/>
    <w:rsid w:val="001D5B2D"/>
    <w:rsid w:val="001D5B68"/>
    <w:rsid w:val="001D5E3A"/>
    <w:rsid w:val="001D66CE"/>
    <w:rsid w:val="001D67A2"/>
    <w:rsid w:val="001D6E2C"/>
    <w:rsid w:val="001E0617"/>
    <w:rsid w:val="001E0BD0"/>
    <w:rsid w:val="001E0C8F"/>
    <w:rsid w:val="001E0D4D"/>
    <w:rsid w:val="001E224C"/>
    <w:rsid w:val="001E3C90"/>
    <w:rsid w:val="001E56D0"/>
    <w:rsid w:val="001E57C4"/>
    <w:rsid w:val="001E590D"/>
    <w:rsid w:val="001E5C43"/>
    <w:rsid w:val="001E5D87"/>
    <w:rsid w:val="001E5F58"/>
    <w:rsid w:val="001E6BFC"/>
    <w:rsid w:val="001E6CE8"/>
    <w:rsid w:val="001E6E53"/>
    <w:rsid w:val="001E74AE"/>
    <w:rsid w:val="001F2C58"/>
    <w:rsid w:val="001F3D60"/>
    <w:rsid w:val="001F3D94"/>
    <w:rsid w:val="001F407D"/>
    <w:rsid w:val="001F4215"/>
    <w:rsid w:val="001F5688"/>
    <w:rsid w:val="001F5D6C"/>
    <w:rsid w:val="001F690D"/>
    <w:rsid w:val="001F6DCE"/>
    <w:rsid w:val="001F7052"/>
    <w:rsid w:val="001F7099"/>
    <w:rsid w:val="001F78A4"/>
    <w:rsid w:val="002008A5"/>
    <w:rsid w:val="00200A7F"/>
    <w:rsid w:val="00201113"/>
    <w:rsid w:val="00201197"/>
    <w:rsid w:val="00201D76"/>
    <w:rsid w:val="002020BC"/>
    <w:rsid w:val="002025B9"/>
    <w:rsid w:val="0020638C"/>
    <w:rsid w:val="00206770"/>
    <w:rsid w:val="00210455"/>
    <w:rsid w:val="002112BC"/>
    <w:rsid w:val="00211B68"/>
    <w:rsid w:val="00212BF7"/>
    <w:rsid w:val="00213C1E"/>
    <w:rsid w:val="00214627"/>
    <w:rsid w:val="0021497C"/>
    <w:rsid w:val="00214BFF"/>
    <w:rsid w:val="00214D6E"/>
    <w:rsid w:val="002155D5"/>
    <w:rsid w:val="00216600"/>
    <w:rsid w:val="0021687E"/>
    <w:rsid w:val="00217101"/>
    <w:rsid w:val="00217AFE"/>
    <w:rsid w:val="0022058B"/>
    <w:rsid w:val="00220D8F"/>
    <w:rsid w:val="002212D7"/>
    <w:rsid w:val="00221570"/>
    <w:rsid w:val="00222067"/>
    <w:rsid w:val="00222236"/>
    <w:rsid w:val="0022226E"/>
    <w:rsid w:val="00222B68"/>
    <w:rsid w:val="00223E5B"/>
    <w:rsid w:val="00224CB4"/>
    <w:rsid w:val="00227A32"/>
    <w:rsid w:val="0023146B"/>
    <w:rsid w:val="002316CB"/>
    <w:rsid w:val="002326F8"/>
    <w:rsid w:val="00232CB8"/>
    <w:rsid w:val="00233D4D"/>
    <w:rsid w:val="002341E5"/>
    <w:rsid w:val="0023496A"/>
    <w:rsid w:val="00234A8C"/>
    <w:rsid w:val="00234B9A"/>
    <w:rsid w:val="00234C7B"/>
    <w:rsid w:val="00234CD0"/>
    <w:rsid w:val="00235052"/>
    <w:rsid w:val="002351AF"/>
    <w:rsid w:val="00235CE2"/>
    <w:rsid w:val="00236704"/>
    <w:rsid w:val="00240B72"/>
    <w:rsid w:val="00241516"/>
    <w:rsid w:val="00242FB5"/>
    <w:rsid w:val="0024342B"/>
    <w:rsid w:val="00243FAB"/>
    <w:rsid w:val="00244545"/>
    <w:rsid w:val="0024562B"/>
    <w:rsid w:val="00247387"/>
    <w:rsid w:val="00250C52"/>
    <w:rsid w:val="00251006"/>
    <w:rsid w:val="00251299"/>
    <w:rsid w:val="002537B7"/>
    <w:rsid w:val="0025483E"/>
    <w:rsid w:val="002563DE"/>
    <w:rsid w:val="00256423"/>
    <w:rsid w:val="00257414"/>
    <w:rsid w:val="00260015"/>
    <w:rsid w:val="002609C0"/>
    <w:rsid w:val="00264A71"/>
    <w:rsid w:val="00265FE7"/>
    <w:rsid w:val="00266904"/>
    <w:rsid w:val="0027122A"/>
    <w:rsid w:val="00272DEE"/>
    <w:rsid w:val="00273721"/>
    <w:rsid w:val="00273E98"/>
    <w:rsid w:val="0027409C"/>
    <w:rsid w:val="0027454F"/>
    <w:rsid w:val="00275074"/>
    <w:rsid w:val="00275181"/>
    <w:rsid w:val="00275224"/>
    <w:rsid w:val="00275697"/>
    <w:rsid w:val="00276493"/>
    <w:rsid w:val="00277508"/>
    <w:rsid w:val="0028025B"/>
    <w:rsid w:val="00280451"/>
    <w:rsid w:val="00280B02"/>
    <w:rsid w:val="002815D3"/>
    <w:rsid w:val="00281740"/>
    <w:rsid w:val="00283763"/>
    <w:rsid w:val="00284552"/>
    <w:rsid w:val="00284DFF"/>
    <w:rsid w:val="00285266"/>
    <w:rsid w:val="00287E75"/>
    <w:rsid w:val="00290856"/>
    <w:rsid w:val="00291D07"/>
    <w:rsid w:val="00291DB3"/>
    <w:rsid w:val="00294519"/>
    <w:rsid w:val="00295377"/>
    <w:rsid w:val="00295C4D"/>
    <w:rsid w:val="00296678"/>
    <w:rsid w:val="00297739"/>
    <w:rsid w:val="00297B2C"/>
    <w:rsid w:val="00297D1F"/>
    <w:rsid w:val="002A0775"/>
    <w:rsid w:val="002A1A33"/>
    <w:rsid w:val="002A206A"/>
    <w:rsid w:val="002A31AB"/>
    <w:rsid w:val="002A3850"/>
    <w:rsid w:val="002A4051"/>
    <w:rsid w:val="002A4ADA"/>
    <w:rsid w:val="002A4C57"/>
    <w:rsid w:val="002A4E51"/>
    <w:rsid w:val="002A5104"/>
    <w:rsid w:val="002A51ED"/>
    <w:rsid w:val="002A5CAE"/>
    <w:rsid w:val="002A6A96"/>
    <w:rsid w:val="002B0029"/>
    <w:rsid w:val="002B1720"/>
    <w:rsid w:val="002B1D15"/>
    <w:rsid w:val="002B2763"/>
    <w:rsid w:val="002B2A3F"/>
    <w:rsid w:val="002B2CCD"/>
    <w:rsid w:val="002B319E"/>
    <w:rsid w:val="002B409C"/>
    <w:rsid w:val="002B41A7"/>
    <w:rsid w:val="002B4A0F"/>
    <w:rsid w:val="002B4D97"/>
    <w:rsid w:val="002B50D5"/>
    <w:rsid w:val="002B591F"/>
    <w:rsid w:val="002B6FB2"/>
    <w:rsid w:val="002B7049"/>
    <w:rsid w:val="002B7323"/>
    <w:rsid w:val="002B789B"/>
    <w:rsid w:val="002C04AB"/>
    <w:rsid w:val="002C105F"/>
    <w:rsid w:val="002C1A18"/>
    <w:rsid w:val="002C2BCB"/>
    <w:rsid w:val="002C2C94"/>
    <w:rsid w:val="002C3B9A"/>
    <w:rsid w:val="002C57B6"/>
    <w:rsid w:val="002C5805"/>
    <w:rsid w:val="002C63A9"/>
    <w:rsid w:val="002C7FCC"/>
    <w:rsid w:val="002D056A"/>
    <w:rsid w:val="002D0769"/>
    <w:rsid w:val="002D12B0"/>
    <w:rsid w:val="002D170C"/>
    <w:rsid w:val="002D1822"/>
    <w:rsid w:val="002D2515"/>
    <w:rsid w:val="002D3232"/>
    <w:rsid w:val="002D34A1"/>
    <w:rsid w:val="002D4234"/>
    <w:rsid w:val="002D44CC"/>
    <w:rsid w:val="002D4A34"/>
    <w:rsid w:val="002D4B0F"/>
    <w:rsid w:val="002D4CA5"/>
    <w:rsid w:val="002D5047"/>
    <w:rsid w:val="002D60DB"/>
    <w:rsid w:val="002D6870"/>
    <w:rsid w:val="002D6D78"/>
    <w:rsid w:val="002E05D1"/>
    <w:rsid w:val="002E0A11"/>
    <w:rsid w:val="002E0ECB"/>
    <w:rsid w:val="002E14EB"/>
    <w:rsid w:val="002E1702"/>
    <w:rsid w:val="002E1D5B"/>
    <w:rsid w:val="002E3C80"/>
    <w:rsid w:val="002E46F0"/>
    <w:rsid w:val="002E4DEB"/>
    <w:rsid w:val="002E5532"/>
    <w:rsid w:val="002E5924"/>
    <w:rsid w:val="002E5BE3"/>
    <w:rsid w:val="002E62E1"/>
    <w:rsid w:val="002E6EEF"/>
    <w:rsid w:val="002E70D3"/>
    <w:rsid w:val="002F432A"/>
    <w:rsid w:val="002F468E"/>
    <w:rsid w:val="002F4766"/>
    <w:rsid w:val="002F4BAF"/>
    <w:rsid w:val="002F4D82"/>
    <w:rsid w:val="002F5283"/>
    <w:rsid w:val="002F688D"/>
    <w:rsid w:val="002F6D3B"/>
    <w:rsid w:val="003015DF"/>
    <w:rsid w:val="00301C90"/>
    <w:rsid w:val="00302241"/>
    <w:rsid w:val="00302C17"/>
    <w:rsid w:val="0030462F"/>
    <w:rsid w:val="0030483D"/>
    <w:rsid w:val="00304A7D"/>
    <w:rsid w:val="00304C20"/>
    <w:rsid w:val="00305BA5"/>
    <w:rsid w:val="0030619C"/>
    <w:rsid w:val="00306B9A"/>
    <w:rsid w:val="00307957"/>
    <w:rsid w:val="00307BC5"/>
    <w:rsid w:val="00310854"/>
    <w:rsid w:val="00310FD1"/>
    <w:rsid w:val="003111D7"/>
    <w:rsid w:val="00311B8E"/>
    <w:rsid w:val="003131A5"/>
    <w:rsid w:val="00313567"/>
    <w:rsid w:val="003140C2"/>
    <w:rsid w:val="003152D5"/>
    <w:rsid w:val="003153FC"/>
    <w:rsid w:val="0031615F"/>
    <w:rsid w:val="003167C4"/>
    <w:rsid w:val="00316938"/>
    <w:rsid w:val="00316FA0"/>
    <w:rsid w:val="003211CA"/>
    <w:rsid w:val="00321432"/>
    <w:rsid w:val="00321CEC"/>
    <w:rsid w:val="00322C52"/>
    <w:rsid w:val="003272DB"/>
    <w:rsid w:val="00327EF2"/>
    <w:rsid w:val="003314B2"/>
    <w:rsid w:val="00331599"/>
    <w:rsid w:val="00331B40"/>
    <w:rsid w:val="003332E8"/>
    <w:rsid w:val="003344FC"/>
    <w:rsid w:val="00334B6C"/>
    <w:rsid w:val="00336203"/>
    <w:rsid w:val="00336BB5"/>
    <w:rsid w:val="00336BF0"/>
    <w:rsid w:val="00336F53"/>
    <w:rsid w:val="00337252"/>
    <w:rsid w:val="00341395"/>
    <w:rsid w:val="00341D41"/>
    <w:rsid w:val="00342D92"/>
    <w:rsid w:val="00342DBF"/>
    <w:rsid w:val="00344A22"/>
    <w:rsid w:val="00344E06"/>
    <w:rsid w:val="0034620D"/>
    <w:rsid w:val="003473FF"/>
    <w:rsid w:val="00347689"/>
    <w:rsid w:val="00347933"/>
    <w:rsid w:val="0034798E"/>
    <w:rsid w:val="003479DA"/>
    <w:rsid w:val="00347E90"/>
    <w:rsid w:val="00350615"/>
    <w:rsid w:val="00350FFC"/>
    <w:rsid w:val="0035358A"/>
    <w:rsid w:val="003540D7"/>
    <w:rsid w:val="0035439F"/>
    <w:rsid w:val="00354505"/>
    <w:rsid w:val="00355A96"/>
    <w:rsid w:val="003564D1"/>
    <w:rsid w:val="00357BD4"/>
    <w:rsid w:val="003624BB"/>
    <w:rsid w:val="00363E6E"/>
    <w:rsid w:val="00364640"/>
    <w:rsid w:val="00365A30"/>
    <w:rsid w:val="00367652"/>
    <w:rsid w:val="00370517"/>
    <w:rsid w:val="003721C0"/>
    <w:rsid w:val="00372491"/>
    <w:rsid w:val="003729C5"/>
    <w:rsid w:val="00372DD3"/>
    <w:rsid w:val="00373385"/>
    <w:rsid w:val="0037354A"/>
    <w:rsid w:val="00373775"/>
    <w:rsid w:val="0037449C"/>
    <w:rsid w:val="00375D3C"/>
    <w:rsid w:val="003760AC"/>
    <w:rsid w:val="0037666A"/>
    <w:rsid w:val="0037700D"/>
    <w:rsid w:val="00381387"/>
    <w:rsid w:val="00382749"/>
    <w:rsid w:val="003828B7"/>
    <w:rsid w:val="003838B3"/>
    <w:rsid w:val="003852C4"/>
    <w:rsid w:val="00385460"/>
    <w:rsid w:val="0038615C"/>
    <w:rsid w:val="00386786"/>
    <w:rsid w:val="00386BA5"/>
    <w:rsid w:val="00390207"/>
    <w:rsid w:val="00390F86"/>
    <w:rsid w:val="003939F6"/>
    <w:rsid w:val="00393AC9"/>
    <w:rsid w:val="00394FB4"/>
    <w:rsid w:val="003963C6"/>
    <w:rsid w:val="00396FB2"/>
    <w:rsid w:val="00397F05"/>
    <w:rsid w:val="003A1E80"/>
    <w:rsid w:val="003A224A"/>
    <w:rsid w:val="003A3219"/>
    <w:rsid w:val="003A39CB"/>
    <w:rsid w:val="003A3ACD"/>
    <w:rsid w:val="003A4BDF"/>
    <w:rsid w:val="003A536E"/>
    <w:rsid w:val="003A5A08"/>
    <w:rsid w:val="003A5AB0"/>
    <w:rsid w:val="003A5C58"/>
    <w:rsid w:val="003A6165"/>
    <w:rsid w:val="003A6D15"/>
    <w:rsid w:val="003A6FAE"/>
    <w:rsid w:val="003A73A5"/>
    <w:rsid w:val="003B135B"/>
    <w:rsid w:val="003B320E"/>
    <w:rsid w:val="003B4372"/>
    <w:rsid w:val="003B48D4"/>
    <w:rsid w:val="003B49EF"/>
    <w:rsid w:val="003B66BC"/>
    <w:rsid w:val="003C08B2"/>
    <w:rsid w:val="003C2111"/>
    <w:rsid w:val="003C2ED7"/>
    <w:rsid w:val="003C31FB"/>
    <w:rsid w:val="003C33BA"/>
    <w:rsid w:val="003D124F"/>
    <w:rsid w:val="003D1348"/>
    <w:rsid w:val="003D1652"/>
    <w:rsid w:val="003D1CEF"/>
    <w:rsid w:val="003D2651"/>
    <w:rsid w:val="003D2B5E"/>
    <w:rsid w:val="003D2B6E"/>
    <w:rsid w:val="003D3154"/>
    <w:rsid w:val="003D4763"/>
    <w:rsid w:val="003D580A"/>
    <w:rsid w:val="003D5EF3"/>
    <w:rsid w:val="003D615A"/>
    <w:rsid w:val="003D7EA1"/>
    <w:rsid w:val="003E30DD"/>
    <w:rsid w:val="003E3AFD"/>
    <w:rsid w:val="003E3E1D"/>
    <w:rsid w:val="003E3FAB"/>
    <w:rsid w:val="003E412A"/>
    <w:rsid w:val="003E4BCC"/>
    <w:rsid w:val="003E5072"/>
    <w:rsid w:val="003E5204"/>
    <w:rsid w:val="003E71F7"/>
    <w:rsid w:val="003E72CB"/>
    <w:rsid w:val="003E77BB"/>
    <w:rsid w:val="003F02B8"/>
    <w:rsid w:val="003F0374"/>
    <w:rsid w:val="003F1D3C"/>
    <w:rsid w:val="003F2CCA"/>
    <w:rsid w:val="003F34FD"/>
    <w:rsid w:val="003F3508"/>
    <w:rsid w:val="003F583A"/>
    <w:rsid w:val="003F68D8"/>
    <w:rsid w:val="003F786F"/>
    <w:rsid w:val="00400A90"/>
    <w:rsid w:val="004015EB"/>
    <w:rsid w:val="004018A3"/>
    <w:rsid w:val="00401E0B"/>
    <w:rsid w:val="00401F0F"/>
    <w:rsid w:val="00402E3E"/>
    <w:rsid w:val="004047C8"/>
    <w:rsid w:val="00405B83"/>
    <w:rsid w:val="0040792D"/>
    <w:rsid w:val="00407D73"/>
    <w:rsid w:val="0041026E"/>
    <w:rsid w:val="00410580"/>
    <w:rsid w:val="00411C62"/>
    <w:rsid w:val="0041243E"/>
    <w:rsid w:val="004129B8"/>
    <w:rsid w:val="00414D65"/>
    <w:rsid w:val="00415763"/>
    <w:rsid w:val="00415F29"/>
    <w:rsid w:val="004163E3"/>
    <w:rsid w:val="0042015E"/>
    <w:rsid w:val="00420493"/>
    <w:rsid w:val="00421660"/>
    <w:rsid w:val="004219A0"/>
    <w:rsid w:val="004224C1"/>
    <w:rsid w:val="004248DF"/>
    <w:rsid w:val="00424A69"/>
    <w:rsid w:val="00425680"/>
    <w:rsid w:val="00426317"/>
    <w:rsid w:val="00426BD7"/>
    <w:rsid w:val="00426D95"/>
    <w:rsid w:val="0042708B"/>
    <w:rsid w:val="00427D38"/>
    <w:rsid w:val="00430123"/>
    <w:rsid w:val="00430678"/>
    <w:rsid w:val="00430C6E"/>
    <w:rsid w:val="00431018"/>
    <w:rsid w:val="0043123F"/>
    <w:rsid w:val="004318F8"/>
    <w:rsid w:val="00431A3D"/>
    <w:rsid w:val="004328BA"/>
    <w:rsid w:val="00432E61"/>
    <w:rsid w:val="00433722"/>
    <w:rsid w:val="00433BCB"/>
    <w:rsid w:val="00433DFB"/>
    <w:rsid w:val="00435B68"/>
    <w:rsid w:val="00435C4A"/>
    <w:rsid w:val="004361F5"/>
    <w:rsid w:val="004407B3"/>
    <w:rsid w:val="00443975"/>
    <w:rsid w:val="00443A58"/>
    <w:rsid w:val="00445001"/>
    <w:rsid w:val="0044601A"/>
    <w:rsid w:val="00446CCD"/>
    <w:rsid w:val="004474F1"/>
    <w:rsid w:val="00447F10"/>
    <w:rsid w:val="00450DC2"/>
    <w:rsid w:val="00451A9B"/>
    <w:rsid w:val="00451D66"/>
    <w:rsid w:val="00452D6E"/>
    <w:rsid w:val="00454823"/>
    <w:rsid w:val="00455A63"/>
    <w:rsid w:val="004569E3"/>
    <w:rsid w:val="00456BE3"/>
    <w:rsid w:val="00456EC9"/>
    <w:rsid w:val="00460322"/>
    <w:rsid w:val="004610FA"/>
    <w:rsid w:val="00461B86"/>
    <w:rsid w:val="00462804"/>
    <w:rsid w:val="00462F82"/>
    <w:rsid w:val="0046344E"/>
    <w:rsid w:val="00463BB5"/>
    <w:rsid w:val="004649B1"/>
    <w:rsid w:val="00464CC6"/>
    <w:rsid w:val="00464F41"/>
    <w:rsid w:val="0046608C"/>
    <w:rsid w:val="00466D41"/>
    <w:rsid w:val="00466F06"/>
    <w:rsid w:val="004672DF"/>
    <w:rsid w:val="0046782C"/>
    <w:rsid w:val="004679D3"/>
    <w:rsid w:val="00467E06"/>
    <w:rsid w:val="00467E4E"/>
    <w:rsid w:val="004705EE"/>
    <w:rsid w:val="00470773"/>
    <w:rsid w:val="00471AA1"/>
    <w:rsid w:val="0047246E"/>
    <w:rsid w:val="00472D8A"/>
    <w:rsid w:val="004730CE"/>
    <w:rsid w:val="00473609"/>
    <w:rsid w:val="00473952"/>
    <w:rsid w:val="00473BAD"/>
    <w:rsid w:val="004749FB"/>
    <w:rsid w:val="00475DC4"/>
    <w:rsid w:val="00476C5B"/>
    <w:rsid w:val="00477297"/>
    <w:rsid w:val="00477824"/>
    <w:rsid w:val="004779F8"/>
    <w:rsid w:val="00477AE9"/>
    <w:rsid w:val="00481475"/>
    <w:rsid w:val="004817E4"/>
    <w:rsid w:val="0048184B"/>
    <w:rsid w:val="004822A0"/>
    <w:rsid w:val="004822D9"/>
    <w:rsid w:val="0048298C"/>
    <w:rsid w:val="00482B0E"/>
    <w:rsid w:val="00483335"/>
    <w:rsid w:val="00483A98"/>
    <w:rsid w:val="00483AEE"/>
    <w:rsid w:val="00483DE9"/>
    <w:rsid w:val="00484F9F"/>
    <w:rsid w:val="00485838"/>
    <w:rsid w:val="004859F2"/>
    <w:rsid w:val="00486EEE"/>
    <w:rsid w:val="00486FE9"/>
    <w:rsid w:val="004872BB"/>
    <w:rsid w:val="00487C24"/>
    <w:rsid w:val="00487FD6"/>
    <w:rsid w:val="0049040F"/>
    <w:rsid w:val="00490B75"/>
    <w:rsid w:val="004916A2"/>
    <w:rsid w:val="00492327"/>
    <w:rsid w:val="00493588"/>
    <w:rsid w:val="00494001"/>
    <w:rsid w:val="004952F9"/>
    <w:rsid w:val="00495467"/>
    <w:rsid w:val="00496613"/>
    <w:rsid w:val="00496C03"/>
    <w:rsid w:val="00497509"/>
    <w:rsid w:val="004A093D"/>
    <w:rsid w:val="004A0FD8"/>
    <w:rsid w:val="004A29D7"/>
    <w:rsid w:val="004A3BF6"/>
    <w:rsid w:val="004A42CF"/>
    <w:rsid w:val="004A46C3"/>
    <w:rsid w:val="004A4FE8"/>
    <w:rsid w:val="004A5425"/>
    <w:rsid w:val="004B0952"/>
    <w:rsid w:val="004B0AFE"/>
    <w:rsid w:val="004B0CA8"/>
    <w:rsid w:val="004B1B63"/>
    <w:rsid w:val="004B1F9C"/>
    <w:rsid w:val="004B2179"/>
    <w:rsid w:val="004B49D9"/>
    <w:rsid w:val="004B4D34"/>
    <w:rsid w:val="004B5D06"/>
    <w:rsid w:val="004B6BDF"/>
    <w:rsid w:val="004B74DC"/>
    <w:rsid w:val="004B7975"/>
    <w:rsid w:val="004B79B7"/>
    <w:rsid w:val="004B7E2B"/>
    <w:rsid w:val="004C00B2"/>
    <w:rsid w:val="004C03DB"/>
    <w:rsid w:val="004C1759"/>
    <w:rsid w:val="004C3824"/>
    <w:rsid w:val="004C3F89"/>
    <w:rsid w:val="004C5162"/>
    <w:rsid w:val="004C5242"/>
    <w:rsid w:val="004C5288"/>
    <w:rsid w:val="004C5633"/>
    <w:rsid w:val="004C5C65"/>
    <w:rsid w:val="004C636C"/>
    <w:rsid w:val="004C7376"/>
    <w:rsid w:val="004D16F9"/>
    <w:rsid w:val="004D4786"/>
    <w:rsid w:val="004D5432"/>
    <w:rsid w:val="004D587D"/>
    <w:rsid w:val="004D6288"/>
    <w:rsid w:val="004D7EF2"/>
    <w:rsid w:val="004E0580"/>
    <w:rsid w:val="004E1132"/>
    <w:rsid w:val="004E1AB9"/>
    <w:rsid w:val="004E2611"/>
    <w:rsid w:val="004E3E47"/>
    <w:rsid w:val="004E477B"/>
    <w:rsid w:val="004E4EF4"/>
    <w:rsid w:val="004E5244"/>
    <w:rsid w:val="004E5486"/>
    <w:rsid w:val="004E70C8"/>
    <w:rsid w:val="004E757D"/>
    <w:rsid w:val="004E775F"/>
    <w:rsid w:val="004E7F6D"/>
    <w:rsid w:val="004F00DB"/>
    <w:rsid w:val="004F07EB"/>
    <w:rsid w:val="004F0C3C"/>
    <w:rsid w:val="004F1F03"/>
    <w:rsid w:val="004F2023"/>
    <w:rsid w:val="004F252F"/>
    <w:rsid w:val="004F60A3"/>
    <w:rsid w:val="004F6AB1"/>
    <w:rsid w:val="004F6D82"/>
    <w:rsid w:val="004F73A4"/>
    <w:rsid w:val="004F77FB"/>
    <w:rsid w:val="004F7B48"/>
    <w:rsid w:val="004F7C6E"/>
    <w:rsid w:val="00500012"/>
    <w:rsid w:val="00500970"/>
    <w:rsid w:val="005014AE"/>
    <w:rsid w:val="0050311C"/>
    <w:rsid w:val="00503389"/>
    <w:rsid w:val="00503998"/>
    <w:rsid w:val="00506222"/>
    <w:rsid w:val="0050625C"/>
    <w:rsid w:val="00506CBE"/>
    <w:rsid w:val="00507CC6"/>
    <w:rsid w:val="00507F68"/>
    <w:rsid w:val="00510A0A"/>
    <w:rsid w:val="00510C51"/>
    <w:rsid w:val="005112A7"/>
    <w:rsid w:val="005119F9"/>
    <w:rsid w:val="00511A82"/>
    <w:rsid w:val="00511C2A"/>
    <w:rsid w:val="00511D53"/>
    <w:rsid w:val="005128A2"/>
    <w:rsid w:val="00513544"/>
    <w:rsid w:val="00513668"/>
    <w:rsid w:val="00513779"/>
    <w:rsid w:val="00514961"/>
    <w:rsid w:val="00515177"/>
    <w:rsid w:val="005155AB"/>
    <w:rsid w:val="0051646C"/>
    <w:rsid w:val="005164B1"/>
    <w:rsid w:val="005168F5"/>
    <w:rsid w:val="00516B66"/>
    <w:rsid w:val="00517B8D"/>
    <w:rsid w:val="00517D15"/>
    <w:rsid w:val="00521277"/>
    <w:rsid w:val="005216EF"/>
    <w:rsid w:val="00522D20"/>
    <w:rsid w:val="00523EAD"/>
    <w:rsid w:val="00524B22"/>
    <w:rsid w:val="00524E51"/>
    <w:rsid w:val="0052547A"/>
    <w:rsid w:val="00525859"/>
    <w:rsid w:val="0052632E"/>
    <w:rsid w:val="00526628"/>
    <w:rsid w:val="00530AD0"/>
    <w:rsid w:val="00531955"/>
    <w:rsid w:val="00532BEA"/>
    <w:rsid w:val="00533913"/>
    <w:rsid w:val="00535019"/>
    <w:rsid w:val="00536555"/>
    <w:rsid w:val="00536556"/>
    <w:rsid w:val="00536F74"/>
    <w:rsid w:val="00537F95"/>
    <w:rsid w:val="00540216"/>
    <w:rsid w:val="00540D00"/>
    <w:rsid w:val="00541FD3"/>
    <w:rsid w:val="005426BA"/>
    <w:rsid w:val="005429C4"/>
    <w:rsid w:val="0054391A"/>
    <w:rsid w:val="00543BC5"/>
    <w:rsid w:val="00544B3D"/>
    <w:rsid w:val="00545CC1"/>
    <w:rsid w:val="00545F58"/>
    <w:rsid w:val="00547FDB"/>
    <w:rsid w:val="005508E5"/>
    <w:rsid w:val="00550953"/>
    <w:rsid w:val="005512B1"/>
    <w:rsid w:val="00551ADB"/>
    <w:rsid w:val="005522F2"/>
    <w:rsid w:val="00554972"/>
    <w:rsid w:val="0055537E"/>
    <w:rsid w:val="005606EA"/>
    <w:rsid w:val="00562543"/>
    <w:rsid w:val="00562EA4"/>
    <w:rsid w:val="00563400"/>
    <w:rsid w:val="0056436E"/>
    <w:rsid w:val="00564FDF"/>
    <w:rsid w:val="00565467"/>
    <w:rsid w:val="0056689E"/>
    <w:rsid w:val="005668C9"/>
    <w:rsid w:val="00567B6A"/>
    <w:rsid w:val="00567DFC"/>
    <w:rsid w:val="00570771"/>
    <w:rsid w:val="00570B84"/>
    <w:rsid w:val="005714EA"/>
    <w:rsid w:val="00571950"/>
    <w:rsid w:val="00571B15"/>
    <w:rsid w:val="00573254"/>
    <w:rsid w:val="00576DCC"/>
    <w:rsid w:val="00577171"/>
    <w:rsid w:val="00582674"/>
    <w:rsid w:val="00582792"/>
    <w:rsid w:val="00584E3C"/>
    <w:rsid w:val="0058581C"/>
    <w:rsid w:val="00585A31"/>
    <w:rsid w:val="0059165E"/>
    <w:rsid w:val="0059253B"/>
    <w:rsid w:val="005927F1"/>
    <w:rsid w:val="00592C94"/>
    <w:rsid w:val="00592F46"/>
    <w:rsid w:val="005933A5"/>
    <w:rsid w:val="00593B31"/>
    <w:rsid w:val="00594ED1"/>
    <w:rsid w:val="00595702"/>
    <w:rsid w:val="0059598D"/>
    <w:rsid w:val="00596134"/>
    <w:rsid w:val="00597DA8"/>
    <w:rsid w:val="00597EF3"/>
    <w:rsid w:val="005A0861"/>
    <w:rsid w:val="005A14D4"/>
    <w:rsid w:val="005A1888"/>
    <w:rsid w:val="005A18FD"/>
    <w:rsid w:val="005A1DD4"/>
    <w:rsid w:val="005A2160"/>
    <w:rsid w:val="005A2BAE"/>
    <w:rsid w:val="005A2D79"/>
    <w:rsid w:val="005A4501"/>
    <w:rsid w:val="005A4831"/>
    <w:rsid w:val="005A492D"/>
    <w:rsid w:val="005A4DA5"/>
    <w:rsid w:val="005A5DBC"/>
    <w:rsid w:val="005A60F1"/>
    <w:rsid w:val="005A6174"/>
    <w:rsid w:val="005A76F1"/>
    <w:rsid w:val="005B0475"/>
    <w:rsid w:val="005B0E76"/>
    <w:rsid w:val="005B0E80"/>
    <w:rsid w:val="005B2BD5"/>
    <w:rsid w:val="005B367F"/>
    <w:rsid w:val="005B42EF"/>
    <w:rsid w:val="005B43B0"/>
    <w:rsid w:val="005B509F"/>
    <w:rsid w:val="005B6247"/>
    <w:rsid w:val="005B7233"/>
    <w:rsid w:val="005B7C81"/>
    <w:rsid w:val="005B7E01"/>
    <w:rsid w:val="005B7FA2"/>
    <w:rsid w:val="005C00E8"/>
    <w:rsid w:val="005C066A"/>
    <w:rsid w:val="005C0D9F"/>
    <w:rsid w:val="005C0DA2"/>
    <w:rsid w:val="005C1076"/>
    <w:rsid w:val="005C131F"/>
    <w:rsid w:val="005C15E4"/>
    <w:rsid w:val="005C19DF"/>
    <w:rsid w:val="005C2CBA"/>
    <w:rsid w:val="005C34B6"/>
    <w:rsid w:val="005C368A"/>
    <w:rsid w:val="005C3A07"/>
    <w:rsid w:val="005C41A8"/>
    <w:rsid w:val="005C527E"/>
    <w:rsid w:val="005C5576"/>
    <w:rsid w:val="005C665F"/>
    <w:rsid w:val="005C7339"/>
    <w:rsid w:val="005D0196"/>
    <w:rsid w:val="005D09D0"/>
    <w:rsid w:val="005D0D4B"/>
    <w:rsid w:val="005D2A7D"/>
    <w:rsid w:val="005D31DE"/>
    <w:rsid w:val="005D376C"/>
    <w:rsid w:val="005D5651"/>
    <w:rsid w:val="005D5DF8"/>
    <w:rsid w:val="005D5E8B"/>
    <w:rsid w:val="005D746B"/>
    <w:rsid w:val="005E0224"/>
    <w:rsid w:val="005E10D8"/>
    <w:rsid w:val="005E1663"/>
    <w:rsid w:val="005E1C5D"/>
    <w:rsid w:val="005E257D"/>
    <w:rsid w:val="005E275F"/>
    <w:rsid w:val="005E42DD"/>
    <w:rsid w:val="005E56CC"/>
    <w:rsid w:val="005E5821"/>
    <w:rsid w:val="005E73CF"/>
    <w:rsid w:val="005E7FF6"/>
    <w:rsid w:val="005F089A"/>
    <w:rsid w:val="005F2200"/>
    <w:rsid w:val="005F2AF0"/>
    <w:rsid w:val="005F39F9"/>
    <w:rsid w:val="005F3A51"/>
    <w:rsid w:val="005F4750"/>
    <w:rsid w:val="005F566C"/>
    <w:rsid w:val="005F57C8"/>
    <w:rsid w:val="005F5AB2"/>
    <w:rsid w:val="005F5CCA"/>
    <w:rsid w:val="005F70F8"/>
    <w:rsid w:val="00600306"/>
    <w:rsid w:val="0060116F"/>
    <w:rsid w:val="0060247D"/>
    <w:rsid w:val="0060414D"/>
    <w:rsid w:val="00605C6F"/>
    <w:rsid w:val="00606841"/>
    <w:rsid w:val="00607462"/>
    <w:rsid w:val="00607872"/>
    <w:rsid w:val="00612A6B"/>
    <w:rsid w:val="00612F60"/>
    <w:rsid w:val="0061319F"/>
    <w:rsid w:val="00613279"/>
    <w:rsid w:val="0061340F"/>
    <w:rsid w:val="00613C66"/>
    <w:rsid w:val="006154FC"/>
    <w:rsid w:val="006165A4"/>
    <w:rsid w:val="006168C6"/>
    <w:rsid w:val="006205FE"/>
    <w:rsid w:val="006218BE"/>
    <w:rsid w:val="00621E3A"/>
    <w:rsid w:val="00621F3B"/>
    <w:rsid w:val="0062206F"/>
    <w:rsid w:val="00623AE9"/>
    <w:rsid w:val="0062686C"/>
    <w:rsid w:val="0062711C"/>
    <w:rsid w:val="00627754"/>
    <w:rsid w:val="00627BFF"/>
    <w:rsid w:val="006308BA"/>
    <w:rsid w:val="00631951"/>
    <w:rsid w:val="00631CFF"/>
    <w:rsid w:val="00631E81"/>
    <w:rsid w:val="00633E97"/>
    <w:rsid w:val="00633FC0"/>
    <w:rsid w:val="00635660"/>
    <w:rsid w:val="00636DDA"/>
    <w:rsid w:val="00641D17"/>
    <w:rsid w:val="00642048"/>
    <w:rsid w:val="0064399C"/>
    <w:rsid w:val="006453BC"/>
    <w:rsid w:val="006468E4"/>
    <w:rsid w:val="00646AE7"/>
    <w:rsid w:val="00647C98"/>
    <w:rsid w:val="00650261"/>
    <w:rsid w:val="0065067B"/>
    <w:rsid w:val="00650693"/>
    <w:rsid w:val="00650D88"/>
    <w:rsid w:val="0065169B"/>
    <w:rsid w:val="00651AFE"/>
    <w:rsid w:val="00652175"/>
    <w:rsid w:val="00652793"/>
    <w:rsid w:val="00653591"/>
    <w:rsid w:val="00653D29"/>
    <w:rsid w:val="0065531B"/>
    <w:rsid w:val="006565FC"/>
    <w:rsid w:val="006568FC"/>
    <w:rsid w:val="006573B8"/>
    <w:rsid w:val="00660F8B"/>
    <w:rsid w:val="00661712"/>
    <w:rsid w:val="00661BF6"/>
    <w:rsid w:val="00661FFA"/>
    <w:rsid w:val="006624C7"/>
    <w:rsid w:val="006637A4"/>
    <w:rsid w:val="006642B0"/>
    <w:rsid w:val="00664916"/>
    <w:rsid w:val="006651BA"/>
    <w:rsid w:val="00665243"/>
    <w:rsid w:val="00665BEE"/>
    <w:rsid w:val="00665D8D"/>
    <w:rsid w:val="0066732B"/>
    <w:rsid w:val="0067107B"/>
    <w:rsid w:val="00671104"/>
    <w:rsid w:val="00671AC0"/>
    <w:rsid w:val="006733B2"/>
    <w:rsid w:val="00674FC9"/>
    <w:rsid w:val="006765B8"/>
    <w:rsid w:val="00677029"/>
    <w:rsid w:val="00677452"/>
    <w:rsid w:val="0068223A"/>
    <w:rsid w:val="006824A0"/>
    <w:rsid w:val="0068288F"/>
    <w:rsid w:val="006849AA"/>
    <w:rsid w:val="006852D1"/>
    <w:rsid w:val="00686E6E"/>
    <w:rsid w:val="0068765F"/>
    <w:rsid w:val="00690C7D"/>
    <w:rsid w:val="00690DBC"/>
    <w:rsid w:val="0069146E"/>
    <w:rsid w:val="00692579"/>
    <w:rsid w:val="006955CE"/>
    <w:rsid w:val="00696A31"/>
    <w:rsid w:val="00697BD8"/>
    <w:rsid w:val="006A0C24"/>
    <w:rsid w:val="006A0FC2"/>
    <w:rsid w:val="006A2D0C"/>
    <w:rsid w:val="006A3775"/>
    <w:rsid w:val="006A3B2F"/>
    <w:rsid w:val="006A3F96"/>
    <w:rsid w:val="006A438B"/>
    <w:rsid w:val="006A4A47"/>
    <w:rsid w:val="006A58B2"/>
    <w:rsid w:val="006A5982"/>
    <w:rsid w:val="006A5FD3"/>
    <w:rsid w:val="006A6234"/>
    <w:rsid w:val="006A7A82"/>
    <w:rsid w:val="006B262D"/>
    <w:rsid w:val="006B46A4"/>
    <w:rsid w:val="006B4C9F"/>
    <w:rsid w:val="006B4FA6"/>
    <w:rsid w:val="006B6826"/>
    <w:rsid w:val="006B6AFA"/>
    <w:rsid w:val="006B769A"/>
    <w:rsid w:val="006C1245"/>
    <w:rsid w:val="006C1ACA"/>
    <w:rsid w:val="006C28C7"/>
    <w:rsid w:val="006C2C66"/>
    <w:rsid w:val="006C360E"/>
    <w:rsid w:val="006C36F9"/>
    <w:rsid w:val="006C402D"/>
    <w:rsid w:val="006C406C"/>
    <w:rsid w:val="006C4227"/>
    <w:rsid w:val="006C7587"/>
    <w:rsid w:val="006C78E9"/>
    <w:rsid w:val="006D09E4"/>
    <w:rsid w:val="006D0DDB"/>
    <w:rsid w:val="006D2ECF"/>
    <w:rsid w:val="006D5040"/>
    <w:rsid w:val="006D5BA8"/>
    <w:rsid w:val="006D5C2F"/>
    <w:rsid w:val="006D6650"/>
    <w:rsid w:val="006D705F"/>
    <w:rsid w:val="006D7339"/>
    <w:rsid w:val="006E10ED"/>
    <w:rsid w:val="006E283D"/>
    <w:rsid w:val="006E2D7A"/>
    <w:rsid w:val="006E33F0"/>
    <w:rsid w:val="006E364D"/>
    <w:rsid w:val="006E3F22"/>
    <w:rsid w:val="006E44AF"/>
    <w:rsid w:val="006E797C"/>
    <w:rsid w:val="006E7D3A"/>
    <w:rsid w:val="006E7F01"/>
    <w:rsid w:val="006F0A4A"/>
    <w:rsid w:val="006F6373"/>
    <w:rsid w:val="006F6645"/>
    <w:rsid w:val="006F6BD8"/>
    <w:rsid w:val="006F6F85"/>
    <w:rsid w:val="006F7E26"/>
    <w:rsid w:val="006F7EAA"/>
    <w:rsid w:val="007005DE"/>
    <w:rsid w:val="007006D5"/>
    <w:rsid w:val="00700F83"/>
    <w:rsid w:val="0070130D"/>
    <w:rsid w:val="00701C12"/>
    <w:rsid w:val="00703148"/>
    <w:rsid w:val="00704377"/>
    <w:rsid w:val="00704571"/>
    <w:rsid w:val="00704F63"/>
    <w:rsid w:val="00705392"/>
    <w:rsid w:val="007057E8"/>
    <w:rsid w:val="00706585"/>
    <w:rsid w:val="0071016B"/>
    <w:rsid w:val="00711087"/>
    <w:rsid w:val="00712527"/>
    <w:rsid w:val="00712DEC"/>
    <w:rsid w:val="00712F28"/>
    <w:rsid w:val="007132B4"/>
    <w:rsid w:val="00713A8C"/>
    <w:rsid w:val="00714DB8"/>
    <w:rsid w:val="0071550D"/>
    <w:rsid w:val="00715DCF"/>
    <w:rsid w:val="00716BDB"/>
    <w:rsid w:val="0071707F"/>
    <w:rsid w:val="007173A2"/>
    <w:rsid w:val="00717B69"/>
    <w:rsid w:val="00721272"/>
    <w:rsid w:val="00723E40"/>
    <w:rsid w:val="00724831"/>
    <w:rsid w:val="00725444"/>
    <w:rsid w:val="0072575E"/>
    <w:rsid w:val="00726C78"/>
    <w:rsid w:val="0072728F"/>
    <w:rsid w:val="0073015C"/>
    <w:rsid w:val="007304C1"/>
    <w:rsid w:val="00731A94"/>
    <w:rsid w:val="00732164"/>
    <w:rsid w:val="00732290"/>
    <w:rsid w:val="007328EE"/>
    <w:rsid w:val="00732B7D"/>
    <w:rsid w:val="00732DFB"/>
    <w:rsid w:val="0073398A"/>
    <w:rsid w:val="007352E2"/>
    <w:rsid w:val="00735431"/>
    <w:rsid w:val="00735A5C"/>
    <w:rsid w:val="0073615A"/>
    <w:rsid w:val="007371F0"/>
    <w:rsid w:val="00741691"/>
    <w:rsid w:val="00743467"/>
    <w:rsid w:val="00743490"/>
    <w:rsid w:val="007436BA"/>
    <w:rsid w:val="0074414A"/>
    <w:rsid w:val="0074418D"/>
    <w:rsid w:val="00744304"/>
    <w:rsid w:val="007452E5"/>
    <w:rsid w:val="00746039"/>
    <w:rsid w:val="0074648F"/>
    <w:rsid w:val="00746581"/>
    <w:rsid w:val="0074697A"/>
    <w:rsid w:val="00746AF7"/>
    <w:rsid w:val="00746FA8"/>
    <w:rsid w:val="0074764C"/>
    <w:rsid w:val="00750055"/>
    <w:rsid w:val="00751E92"/>
    <w:rsid w:val="0075554A"/>
    <w:rsid w:val="007577A4"/>
    <w:rsid w:val="0075795C"/>
    <w:rsid w:val="00757B20"/>
    <w:rsid w:val="00760BBF"/>
    <w:rsid w:val="00760D0F"/>
    <w:rsid w:val="007618C4"/>
    <w:rsid w:val="00761B0A"/>
    <w:rsid w:val="00761FD8"/>
    <w:rsid w:val="00764371"/>
    <w:rsid w:val="0076553D"/>
    <w:rsid w:val="00766667"/>
    <w:rsid w:val="007666B9"/>
    <w:rsid w:val="007671EB"/>
    <w:rsid w:val="007679F6"/>
    <w:rsid w:val="00767D9A"/>
    <w:rsid w:val="00770043"/>
    <w:rsid w:val="007704D1"/>
    <w:rsid w:val="00771F6A"/>
    <w:rsid w:val="00774DC1"/>
    <w:rsid w:val="00775A41"/>
    <w:rsid w:val="00777064"/>
    <w:rsid w:val="00777245"/>
    <w:rsid w:val="00777E90"/>
    <w:rsid w:val="007818E3"/>
    <w:rsid w:val="00782F40"/>
    <w:rsid w:val="00783FBE"/>
    <w:rsid w:val="00784030"/>
    <w:rsid w:val="007857B5"/>
    <w:rsid w:val="007859BA"/>
    <w:rsid w:val="00787349"/>
    <w:rsid w:val="00791FC7"/>
    <w:rsid w:val="00792349"/>
    <w:rsid w:val="0079265E"/>
    <w:rsid w:val="00793737"/>
    <w:rsid w:val="00793A7F"/>
    <w:rsid w:val="00793FC4"/>
    <w:rsid w:val="00795452"/>
    <w:rsid w:val="007961FC"/>
    <w:rsid w:val="00797173"/>
    <w:rsid w:val="007978D9"/>
    <w:rsid w:val="007A0213"/>
    <w:rsid w:val="007A049D"/>
    <w:rsid w:val="007A0861"/>
    <w:rsid w:val="007A137A"/>
    <w:rsid w:val="007A317D"/>
    <w:rsid w:val="007A4EAE"/>
    <w:rsid w:val="007A5767"/>
    <w:rsid w:val="007B0053"/>
    <w:rsid w:val="007B1E75"/>
    <w:rsid w:val="007B5E34"/>
    <w:rsid w:val="007B64CE"/>
    <w:rsid w:val="007C0A8B"/>
    <w:rsid w:val="007C1357"/>
    <w:rsid w:val="007C13AD"/>
    <w:rsid w:val="007C1EFE"/>
    <w:rsid w:val="007C23D1"/>
    <w:rsid w:val="007C27A2"/>
    <w:rsid w:val="007C33A9"/>
    <w:rsid w:val="007C377B"/>
    <w:rsid w:val="007C3CD4"/>
    <w:rsid w:val="007C458A"/>
    <w:rsid w:val="007C4BF1"/>
    <w:rsid w:val="007C5688"/>
    <w:rsid w:val="007C58EF"/>
    <w:rsid w:val="007C5983"/>
    <w:rsid w:val="007C6F35"/>
    <w:rsid w:val="007C7562"/>
    <w:rsid w:val="007D04ED"/>
    <w:rsid w:val="007D2238"/>
    <w:rsid w:val="007D54FC"/>
    <w:rsid w:val="007D7908"/>
    <w:rsid w:val="007D7A96"/>
    <w:rsid w:val="007E15AA"/>
    <w:rsid w:val="007E168F"/>
    <w:rsid w:val="007E2EC9"/>
    <w:rsid w:val="007E31CC"/>
    <w:rsid w:val="007E4321"/>
    <w:rsid w:val="007E4CD8"/>
    <w:rsid w:val="007E4D60"/>
    <w:rsid w:val="007E552F"/>
    <w:rsid w:val="007E5BBC"/>
    <w:rsid w:val="007E5C08"/>
    <w:rsid w:val="007E5F1B"/>
    <w:rsid w:val="007E6C28"/>
    <w:rsid w:val="007E7652"/>
    <w:rsid w:val="007F0074"/>
    <w:rsid w:val="007F031E"/>
    <w:rsid w:val="007F03B1"/>
    <w:rsid w:val="007F2E6A"/>
    <w:rsid w:val="007F3A09"/>
    <w:rsid w:val="007F4360"/>
    <w:rsid w:val="007F5193"/>
    <w:rsid w:val="007F562A"/>
    <w:rsid w:val="007F5FA2"/>
    <w:rsid w:val="007F7748"/>
    <w:rsid w:val="00800A55"/>
    <w:rsid w:val="00800EED"/>
    <w:rsid w:val="008015D8"/>
    <w:rsid w:val="00801994"/>
    <w:rsid w:val="00804F4B"/>
    <w:rsid w:val="008060E0"/>
    <w:rsid w:val="008060EB"/>
    <w:rsid w:val="0080735B"/>
    <w:rsid w:val="00810120"/>
    <w:rsid w:val="00810B29"/>
    <w:rsid w:val="0081212B"/>
    <w:rsid w:val="00812FF5"/>
    <w:rsid w:val="00813618"/>
    <w:rsid w:val="008143CB"/>
    <w:rsid w:val="008144F4"/>
    <w:rsid w:val="00814E3E"/>
    <w:rsid w:val="00814EEE"/>
    <w:rsid w:val="00815641"/>
    <w:rsid w:val="0081599F"/>
    <w:rsid w:val="00815A17"/>
    <w:rsid w:val="00815CC4"/>
    <w:rsid w:val="00817F79"/>
    <w:rsid w:val="00821062"/>
    <w:rsid w:val="008215CA"/>
    <w:rsid w:val="008224A8"/>
    <w:rsid w:val="008247A9"/>
    <w:rsid w:val="00824FE0"/>
    <w:rsid w:val="00825675"/>
    <w:rsid w:val="00825973"/>
    <w:rsid w:val="00825EC8"/>
    <w:rsid w:val="00827FE0"/>
    <w:rsid w:val="0083149B"/>
    <w:rsid w:val="00832091"/>
    <w:rsid w:val="00833C8D"/>
    <w:rsid w:val="00834279"/>
    <w:rsid w:val="008349A1"/>
    <w:rsid w:val="00834F57"/>
    <w:rsid w:val="00834F73"/>
    <w:rsid w:val="00835003"/>
    <w:rsid w:val="00835342"/>
    <w:rsid w:val="008353E2"/>
    <w:rsid w:val="00835617"/>
    <w:rsid w:val="00835786"/>
    <w:rsid w:val="0083619E"/>
    <w:rsid w:val="008372C0"/>
    <w:rsid w:val="0084059B"/>
    <w:rsid w:val="008414C5"/>
    <w:rsid w:val="0084280B"/>
    <w:rsid w:val="00843A24"/>
    <w:rsid w:val="00844216"/>
    <w:rsid w:val="0084534E"/>
    <w:rsid w:val="00846E17"/>
    <w:rsid w:val="00851B3F"/>
    <w:rsid w:val="00852994"/>
    <w:rsid w:val="0085299C"/>
    <w:rsid w:val="008533A2"/>
    <w:rsid w:val="00855049"/>
    <w:rsid w:val="008551B7"/>
    <w:rsid w:val="00855CEB"/>
    <w:rsid w:val="00856389"/>
    <w:rsid w:val="00856C81"/>
    <w:rsid w:val="00856DB6"/>
    <w:rsid w:val="00856FC4"/>
    <w:rsid w:val="008610F3"/>
    <w:rsid w:val="008631C2"/>
    <w:rsid w:val="008635D0"/>
    <w:rsid w:val="00863A7C"/>
    <w:rsid w:val="00863BC1"/>
    <w:rsid w:val="00865834"/>
    <w:rsid w:val="008666FB"/>
    <w:rsid w:val="00866E88"/>
    <w:rsid w:val="00870418"/>
    <w:rsid w:val="0087062B"/>
    <w:rsid w:val="00873548"/>
    <w:rsid w:val="008736EC"/>
    <w:rsid w:val="00874242"/>
    <w:rsid w:val="00874851"/>
    <w:rsid w:val="00874E60"/>
    <w:rsid w:val="00877E53"/>
    <w:rsid w:val="00880088"/>
    <w:rsid w:val="0088033B"/>
    <w:rsid w:val="0088081C"/>
    <w:rsid w:val="00880D4B"/>
    <w:rsid w:val="008813AD"/>
    <w:rsid w:val="00881CB1"/>
    <w:rsid w:val="00881FCF"/>
    <w:rsid w:val="00882540"/>
    <w:rsid w:val="00882FE7"/>
    <w:rsid w:val="00884F3A"/>
    <w:rsid w:val="00884F84"/>
    <w:rsid w:val="00885DC4"/>
    <w:rsid w:val="00886477"/>
    <w:rsid w:val="0088713C"/>
    <w:rsid w:val="00890BF5"/>
    <w:rsid w:val="0089191C"/>
    <w:rsid w:val="00892CB7"/>
    <w:rsid w:val="00892D14"/>
    <w:rsid w:val="008931F1"/>
    <w:rsid w:val="00893263"/>
    <w:rsid w:val="00893AF8"/>
    <w:rsid w:val="00895197"/>
    <w:rsid w:val="0089632C"/>
    <w:rsid w:val="008976A1"/>
    <w:rsid w:val="008A1EE3"/>
    <w:rsid w:val="008A27CB"/>
    <w:rsid w:val="008A3949"/>
    <w:rsid w:val="008A467B"/>
    <w:rsid w:val="008A56CE"/>
    <w:rsid w:val="008A57B2"/>
    <w:rsid w:val="008A5BB4"/>
    <w:rsid w:val="008A5CE9"/>
    <w:rsid w:val="008A6D0D"/>
    <w:rsid w:val="008A7188"/>
    <w:rsid w:val="008B0603"/>
    <w:rsid w:val="008B17E8"/>
    <w:rsid w:val="008B2868"/>
    <w:rsid w:val="008B30A3"/>
    <w:rsid w:val="008B3804"/>
    <w:rsid w:val="008B3DAC"/>
    <w:rsid w:val="008B4CB0"/>
    <w:rsid w:val="008B4D9E"/>
    <w:rsid w:val="008B5674"/>
    <w:rsid w:val="008B77DE"/>
    <w:rsid w:val="008C04C7"/>
    <w:rsid w:val="008C1121"/>
    <w:rsid w:val="008C14DB"/>
    <w:rsid w:val="008C1B7B"/>
    <w:rsid w:val="008C22D6"/>
    <w:rsid w:val="008C4010"/>
    <w:rsid w:val="008C5565"/>
    <w:rsid w:val="008C742D"/>
    <w:rsid w:val="008C761C"/>
    <w:rsid w:val="008D0793"/>
    <w:rsid w:val="008D13FE"/>
    <w:rsid w:val="008D14A6"/>
    <w:rsid w:val="008D1E00"/>
    <w:rsid w:val="008D2C16"/>
    <w:rsid w:val="008D4C82"/>
    <w:rsid w:val="008D4F8C"/>
    <w:rsid w:val="008D54E1"/>
    <w:rsid w:val="008D56CF"/>
    <w:rsid w:val="008D6142"/>
    <w:rsid w:val="008D6D4C"/>
    <w:rsid w:val="008D6FE5"/>
    <w:rsid w:val="008E0CE8"/>
    <w:rsid w:val="008E14D4"/>
    <w:rsid w:val="008E178F"/>
    <w:rsid w:val="008E2544"/>
    <w:rsid w:val="008E31AA"/>
    <w:rsid w:val="008E4049"/>
    <w:rsid w:val="008E53E7"/>
    <w:rsid w:val="008E55E2"/>
    <w:rsid w:val="008E5DDE"/>
    <w:rsid w:val="008F08A5"/>
    <w:rsid w:val="008F0A35"/>
    <w:rsid w:val="008F1A1D"/>
    <w:rsid w:val="008F275C"/>
    <w:rsid w:val="008F39DB"/>
    <w:rsid w:val="008F3AA1"/>
    <w:rsid w:val="008F3EEF"/>
    <w:rsid w:val="008F44DC"/>
    <w:rsid w:val="008F46F6"/>
    <w:rsid w:val="008F4B51"/>
    <w:rsid w:val="008F4C2B"/>
    <w:rsid w:val="008F6633"/>
    <w:rsid w:val="008F7D82"/>
    <w:rsid w:val="00900FB7"/>
    <w:rsid w:val="009025AC"/>
    <w:rsid w:val="009055D7"/>
    <w:rsid w:val="00906CB8"/>
    <w:rsid w:val="009075B3"/>
    <w:rsid w:val="009077ED"/>
    <w:rsid w:val="0091348D"/>
    <w:rsid w:val="00913713"/>
    <w:rsid w:val="00915C64"/>
    <w:rsid w:val="009165E4"/>
    <w:rsid w:val="00916806"/>
    <w:rsid w:val="0091683F"/>
    <w:rsid w:val="00916F28"/>
    <w:rsid w:val="00917A20"/>
    <w:rsid w:val="00923E68"/>
    <w:rsid w:val="009253D1"/>
    <w:rsid w:val="00925EA4"/>
    <w:rsid w:val="0092680A"/>
    <w:rsid w:val="0092713C"/>
    <w:rsid w:val="00930045"/>
    <w:rsid w:val="00930E9F"/>
    <w:rsid w:val="00931CFD"/>
    <w:rsid w:val="00932264"/>
    <w:rsid w:val="00934924"/>
    <w:rsid w:val="00934B38"/>
    <w:rsid w:val="00935019"/>
    <w:rsid w:val="00935403"/>
    <w:rsid w:val="0093633A"/>
    <w:rsid w:val="009368B9"/>
    <w:rsid w:val="00941424"/>
    <w:rsid w:val="00941DC5"/>
    <w:rsid w:val="0094217C"/>
    <w:rsid w:val="009433C9"/>
    <w:rsid w:val="00943693"/>
    <w:rsid w:val="00945CE5"/>
    <w:rsid w:val="00946C4F"/>
    <w:rsid w:val="00946EED"/>
    <w:rsid w:val="00947F56"/>
    <w:rsid w:val="009502B7"/>
    <w:rsid w:val="00950A77"/>
    <w:rsid w:val="009511CE"/>
    <w:rsid w:val="00951D8F"/>
    <w:rsid w:val="00952B6E"/>
    <w:rsid w:val="00953604"/>
    <w:rsid w:val="0095378A"/>
    <w:rsid w:val="00953820"/>
    <w:rsid w:val="009538C4"/>
    <w:rsid w:val="00954F03"/>
    <w:rsid w:val="009552FB"/>
    <w:rsid w:val="00955D21"/>
    <w:rsid w:val="009565E0"/>
    <w:rsid w:val="009568DE"/>
    <w:rsid w:val="00957F6B"/>
    <w:rsid w:val="0096054F"/>
    <w:rsid w:val="00961293"/>
    <w:rsid w:val="009621A8"/>
    <w:rsid w:val="00963168"/>
    <w:rsid w:val="00963528"/>
    <w:rsid w:val="00963AD8"/>
    <w:rsid w:val="00965490"/>
    <w:rsid w:val="00965798"/>
    <w:rsid w:val="00965CA6"/>
    <w:rsid w:val="00966600"/>
    <w:rsid w:val="0096692C"/>
    <w:rsid w:val="00966DEE"/>
    <w:rsid w:val="00967746"/>
    <w:rsid w:val="009679AA"/>
    <w:rsid w:val="0097018C"/>
    <w:rsid w:val="00971781"/>
    <w:rsid w:val="009718EC"/>
    <w:rsid w:val="0097423C"/>
    <w:rsid w:val="00974414"/>
    <w:rsid w:val="00974444"/>
    <w:rsid w:val="009755B3"/>
    <w:rsid w:val="00976314"/>
    <w:rsid w:val="00977912"/>
    <w:rsid w:val="009779D8"/>
    <w:rsid w:val="00981107"/>
    <w:rsid w:val="00981D4A"/>
    <w:rsid w:val="00982621"/>
    <w:rsid w:val="00982822"/>
    <w:rsid w:val="009841D9"/>
    <w:rsid w:val="00984A93"/>
    <w:rsid w:val="00985166"/>
    <w:rsid w:val="009869AA"/>
    <w:rsid w:val="00990ECB"/>
    <w:rsid w:val="00992123"/>
    <w:rsid w:val="00992EB1"/>
    <w:rsid w:val="009930D1"/>
    <w:rsid w:val="0099310E"/>
    <w:rsid w:val="00993BC1"/>
    <w:rsid w:val="0099518F"/>
    <w:rsid w:val="00995C4A"/>
    <w:rsid w:val="00996A99"/>
    <w:rsid w:val="00996DD1"/>
    <w:rsid w:val="00996DEA"/>
    <w:rsid w:val="00997645"/>
    <w:rsid w:val="009A094C"/>
    <w:rsid w:val="009A2C40"/>
    <w:rsid w:val="009A3259"/>
    <w:rsid w:val="009A50B1"/>
    <w:rsid w:val="009A6C39"/>
    <w:rsid w:val="009A6F8E"/>
    <w:rsid w:val="009B0A48"/>
    <w:rsid w:val="009B2744"/>
    <w:rsid w:val="009B453A"/>
    <w:rsid w:val="009B639B"/>
    <w:rsid w:val="009B6E56"/>
    <w:rsid w:val="009B72DA"/>
    <w:rsid w:val="009C22CB"/>
    <w:rsid w:val="009C264D"/>
    <w:rsid w:val="009C3BBE"/>
    <w:rsid w:val="009C3C06"/>
    <w:rsid w:val="009C41F4"/>
    <w:rsid w:val="009C4D5A"/>
    <w:rsid w:val="009C5382"/>
    <w:rsid w:val="009C5D54"/>
    <w:rsid w:val="009C7668"/>
    <w:rsid w:val="009D108D"/>
    <w:rsid w:val="009D24A9"/>
    <w:rsid w:val="009D2638"/>
    <w:rsid w:val="009D2CF2"/>
    <w:rsid w:val="009D2ECD"/>
    <w:rsid w:val="009D3A50"/>
    <w:rsid w:val="009D4387"/>
    <w:rsid w:val="009D5C3F"/>
    <w:rsid w:val="009D6A8A"/>
    <w:rsid w:val="009D6DAD"/>
    <w:rsid w:val="009D7A98"/>
    <w:rsid w:val="009E0DB7"/>
    <w:rsid w:val="009E3BE0"/>
    <w:rsid w:val="009E3EE3"/>
    <w:rsid w:val="009E4854"/>
    <w:rsid w:val="009E4E08"/>
    <w:rsid w:val="009E5459"/>
    <w:rsid w:val="009F0652"/>
    <w:rsid w:val="009F06F1"/>
    <w:rsid w:val="009F1BAA"/>
    <w:rsid w:val="009F1FE6"/>
    <w:rsid w:val="009F4747"/>
    <w:rsid w:val="009F4901"/>
    <w:rsid w:val="009F4B5A"/>
    <w:rsid w:val="009F5BD3"/>
    <w:rsid w:val="009F60D2"/>
    <w:rsid w:val="009F684B"/>
    <w:rsid w:val="009F6B03"/>
    <w:rsid w:val="00A001D1"/>
    <w:rsid w:val="00A006E1"/>
    <w:rsid w:val="00A0203B"/>
    <w:rsid w:val="00A02164"/>
    <w:rsid w:val="00A021C9"/>
    <w:rsid w:val="00A044B8"/>
    <w:rsid w:val="00A04868"/>
    <w:rsid w:val="00A05F76"/>
    <w:rsid w:val="00A0789F"/>
    <w:rsid w:val="00A07A07"/>
    <w:rsid w:val="00A07E2F"/>
    <w:rsid w:val="00A1230B"/>
    <w:rsid w:val="00A12F03"/>
    <w:rsid w:val="00A130AE"/>
    <w:rsid w:val="00A13A3F"/>
    <w:rsid w:val="00A1426D"/>
    <w:rsid w:val="00A14FEB"/>
    <w:rsid w:val="00A16928"/>
    <w:rsid w:val="00A16A3A"/>
    <w:rsid w:val="00A20494"/>
    <w:rsid w:val="00A20969"/>
    <w:rsid w:val="00A20D13"/>
    <w:rsid w:val="00A21174"/>
    <w:rsid w:val="00A21604"/>
    <w:rsid w:val="00A21DD9"/>
    <w:rsid w:val="00A22432"/>
    <w:rsid w:val="00A228DC"/>
    <w:rsid w:val="00A22C23"/>
    <w:rsid w:val="00A22CF3"/>
    <w:rsid w:val="00A2455E"/>
    <w:rsid w:val="00A24D62"/>
    <w:rsid w:val="00A32319"/>
    <w:rsid w:val="00A328BF"/>
    <w:rsid w:val="00A336F6"/>
    <w:rsid w:val="00A33D33"/>
    <w:rsid w:val="00A33F75"/>
    <w:rsid w:val="00A34A32"/>
    <w:rsid w:val="00A34DC7"/>
    <w:rsid w:val="00A3608D"/>
    <w:rsid w:val="00A36110"/>
    <w:rsid w:val="00A36719"/>
    <w:rsid w:val="00A42032"/>
    <w:rsid w:val="00A426D9"/>
    <w:rsid w:val="00A427EE"/>
    <w:rsid w:val="00A46903"/>
    <w:rsid w:val="00A47357"/>
    <w:rsid w:val="00A47CDA"/>
    <w:rsid w:val="00A52C1B"/>
    <w:rsid w:val="00A53399"/>
    <w:rsid w:val="00A5376B"/>
    <w:rsid w:val="00A54672"/>
    <w:rsid w:val="00A57B89"/>
    <w:rsid w:val="00A57D9C"/>
    <w:rsid w:val="00A603DF"/>
    <w:rsid w:val="00A60637"/>
    <w:rsid w:val="00A62C5F"/>
    <w:rsid w:val="00A62FE9"/>
    <w:rsid w:val="00A63FF9"/>
    <w:rsid w:val="00A641AD"/>
    <w:rsid w:val="00A66810"/>
    <w:rsid w:val="00A6782A"/>
    <w:rsid w:val="00A70017"/>
    <w:rsid w:val="00A706DB"/>
    <w:rsid w:val="00A71AD6"/>
    <w:rsid w:val="00A7363A"/>
    <w:rsid w:val="00A73EAD"/>
    <w:rsid w:val="00A74EA5"/>
    <w:rsid w:val="00A754A4"/>
    <w:rsid w:val="00A754F0"/>
    <w:rsid w:val="00A75E8F"/>
    <w:rsid w:val="00A76421"/>
    <w:rsid w:val="00A76CE7"/>
    <w:rsid w:val="00A77042"/>
    <w:rsid w:val="00A8076A"/>
    <w:rsid w:val="00A82F9A"/>
    <w:rsid w:val="00A855F4"/>
    <w:rsid w:val="00A857AD"/>
    <w:rsid w:val="00A86C42"/>
    <w:rsid w:val="00A86CF7"/>
    <w:rsid w:val="00A86FC4"/>
    <w:rsid w:val="00A87168"/>
    <w:rsid w:val="00A87499"/>
    <w:rsid w:val="00A8772F"/>
    <w:rsid w:val="00A90BFC"/>
    <w:rsid w:val="00A928AC"/>
    <w:rsid w:val="00A933C4"/>
    <w:rsid w:val="00A93E19"/>
    <w:rsid w:val="00A93F33"/>
    <w:rsid w:val="00A952AB"/>
    <w:rsid w:val="00A9574B"/>
    <w:rsid w:val="00A959DA"/>
    <w:rsid w:val="00A96618"/>
    <w:rsid w:val="00AA0F30"/>
    <w:rsid w:val="00AA17C5"/>
    <w:rsid w:val="00AA3474"/>
    <w:rsid w:val="00AA3A1C"/>
    <w:rsid w:val="00AA3C9D"/>
    <w:rsid w:val="00AA4160"/>
    <w:rsid w:val="00AA5480"/>
    <w:rsid w:val="00AA5C15"/>
    <w:rsid w:val="00AA67D5"/>
    <w:rsid w:val="00AA74E3"/>
    <w:rsid w:val="00AA79A5"/>
    <w:rsid w:val="00AA7ACD"/>
    <w:rsid w:val="00AA7BB9"/>
    <w:rsid w:val="00AB0C9C"/>
    <w:rsid w:val="00AB119D"/>
    <w:rsid w:val="00AB1672"/>
    <w:rsid w:val="00AB207D"/>
    <w:rsid w:val="00AB5641"/>
    <w:rsid w:val="00AB5AC6"/>
    <w:rsid w:val="00AB7370"/>
    <w:rsid w:val="00AC04B0"/>
    <w:rsid w:val="00AC11EB"/>
    <w:rsid w:val="00AC2072"/>
    <w:rsid w:val="00AC2E04"/>
    <w:rsid w:val="00AC3D01"/>
    <w:rsid w:val="00AC4801"/>
    <w:rsid w:val="00AC4F56"/>
    <w:rsid w:val="00AC78E1"/>
    <w:rsid w:val="00AC7BC5"/>
    <w:rsid w:val="00AD0056"/>
    <w:rsid w:val="00AD03B2"/>
    <w:rsid w:val="00AD164E"/>
    <w:rsid w:val="00AD1A9B"/>
    <w:rsid w:val="00AD1D1D"/>
    <w:rsid w:val="00AD3B6E"/>
    <w:rsid w:val="00AD3DA6"/>
    <w:rsid w:val="00AD5884"/>
    <w:rsid w:val="00AD6D65"/>
    <w:rsid w:val="00AD71AC"/>
    <w:rsid w:val="00AE06D9"/>
    <w:rsid w:val="00AE1611"/>
    <w:rsid w:val="00AE217B"/>
    <w:rsid w:val="00AE2513"/>
    <w:rsid w:val="00AE318C"/>
    <w:rsid w:val="00AE3A79"/>
    <w:rsid w:val="00AE5630"/>
    <w:rsid w:val="00AE6399"/>
    <w:rsid w:val="00AE72B3"/>
    <w:rsid w:val="00AE772E"/>
    <w:rsid w:val="00AF002A"/>
    <w:rsid w:val="00AF1123"/>
    <w:rsid w:val="00AF1897"/>
    <w:rsid w:val="00AF28DE"/>
    <w:rsid w:val="00AF3BD2"/>
    <w:rsid w:val="00AF42AC"/>
    <w:rsid w:val="00AF4901"/>
    <w:rsid w:val="00AF57A0"/>
    <w:rsid w:val="00AF5C47"/>
    <w:rsid w:val="00AF7701"/>
    <w:rsid w:val="00B0052E"/>
    <w:rsid w:val="00B00C52"/>
    <w:rsid w:val="00B011C5"/>
    <w:rsid w:val="00B020E7"/>
    <w:rsid w:val="00B022F4"/>
    <w:rsid w:val="00B023A2"/>
    <w:rsid w:val="00B02C07"/>
    <w:rsid w:val="00B02F12"/>
    <w:rsid w:val="00B05579"/>
    <w:rsid w:val="00B057B3"/>
    <w:rsid w:val="00B06D76"/>
    <w:rsid w:val="00B122DC"/>
    <w:rsid w:val="00B12375"/>
    <w:rsid w:val="00B14286"/>
    <w:rsid w:val="00B14CAC"/>
    <w:rsid w:val="00B22919"/>
    <w:rsid w:val="00B23EE7"/>
    <w:rsid w:val="00B2463F"/>
    <w:rsid w:val="00B25520"/>
    <w:rsid w:val="00B257B7"/>
    <w:rsid w:val="00B26356"/>
    <w:rsid w:val="00B26530"/>
    <w:rsid w:val="00B27223"/>
    <w:rsid w:val="00B309A0"/>
    <w:rsid w:val="00B31527"/>
    <w:rsid w:val="00B32F71"/>
    <w:rsid w:val="00B3364D"/>
    <w:rsid w:val="00B34222"/>
    <w:rsid w:val="00B344BB"/>
    <w:rsid w:val="00B374BC"/>
    <w:rsid w:val="00B40776"/>
    <w:rsid w:val="00B40DB1"/>
    <w:rsid w:val="00B41595"/>
    <w:rsid w:val="00B41C76"/>
    <w:rsid w:val="00B423EF"/>
    <w:rsid w:val="00B43293"/>
    <w:rsid w:val="00B43B09"/>
    <w:rsid w:val="00B44873"/>
    <w:rsid w:val="00B45FFD"/>
    <w:rsid w:val="00B46595"/>
    <w:rsid w:val="00B475D9"/>
    <w:rsid w:val="00B47E23"/>
    <w:rsid w:val="00B5095C"/>
    <w:rsid w:val="00B50DFB"/>
    <w:rsid w:val="00B5131B"/>
    <w:rsid w:val="00B5174F"/>
    <w:rsid w:val="00B5207C"/>
    <w:rsid w:val="00B52470"/>
    <w:rsid w:val="00B52643"/>
    <w:rsid w:val="00B52CB7"/>
    <w:rsid w:val="00B533DC"/>
    <w:rsid w:val="00B5356D"/>
    <w:rsid w:val="00B53955"/>
    <w:rsid w:val="00B53F17"/>
    <w:rsid w:val="00B54CA5"/>
    <w:rsid w:val="00B55C28"/>
    <w:rsid w:val="00B5614B"/>
    <w:rsid w:val="00B60DF9"/>
    <w:rsid w:val="00B611A9"/>
    <w:rsid w:val="00B61302"/>
    <w:rsid w:val="00B61466"/>
    <w:rsid w:val="00B616E3"/>
    <w:rsid w:val="00B61C2C"/>
    <w:rsid w:val="00B6266E"/>
    <w:rsid w:val="00B62AC2"/>
    <w:rsid w:val="00B62C6D"/>
    <w:rsid w:val="00B6405D"/>
    <w:rsid w:val="00B6458C"/>
    <w:rsid w:val="00B64C5B"/>
    <w:rsid w:val="00B64E93"/>
    <w:rsid w:val="00B64EF9"/>
    <w:rsid w:val="00B664A8"/>
    <w:rsid w:val="00B668E9"/>
    <w:rsid w:val="00B67744"/>
    <w:rsid w:val="00B70F14"/>
    <w:rsid w:val="00B710E5"/>
    <w:rsid w:val="00B71D9B"/>
    <w:rsid w:val="00B71E28"/>
    <w:rsid w:val="00B71FFE"/>
    <w:rsid w:val="00B72C4E"/>
    <w:rsid w:val="00B72CE5"/>
    <w:rsid w:val="00B77002"/>
    <w:rsid w:val="00B779CF"/>
    <w:rsid w:val="00B80007"/>
    <w:rsid w:val="00B81D49"/>
    <w:rsid w:val="00B82C51"/>
    <w:rsid w:val="00B833F6"/>
    <w:rsid w:val="00B83484"/>
    <w:rsid w:val="00B844DF"/>
    <w:rsid w:val="00B84A39"/>
    <w:rsid w:val="00B86761"/>
    <w:rsid w:val="00B87890"/>
    <w:rsid w:val="00B87DA4"/>
    <w:rsid w:val="00B90402"/>
    <w:rsid w:val="00B9088C"/>
    <w:rsid w:val="00B9118D"/>
    <w:rsid w:val="00B9288C"/>
    <w:rsid w:val="00B93ED5"/>
    <w:rsid w:val="00B94F87"/>
    <w:rsid w:val="00B97321"/>
    <w:rsid w:val="00B9770B"/>
    <w:rsid w:val="00B97ADA"/>
    <w:rsid w:val="00BA0CAC"/>
    <w:rsid w:val="00BA0E8E"/>
    <w:rsid w:val="00BA1D88"/>
    <w:rsid w:val="00BA2E0E"/>
    <w:rsid w:val="00BA2E1A"/>
    <w:rsid w:val="00BA3CAC"/>
    <w:rsid w:val="00BA47C7"/>
    <w:rsid w:val="00BA4983"/>
    <w:rsid w:val="00BA73AE"/>
    <w:rsid w:val="00BA74D2"/>
    <w:rsid w:val="00BA752F"/>
    <w:rsid w:val="00BA79A0"/>
    <w:rsid w:val="00BA7FDD"/>
    <w:rsid w:val="00BB01DE"/>
    <w:rsid w:val="00BB3C2C"/>
    <w:rsid w:val="00BB406D"/>
    <w:rsid w:val="00BB406F"/>
    <w:rsid w:val="00BB4887"/>
    <w:rsid w:val="00BB687C"/>
    <w:rsid w:val="00BB6B87"/>
    <w:rsid w:val="00BB6CAE"/>
    <w:rsid w:val="00BB73DC"/>
    <w:rsid w:val="00BB79F8"/>
    <w:rsid w:val="00BC0C3C"/>
    <w:rsid w:val="00BC0EA3"/>
    <w:rsid w:val="00BC11B8"/>
    <w:rsid w:val="00BC161D"/>
    <w:rsid w:val="00BC1B25"/>
    <w:rsid w:val="00BC229B"/>
    <w:rsid w:val="00BC3554"/>
    <w:rsid w:val="00BC3689"/>
    <w:rsid w:val="00BC65AE"/>
    <w:rsid w:val="00BC6A04"/>
    <w:rsid w:val="00BC6FBE"/>
    <w:rsid w:val="00BC71AF"/>
    <w:rsid w:val="00BD01E5"/>
    <w:rsid w:val="00BD0FF9"/>
    <w:rsid w:val="00BD16ED"/>
    <w:rsid w:val="00BD3852"/>
    <w:rsid w:val="00BD453C"/>
    <w:rsid w:val="00BD4800"/>
    <w:rsid w:val="00BD484A"/>
    <w:rsid w:val="00BD491E"/>
    <w:rsid w:val="00BD6409"/>
    <w:rsid w:val="00BD70B0"/>
    <w:rsid w:val="00BD7731"/>
    <w:rsid w:val="00BD7812"/>
    <w:rsid w:val="00BD79FE"/>
    <w:rsid w:val="00BE0704"/>
    <w:rsid w:val="00BE0C50"/>
    <w:rsid w:val="00BE1FFE"/>
    <w:rsid w:val="00BE28D8"/>
    <w:rsid w:val="00BE35AE"/>
    <w:rsid w:val="00BE400C"/>
    <w:rsid w:val="00BE41C3"/>
    <w:rsid w:val="00BE4B93"/>
    <w:rsid w:val="00BE4BA1"/>
    <w:rsid w:val="00BE519C"/>
    <w:rsid w:val="00BE5783"/>
    <w:rsid w:val="00BE593A"/>
    <w:rsid w:val="00BE5DC3"/>
    <w:rsid w:val="00BE61D4"/>
    <w:rsid w:val="00BE66C8"/>
    <w:rsid w:val="00BE6C64"/>
    <w:rsid w:val="00BE736B"/>
    <w:rsid w:val="00BE7745"/>
    <w:rsid w:val="00BE7A05"/>
    <w:rsid w:val="00BE7D51"/>
    <w:rsid w:val="00BF053C"/>
    <w:rsid w:val="00BF0A43"/>
    <w:rsid w:val="00BF0E8A"/>
    <w:rsid w:val="00BF2F0F"/>
    <w:rsid w:val="00BF4A44"/>
    <w:rsid w:val="00BF5DBF"/>
    <w:rsid w:val="00BF600C"/>
    <w:rsid w:val="00BF6192"/>
    <w:rsid w:val="00BF76DD"/>
    <w:rsid w:val="00BF76F8"/>
    <w:rsid w:val="00BF788E"/>
    <w:rsid w:val="00C0011E"/>
    <w:rsid w:val="00C00567"/>
    <w:rsid w:val="00C00BA8"/>
    <w:rsid w:val="00C00F6A"/>
    <w:rsid w:val="00C01765"/>
    <w:rsid w:val="00C017F9"/>
    <w:rsid w:val="00C0185F"/>
    <w:rsid w:val="00C01C8E"/>
    <w:rsid w:val="00C0386D"/>
    <w:rsid w:val="00C03A77"/>
    <w:rsid w:val="00C0567A"/>
    <w:rsid w:val="00C05B0D"/>
    <w:rsid w:val="00C06219"/>
    <w:rsid w:val="00C06304"/>
    <w:rsid w:val="00C102F3"/>
    <w:rsid w:val="00C1039B"/>
    <w:rsid w:val="00C1108C"/>
    <w:rsid w:val="00C11B21"/>
    <w:rsid w:val="00C13729"/>
    <w:rsid w:val="00C14B0B"/>
    <w:rsid w:val="00C14DE9"/>
    <w:rsid w:val="00C1531E"/>
    <w:rsid w:val="00C16D59"/>
    <w:rsid w:val="00C173DB"/>
    <w:rsid w:val="00C178E1"/>
    <w:rsid w:val="00C21BE7"/>
    <w:rsid w:val="00C225EC"/>
    <w:rsid w:val="00C228F5"/>
    <w:rsid w:val="00C244F8"/>
    <w:rsid w:val="00C25938"/>
    <w:rsid w:val="00C26145"/>
    <w:rsid w:val="00C26F8B"/>
    <w:rsid w:val="00C271D7"/>
    <w:rsid w:val="00C27C0E"/>
    <w:rsid w:val="00C305E7"/>
    <w:rsid w:val="00C30E6F"/>
    <w:rsid w:val="00C31AC5"/>
    <w:rsid w:val="00C3235C"/>
    <w:rsid w:val="00C324C6"/>
    <w:rsid w:val="00C32C04"/>
    <w:rsid w:val="00C332D9"/>
    <w:rsid w:val="00C357EB"/>
    <w:rsid w:val="00C362FA"/>
    <w:rsid w:val="00C36DA9"/>
    <w:rsid w:val="00C37848"/>
    <w:rsid w:val="00C419E7"/>
    <w:rsid w:val="00C4321A"/>
    <w:rsid w:val="00C440A5"/>
    <w:rsid w:val="00C44774"/>
    <w:rsid w:val="00C46A3D"/>
    <w:rsid w:val="00C46F36"/>
    <w:rsid w:val="00C47AC3"/>
    <w:rsid w:val="00C505B2"/>
    <w:rsid w:val="00C5105C"/>
    <w:rsid w:val="00C514CD"/>
    <w:rsid w:val="00C518E5"/>
    <w:rsid w:val="00C5251F"/>
    <w:rsid w:val="00C525DE"/>
    <w:rsid w:val="00C53E59"/>
    <w:rsid w:val="00C54457"/>
    <w:rsid w:val="00C5576A"/>
    <w:rsid w:val="00C56696"/>
    <w:rsid w:val="00C56B9D"/>
    <w:rsid w:val="00C60525"/>
    <w:rsid w:val="00C62CC1"/>
    <w:rsid w:val="00C67DE0"/>
    <w:rsid w:val="00C705F3"/>
    <w:rsid w:val="00C743BC"/>
    <w:rsid w:val="00C755A4"/>
    <w:rsid w:val="00C7590E"/>
    <w:rsid w:val="00C76C79"/>
    <w:rsid w:val="00C774B1"/>
    <w:rsid w:val="00C801EA"/>
    <w:rsid w:val="00C81B7C"/>
    <w:rsid w:val="00C81D6F"/>
    <w:rsid w:val="00C8206E"/>
    <w:rsid w:val="00C82078"/>
    <w:rsid w:val="00C824BC"/>
    <w:rsid w:val="00C82F4A"/>
    <w:rsid w:val="00C830DA"/>
    <w:rsid w:val="00C838FE"/>
    <w:rsid w:val="00C83D4A"/>
    <w:rsid w:val="00C83F43"/>
    <w:rsid w:val="00C85712"/>
    <w:rsid w:val="00C85F49"/>
    <w:rsid w:val="00C87B73"/>
    <w:rsid w:val="00C90096"/>
    <w:rsid w:val="00C90398"/>
    <w:rsid w:val="00C90525"/>
    <w:rsid w:val="00C90F52"/>
    <w:rsid w:val="00C91AD1"/>
    <w:rsid w:val="00C92817"/>
    <w:rsid w:val="00C9291F"/>
    <w:rsid w:val="00C92C1C"/>
    <w:rsid w:val="00C92CD6"/>
    <w:rsid w:val="00C92FB9"/>
    <w:rsid w:val="00C94330"/>
    <w:rsid w:val="00C95F92"/>
    <w:rsid w:val="00C96135"/>
    <w:rsid w:val="00C97100"/>
    <w:rsid w:val="00C9735E"/>
    <w:rsid w:val="00C97ABF"/>
    <w:rsid w:val="00CA006A"/>
    <w:rsid w:val="00CA28CE"/>
    <w:rsid w:val="00CA2E26"/>
    <w:rsid w:val="00CA39E1"/>
    <w:rsid w:val="00CA46B7"/>
    <w:rsid w:val="00CA5D9A"/>
    <w:rsid w:val="00CA60CF"/>
    <w:rsid w:val="00CA6BA6"/>
    <w:rsid w:val="00CB0D6C"/>
    <w:rsid w:val="00CB12D8"/>
    <w:rsid w:val="00CB1B59"/>
    <w:rsid w:val="00CB2C0A"/>
    <w:rsid w:val="00CB3554"/>
    <w:rsid w:val="00CB355A"/>
    <w:rsid w:val="00CB3838"/>
    <w:rsid w:val="00CB4A0A"/>
    <w:rsid w:val="00CB4CC3"/>
    <w:rsid w:val="00CB5C06"/>
    <w:rsid w:val="00CB62E9"/>
    <w:rsid w:val="00CB67C2"/>
    <w:rsid w:val="00CB6C00"/>
    <w:rsid w:val="00CB70ED"/>
    <w:rsid w:val="00CB77FE"/>
    <w:rsid w:val="00CB79CD"/>
    <w:rsid w:val="00CC0C4F"/>
    <w:rsid w:val="00CC0C91"/>
    <w:rsid w:val="00CC0E55"/>
    <w:rsid w:val="00CC0EB1"/>
    <w:rsid w:val="00CC0F64"/>
    <w:rsid w:val="00CC1B66"/>
    <w:rsid w:val="00CC2617"/>
    <w:rsid w:val="00CC3425"/>
    <w:rsid w:val="00CC529E"/>
    <w:rsid w:val="00CC5BE1"/>
    <w:rsid w:val="00CC696F"/>
    <w:rsid w:val="00CC6993"/>
    <w:rsid w:val="00CC7214"/>
    <w:rsid w:val="00CC7D66"/>
    <w:rsid w:val="00CD006B"/>
    <w:rsid w:val="00CD137A"/>
    <w:rsid w:val="00CD226A"/>
    <w:rsid w:val="00CD263D"/>
    <w:rsid w:val="00CD576F"/>
    <w:rsid w:val="00CD6AA5"/>
    <w:rsid w:val="00CD744F"/>
    <w:rsid w:val="00CE0ED7"/>
    <w:rsid w:val="00CE2EBA"/>
    <w:rsid w:val="00CE34C2"/>
    <w:rsid w:val="00CE4EFA"/>
    <w:rsid w:val="00CE5C95"/>
    <w:rsid w:val="00CE7920"/>
    <w:rsid w:val="00CE7D69"/>
    <w:rsid w:val="00CF104F"/>
    <w:rsid w:val="00CF2310"/>
    <w:rsid w:val="00CF23D9"/>
    <w:rsid w:val="00CF2BC0"/>
    <w:rsid w:val="00CF2E42"/>
    <w:rsid w:val="00CF395E"/>
    <w:rsid w:val="00CF424E"/>
    <w:rsid w:val="00CF4872"/>
    <w:rsid w:val="00CF519A"/>
    <w:rsid w:val="00CF64E1"/>
    <w:rsid w:val="00CF68AB"/>
    <w:rsid w:val="00CF6A6A"/>
    <w:rsid w:val="00CF7B72"/>
    <w:rsid w:val="00D00D21"/>
    <w:rsid w:val="00D00FB4"/>
    <w:rsid w:val="00D01414"/>
    <w:rsid w:val="00D027AB"/>
    <w:rsid w:val="00D0296F"/>
    <w:rsid w:val="00D0327B"/>
    <w:rsid w:val="00D043DE"/>
    <w:rsid w:val="00D0484D"/>
    <w:rsid w:val="00D05D52"/>
    <w:rsid w:val="00D06245"/>
    <w:rsid w:val="00D079EE"/>
    <w:rsid w:val="00D12419"/>
    <w:rsid w:val="00D12448"/>
    <w:rsid w:val="00D13D28"/>
    <w:rsid w:val="00D14833"/>
    <w:rsid w:val="00D14E31"/>
    <w:rsid w:val="00D15AEC"/>
    <w:rsid w:val="00D17A6A"/>
    <w:rsid w:val="00D17D3A"/>
    <w:rsid w:val="00D2050F"/>
    <w:rsid w:val="00D209D1"/>
    <w:rsid w:val="00D21536"/>
    <w:rsid w:val="00D223A4"/>
    <w:rsid w:val="00D22B2F"/>
    <w:rsid w:val="00D22B4F"/>
    <w:rsid w:val="00D23463"/>
    <w:rsid w:val="00D26E22"/>
    <w:rsid w:val="00D30574"/>
    <w:rsid w:val="00D30E3D"/>
    <w:rsid w:val="00D33743"/>
    <w:rsid w:val="00D341F8"/>
    <w:rsid w:val="00D3426D"/>
    <w:rsid w:val="00D34455"/>
    <w:rsid w:val="00D34465"/>
    <w:rsid w:val="00D347F8"/>
    <w:rsid w:val="00D35150"/>
    <w:rsid w:val="00D353A7"/>
    <w:rsid w:val="00D35527"/>
    <w:rsid w:val="00D36512"/>
    <w:rsid w:val="00D378A5"/>
    <w:rsid w:val="00D40B54"/>
    <w:rsid w:val="00D41983"/>
    <w:rsid w:val="00D41DF7"/>
    <w:rsid w:val="00D42F9C"/>
    <w:rsid w:val="00D43A96"/>
    <w:rsid w:val="00D44A57"/>
    <w:rsid w:val="00D4556C"/>
    <w:rsid w:val="00D45760"/>
    <w:rsid w:val="00D45AD0"/>
    <w:rsid w:val="00D46184"/>
    <w:rsid w:val="00D47518"/>
    <w:rsid w:val="00D4790A"/>
    <w:rsid w:val="00D50756"/>
    <w:rsid w:val="00D50E67"/>
    <w:rsid w:val="00D522AE"/>
    <w:rsid w:val="00D52639"/>
    <w:rsid w:val="00D52706"/>
    <w:rsid w:val="00D538F2"/>
    <w:rsid w:val="00D54B59"/>
    <w:rsid w:val="00D54E45"/>
    <w:rsid w:val="00D62BFD"/>
    <w:rsid w:val="00D64331"/>
    <w:rsid w:val="00D654BA"/>
    <w:rsid w:val="00D66830"/>
    <w:rsid w:val="00D7192D"/>
    <w:rsid w:val="00D7200F"/>
    <w:rsid w:val="00D73F74"/>
    <w:rsid w:val="00D74035"/>
    <w:rsid w:val="00D74372"/>
    <w:rsid w:val="00D801AF"/>
    <w:rsid w:val="00D803C6"/>
    <w:rsid w:val="00D809FE"/>
    <w:rsid w:val="00D811B4"/>
    <w:rsid w:val="00D81BD7"/>
    <w:rsid w:val="00D8214A"/>
    <w:rsid w:val="00D826BB"/>
    <w:rsid w:val="00D83AC9"/>
    <w:rsid w:val="00D85964"/>
    <w:rsid w:val="00D876C3"/>
    <w:rsid w:val="00D87954"/>
    <w:rsid w:val="00D87B91"/>
    <w:rsid w:val="00D902A1"/>
    <w:rsid w:val="00D90421"/>
    <w:rsid w:val="00D90639"/>
    <w:rsid w:val="00D917C8"/>
    <w:rsid w:val="00D92B37"/>
    <w:rsid w:val="00D950FC"/>
    <w:rsid w:val="00D952A8"/>
    <w:rsid w:val="00D95468"/>
    <w:rsid w:val="00D959F9"/>
    <w:rsid w:val="00D9612F"/>
    <w:rsid w:val="00D96202"/>
    <w:rsid w:val="00D97886"/>
    <w:rsid w:val="00DA0530"/>
    <w:rsid w:val="00DA107E"/>
    <w:rsid w:val="00DA17F4"/>
    <w:rsid w:val="00DA29C3"/>
    <w:rsid w:val="00DA2CE0"/>
    <w:rsid w:val="00DA3897"/>
    <w:rsid w:val="00DA49A9"/>
    <w:rsid w:val="00DA646A"/>
    <w:rsid w:val="00DA65FF"/>
    <w:rsid w:val="00DA733B"/>
    <w:rsid w:val="00DA74E6"/>
    <w:rsid w:val="00DA756D"/>
    <w:rsid w:val="00DB4CD8"/>
    <w:rsid w:val="00DB4E5C"/>
    <w:rsid w:val="00DB5480"/>
    <w:rsid w:val="00DB68D0"/>
    <w:rsid w:val="00DB701A"/>
    <w:rsid w:val="00DB7EB5"/>
    <w:rsid w:val="00DC0EBA"/>
    <w:rsid w:val="00DC1352"/>
    <w:rsid w:val="00DC1A6E"/>
    <w:rsid w:val="00DC30DD"/>
    <w:rsid w:val="00DC3229"/>
    <w:rsid w:val="00DC3504"/>
    <w:rsid w:val="00DC45A4"/>
    <w:rsid w:val="00DC466F"/>
    <w:rsid w:val="00DC5182"/>
    <w:rsid w:val="00DC529A"/>
    <w:rsid w:val="00DC5681"/>
    <w:rsid w:val="00DC5706"/>
    <w:rsid w:val="00DC5C74"/>
    <w:rsid w:val="00DC6530"/>
    <w:rsid w:val="00DD0F5E"/>
    <w:rsid w:val="00DD273B"/>
    <w:rsid w:val="00DD4B0F"/>
    <w:rsid w:val="00DD72D9"/>
    <w:rsid w:val="00DD7374"/>
    <w:rsid w:val="00DD7F89"/>
    <w:rsid w:val="00DE0CDC"/>
    <w:rsid w:val="00DE16FE"/>
    <w:rsid w:val="00DE1BE4"/>
    <w:rsid w:val="00DE2116"/>
    <w:rsid w:val="00DE26CF"/>
    <w:rsid w:val="00DE49F8"/>
    <w:rsid w:val="00DE4C74"/>
    <w:rsid w:val="00DE65D0"/>
    <w:rsid w:val="00DE6BA5"/>
    <w:rsid w:val="00DF1A82"/>
    <w:rsid w:val="00DF1F6E"/>
    <w:rsid w:val="00DF25AB"/>
    <w:rsid w:val="00DF2AAB"/>
    <w:rsid w:val="00DF4EB9"/>
    <w:rsid w:val="00DF581F"/>
    <w:rsid w:val="00DF659E"/>
    <w:rsid w:val="00DF6E51"/>
    <w:rsid w:val="00DF7F7C"/>
    <w:rsid w:val="00E006C0"/>
    <w:rsid w:val="00E00C6A"/>
    <w:rsid w:val="00E015A7"/>
    <w:rsid w:val="00E01880"/>
    <w:rsid w:val="00E04339"/>
    <w:rsid w:val="00E0458A"/>
    <w:rsid w:val="00E04F1D"/>
    <w:rsid w:val="00E05645"/>
    <w:rsid w:val="00E076F2"/>
    <w:rsid w:val="00E07C6E"/>
    <w:rsid w:val="00E10EC5"/>
    <w:rsid w:val="00E1112C"/>
    <w:rsid w:val="00E114DC"/>
    <w:rsid w:val="00E116E6"/>
    <w:rsid w:val="00E12339"/>
    <w:rsid w:val="00E1278D"/>
    <w:rsid w:val="00E12A5E"/>
    <w:rsid w:val="00E14233"/>
    <w:rsid w:val="00E15710"/>
    <w:rsid w:val="00E15E0C"/>
    <w:rsid w:val="00E16189"/>
    <w:rsid w:val="00E164D6"/>
    <w:rsid w:val="00E16EAF"/>
    <w:rsid w:val="00E179B9"/>
    <w:rsid w:val="00E17A60"/>
    <w:rsid w:val="00E17E2A"/>
    <w:rsid w:val="00E22ED4"/>
    <w:rsid w:val="00E237FC"/>
    <w:rsid w:val="00E23947"/>
    <w:rsid w:val="00E248DE"/>
    <w:rsid w:val="00E24A68"/>
    <w:rsid w:val="00E24F89"/>
    <w:rsid w:val="00E26495"/>
    <w:rsid w:val="00E27F1B"/>
    <w:rsid w:val="00E3096A"/>
    <w:rsid w:val="00E31850"/>
    <w:rsid w:val="00E31A94"/>
    <w:rsid w:val="00E34A2F"/>
    <w:rsid w:val="00E353EA"/>
    <w:rsid w:val="00E36186"/>
    <w:rsid w:val="00E370A5"/>
    <w:rsid w:val="00E372B5"/>
    <w:rsid w:val="00E3773C"/>
    <w:rsid w:val="00E37A40"/>
    <w:rsid w:val="00E4051F"/>
    <w:rsid w:val="00E40E60"/>
    <w:rsid w:val="00E40F40"/>
    <w:rsid w:val="00E42C3B"/>
    <w:rsid w:val="00E42DDC"/>
    <w:rsid w:val="00E43E67"/>
    <w:rsid w:val="00E45242"/>
    <w:rsid w:val="00E45636"/>
    <w:rsid w:val="00E4654A"/>
    <w:rsid w:val="00E46EC8"/>
    <w:rsid w:val="00E47BF7"/>
    <w:rsid w:val="00E506D0"/>
    <w:rsid w:val="00E51244"/>
    <w:rsid w:val="00E51762"/>
    <w:rsid w:val="00E51C61"/>
    <w:rsid w:val="00E51FB8"/>
    <w:rsid w:val="00E526ED"/>
    <w:rsid w:val="00E53C23"/>
    <w:rsid w:val="00E5420E"/>
    <w:rsid w:val="00E5465A"/>
    <w:rsid w:val="00E549E1"/>
    <w:rsid w:val="00E54ACE"/>
    <w:rsid w:val="00E55A07"/>
    <w:rsid w:val="00E5672C"/>
    <w:rsid w:val="00E5702A"/>
    <w:rsid w:val="00E57E2F"/>
    <w:rsid w:val="00E61A4E"/>
    <w:rsid w:val="00E62373"/>
    <w:rsid w:val="00E633DC"/>
    <w:rsid w:val="00E6374B"/>
    <w:rsid w:val="00E6438F"/>
    <w:rsid w:val="00E66586"/>
    <w:rsid w:val="00E6670A"/>
    <w:rsid w:val="00E66F16"/>
    <w:rsid w:val="00E66FA4"/>
    <w:rsid w:val="00E709FE"/>
    <w:rsid w:val="00E70F68"/>
    <w:rsid w:val="00E7187F"/>
    <w:rsid w:val="00E71D6D"/>
    <w:rsid w:val="00E71E44"/>
    <w:rsid w:val="00E71FD1"/>
    <w:rsid w:val="00E72517"/>
    <w:rsid w:val="00E72668"/>
    <w:rsid w:val="00E735EA"/>
    <w:rsid w:val="00E74638"/>
    <w:rsid w:val="00E74ECB"/>
    <w:rsid w:val="00E75B05"/>
    <w:rsid w:val="00E7607F"/>
    <w:rsid w:val="00E7653E"/>
    <w:rsid w:val="00E76581"/>
    <w:rsid w:val="00E76A26"/>
    <w:rsid w:val="00E77380"/>
    <w:rsid w:val="00E77A3D"/>
    <w:rsid w:val="00E77B52"/>
    <w:rsid w:val="00E80421"/>
    <w:rsid w:val="00E80983"/>
    <w:rsid w:val="00E80C00"/>
    <w:rsid w:val="00E821EF"/>
    <w:rsid w:val="00E84D4C"/>
    <w:rsid w:val="00E8604E"/>
    <w:rsid w:val="00E867F5"/>
    <w:rsid w:val="00E86FE0"/>
    <w:rsid w:val="00E87AB5"/>
    <w:rsid w:val="00E91743"/>
    <w:rsid w:val="00E923C2"/>
    <w:rsid w:val="00E93673"/>
    <w:rsid w:val="00E93697"/>
    <w:rsid w:val="00E97766"/>
    <w:rsid w:val="00E979ED"/>
    <w:rsid w:val="00E97F66"/>
    <w:rsid w:val="00EA4BD6"/>
    <w:rsid w:val="00EA4EF9"/>
    <w:rsid w:val="00EA50F1"/>
    <w:rsid w:val="00EA5634"/>
    <w:rsid w:val="00EA6471"/>
    <w:rsid w:val="00EA6F1D"/>
    <w:rsid w:val="00EA72C3"/>
    <w:rsid w:val="00EB161A"/>
    <w:rsid w:val="00EB32EE"/>
    <w:rsid w:val="00EB48DC"/>
    <w:rsid w:val="00EB5A68"/>
    <w:rsid w:val="00EC02FF"/>
    <w:rsid w:val="00EC07E4"/>
    <w:rsid w:val="00EC3358"/>
    <w:rsid w:val="00EC44C4"/>
    <w:rsid w:val="00EC4F65"/>
    <w:rsid w:val="00EC53C7"/>
    <w:rsid w:val="00EC6514"/>
    <w:rsid w:val="00EC6639"/>
    <w:rsid w:val="00EC6A7F"/>
    <w:rsid w:val="00EC7A72"/>
    <w:rsid w:val="00ED4B9D"/>
    <w:rsid w:val="00ED558B"/>
    <w:rsid w:val="00ED59DC"/>
    <w:rsid w:val="00ED66E3"/>
    <w:rsid w:val="00ED7408"/>
    <w:rsid w:val="00ED7A42"/>
    <w:rsid w:val="00ED7F32"/>
    <w:rsid w:val="00EE06D3"/>
    <w:rsid w:val="00EE0E33"/>
    <w:rsid w:val="00EE1D0C"/>
    <w:rsid w:val="00EE3242"/>
    <w:rsid w:val="00EE3DB2"/>
    <w:rsid w:val="00EE4545"/>
    <w:rsid w:val="00EE4646"/>
    <w:rsid w:val="00EE5933"/>
    <w:rsid w:val="00EE7446"/>
    <w:rsid w:val="00EE7FD8"/>
    <w:rsid w:val="00EF17B6"/>
    <w:rsid w:val="00EF1E7F"/>
    <w:rsid w:val="00EF2362"/>
    <w:rsid w:val="00EF2D7B"/>
    <w:rsid w:val="00EF38FD"/>
    <w:rsid w:val="00EF49E0"/>
    <w:rsid w:val="00EF5514"/>
    <w:rsid w:val="00EF70F9"/>
    <w:rsid w:val="00EF7596"/>
    <w:rsid w:val="00F01189"/>
    <w:rsid w:val="00F019F2"/>
    <w:rsid w:val="00F027FC"/>
    <w:rsid w:val="00F02A49"/>
    <w:rsid w:val="00F05018"/>
    <w:rsid w:val="00F05589"/>
    <w:rsid w:val="00F05C41"/>
    <w:rsid w:val="00F05E27"/>
    <w:rsid w:val="00F06494"/>
    <w:rsid w:val="00F0697D"/>
    <w:rsid w:val="00F10465"/>
    <w:rsid w:val="00F1068C"/>
    <w:rsid w:val="00F1319E"/>
    <w:rsid w:val="00F132AC"/>
    <w:rsid w:val="00F14C8C"/>
    <w:rsid w:val="00F151C3"/>
    <w:rsid w:val="00F153B4"/>
    <w:rsid w:val="00F157C9"/>
    <w:rsid w:val="00F15A0A"/>
    <w:rsid w:val="00F17717"/>
    <w:rsid w:val="00F17991"/>
    <w:rsid w:val="00F20004"/>
    <w:rsid w:val="00F2038A"/>
    <w:rsid w:val="00F20813"/>
    <w:rsid w:val="00F21B01"/>
    <w:rsid w:val="00F21F7B"/>
    <w:rsid w:val="00F231C0"/>
    <w:rsid w:val="00F23216"/>
    <w:rsid w:val="00F23943"/>
    <w:rsid w:val="00F24CEF"/>
    <w:rsid w:val="00F24F28"/>
    <w:rsid w:val="00F251C0"/>
    <w:rsid w:val="00F2758D"/>
    <w:rsid w:val="00F31BAC"/>
    <w:rsid w:val="00F32208"/>
    <w:rsid w:val="00F33279"/>
    <w:rsid w:val="00F337A5"/>
    <w:rsid w:val="00F33A43"/>
    <w:rsid w:val="00F3400D"/>
    <w:rsid w:val="00F34C53"/>
    <w:rsid w:val="00F34FB5"/>
    <w:rsid w:val="00F3574A"/>
    <w:rsid w:val="00F35B6C"/>
    <w:rsid w:val="00F35E06"/>
    <w:rsid w:val="00F364C4"/>
    <w:rsid w:val="00F36B1B"/>
    <w:rsid w:val="00F36C47"/>
    <w:rsid w:val="00F37110"/>
    <w:rsid w:val="00F37D42"/>
    <w:rsid w:val="00F40B7C"/>
    <w:rsid w:val="00F42D39"/>
    <w:rsid w:val="00F435CA"/>
    <w:rsid w:val="00F43DDE"/>
    <w:rsid w:val="00F44102"/>
    <w:rsid w:val="00F44336"/>
    <w:rsid w:val="00F44587"/>
    <w:rsid w:val="00F448E5"/>
    <w:rsid w:val="00F46746"/>
    <w:rsid w:val="00F46F25"/>
    <w:rsid w:val="00F50504"/>
    <w:rsid w:val="00F5153C"/>
    <w:rsid w:val="00F52828"/>
    <w:rsid w:val="00F53145"/>
    <w:rsid w:val="00F5328C"/>
    <w:rsid w:val="00F54F84"/>
    <w:rsid w:val="00F559B6"/>
    <w:rsid w:val="00F5694A"/>
    <w:rsid w:val="00F56CD9"/>
    <w:rsid w:val="00F57005"/>
    <w:rsid w:val="00F576D4"/>
    <w:rsid w:val="00F57AFD"/>
    <w:rsid w:val="00F6001D"/>
    <w:rsid w:val="00F61631"/>
    <w:rsid w:val="00F62E5E"/>
    <w:rsid w:val="00F64CB1"/>
    <w:rsid w:val="00F666DD"/>
    <w:rsid w:val="00F66840"/>
    <w:rsid w:val="00F671EA"/>
    <w:rsid w:val="00F67C2D"/>
    <w:rsid w:val="00F7193A"/>
    <w:rsid w:val="00F71E00"/>
    <w:rsid w:val="00F71ED6"/>
    <w:rsid w:val="00F72850"/>
    <w:rsid w:val="00F757D4"/>
    <w:rsid w:val="00F7702F"/>
    <w:rsid w:val="00F772D6"/>
    <w:rsid w:val="00F806D6"/>
    <w:rsid w:val="00F81AEB"/>
    <w:rsid w:val="00F824CA"/>
    <w:rsid w:val="00F850B9"/>
    <w:rsid w:val="00F85385"/>
    <w:rsid w:val="00F86026"/>
    <w:rsid w:val="00F87CEB"/>
    <w:rsid w:val="00F914CC"/>
    <w:rsid w:val="00F92F11"/>
    <w:rsid w:val="00F932C5"/>
    <w:rsid w:val="00F93E9E"/>
    <w:rsid w:val="00F95CDE"/>
    <w:rsid w:val="00F96A0E"/>
    <w:rsid w:val="00F96C07"/>
    <w:rsid w:val="00F973D2"/>
    <w:rsid w:val="00F9769C"/>
    <w:rsid w:val="00FA10BA"/>
    <w:rsid w:val="00FA131B"/>
    <w:rsid w:val="00FA1678"/>
    <w:rsid w:val="00FA345F"/>
    <w:rsid w:val="00FA3C9C"/>
    <w:rsid w:val="00FA4AEC"/>
    <w:rsid w:val="00FA555D"/>
    <w:rsid w:val="00FA5CA9"/>
    <w:rsid w:val="00FA7333"/>
    <w:rsid w:val="00FA7760"/>
    <w:rsid w:val="00FA7DB3"/>
    <w:rsid w:val="00FB09A8"/>
    <w:rsid w:val="00FB0A84"/>
    <w:rsid w:val="00FB0CD5"/>
    <w:rsid w:val="00FB29AB"/>
    <w:rsid w:val="00FB2E54"/>
    <w:rsid w:val="00FB31CF"/>
    <w:rsid w:val="00FB3347"/>
    <w:rsid w:val="00FB5BDD"/>
    <w:rsid w:val="00FB5E6A"/>
    <w:rsid w:val="00FB6279"/>
    <w:rsid w:val="00FB6BFF"/>
    <w:rsid w:val="00FB737C"/>
    <w:rsid w:val="00FC15F6"/>
    <w:rsid w:val="00FC2E7E"/>
    <w:rsid w:val="00FC3147"/>
    <w:rsid w:val="00FC3805"/>
    <w:rsid w:val="00FC3FE3"/>
    <w:rsid w:val="00FC4F6B"/>
    <w:rsid w:val="00FC50EF"/>
    <w:rsid w:val="00FC537E"/>
    <w:rsid w:val="00FC58BC"/>
    <w:rsid w:val="00FC59F6"/>
    <w:rsid w:val="00FC6859"/>
    <w:rsid w:val="00FC6BDC"/>
    <w:rsid w:val="00FC78B2"/>
    <w:rsid w:val="00FD06AE"/>
    <w:rsid w:val="00FD1C2A"/>
    <w:rsid w:val="00FD35C1"/>
    <w:rsid w:val="00FD399E"/>
    <w:rsid w:val="00FD47B3"/>
    <w:rsid w:val="00FD57D0"/>
    <w:rsid w:val="00FD601A"/>
    <w:rsid w:val="00FD621C"/>
    <w:rsid w:val="00FD6264"/>
    <w:rsid w:val="00FD6AA2"/>
    <w:rsid w:val="00FD73ED"/>
    <w:rsid w:val="00FD765A"/>
    <w:rsid w:val="00FD7EEC"/>
    <w:rsid w:val="00FE0AE2"/>
    <w:rsid w:val="00FE0D49"/>
    <w:rsid w:val="00FE25B6"/>
    <w:rsid w:val="00FE25EA"/>
    <w:rsid w:val="00FE28A1"/>
    <w:rsid w:val="00FE2A40"/>
    <w:rsid w:val="00FE2F7D"/>
    <w:rsid w:val="00FE30EA"/>
    <w:rsid w:val="00FE41FD"/>
    <w:rsid w:val="00FE424D"/>
    <w:rsid w:val="00FE4BDF"/>
    <w:rsid w:val="00FE5DFD"/>
    <w:rsid w:val="00FF006A"/>
    <w:rsid w:val="00FF109B"/>
    <w:rsid w:val="00FF13D7"/>
    <w:rsid w:val="00FF145F"/>
    <w:rsid w:val="00FF1824"/>
    <w:rsid w:val="00FF18D0"/>
    <w:rsid w:val="00FF18F9"/>
    <w:rsid w:val="00FF1FE5"/>
    <w:rsid w:val="00FF2483"/>
    <w:rsid w:val="00FF4734"/>
    <w:rsid w:val="00FF69AF"/>
    <w:rsid w:val="00FF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E20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0C3C"/>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F0C3C"/>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3C"/>
    <w:pPr>
      <w:keepNext/>
      <w:keepLines/>
      <w:numPr>
        <w:ilvl w:val="2"/>
        <w:numId w:val="10"/>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2C52"/>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2C5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2C5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2C5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2C5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2C5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A34"/>
    <w:pPr>
      <w:tabs>
        <w:tab w:val="center" w:pos="4320"/>
        <w:tab w:val="right" w:pos="8640"/>
      </w:tabs>
    </w:pPr>
  </w:style>
  <w:style w:type="character" w:customStyle="1" w:styleId="HeaderChar">
    <w:name w:val="Header Char"/>
    <w:basedOn w:val="DefaultParagraphFont"/>
    <w:link w:val="Header"/>
    <w:uiPriority w:val="99"/>
    <w:rsid w:val="002D4A34"/>
  </w:style>
  <w:style w:type="paragraph" w:styleId="Footer">
    <w:name w:val="footer"/>
    <w:basedOn w:val="Normal"/>
    <w:link w:val="FooterChar"/>
    <w:uiPriority w:val="99"/>
    <w:unhideWhenUsed/>
    <w:rsid w:val="002D4A34"/>
    <w:pPr>
      <w:tabs>
        <w:tab w:val="center" w:pos="4320"/>
        <w:tab w:val="right" w:pos="8640"/>
      </w:tabs>
    </w:pPr>
  </w:style>
  <w:style w:type="character" w:customStyle="1" w:styleId="FooterChar">
    <w:name w:val="Footer Char"/>
    <w:basedOn w:val="DefaultParagraphFont"/>
    <w:link w:val="Footer"/>
    <w:uiPriority w:val="99"/>
    <w:rsid w:val="002D4A34"/>
  </w:style>
  <w:style w:type="paragraph" w:styleId="ListParagraph">
    <w:name w:val="List Paragraph"/>
    <w:basedOn w:val="Normal"/>
    <w:uiPriority w:val="34"/>
    <w:qFormat/>
    <w:rsid w:val="006651BA"/>
    <w:pPr>
      <w:ind w:left="720"/>
      <w:contextualSpacing/>
    </w:pPr>
  </w:style>
  <w:style w:type="character" w:styleId="CommentReference">
    <w:name w:val="annotation reference"/>
    <w:basedOn w:val="DefaultParagraphFont"/>
    <w:uiPriority w:val="99"/>
    <w:semiHidden/>
    <w:unhideWhenUsed/>
    <w:rsid w:val="00B122DC"/>
    <w:rPr>
      <w:sz w:val="18"/>
      <w:szCs w:val="18"/>
    </w:rPr>
  </w:style>
  <w:style w:type="paragraph" w:styleId="CommentText">
    <w:name w:val="annotation text"/>
    <w:basedOn w:val="Normal"/>
    <w:link w:val="CommentTextChar"/>
    <w:uiPriority w:val="99"/>
    <w:unhideWhenUsed/>
    <w:rsid w:val="00B122DC"/>
  </w:style>
  <w:style w:type="character" w:customStyle="1" w:styleId="CommentTextChar">
    <w:name w:val="Comment Text Char"/>
    <w:basedOn w:val="DefaultParagraphFont"/>
    <w:link w:val="CommentText"/>
    <w:uiPriority w:val="99"/>
    <w:rsid w:val="00B122DC"/>
  </w:style>
  <w:style w:type="paragraph" w:styleId="CommentSubject">
    <w:name w:val="annotation subject"/>
    <w:basedOn w:val="CommentText"/>
    <w:next w:val="CommentText"/>
    <w:link w:val="CommentSubjectChar"/>
    <w:uiPriority w:val="99"/>
    <w:semiHidden/>
    <w:unhideWhenUsed/>
    <w:rsid w:val="00B122DC"/>
    <w:rPr>
      <w:b/>
      <w:bCs/>
      <w:sz w:val="20"/>
      <w:szCs w:val="20"/>
    </w:rPr>
  </w:style>
  <w:style w:type="character" w:customStyle="1" w:styleId="CommentSubjectChar">
    <w:name w:val="Comment Subject Char"/>
    <w:basedOn w:val="CommentTextChar"/>
    <w:link w:val="CommentSubject"/>
    <w:uiPriority w:val="99"/>
    <w:semiHidden/>
    <w:rsid w:val="00B122DC"/>
    <w:rPr>
      <w:b/>
      <w:bCs/>
      <w:sz w:val="20"/>
      <w:szCs w:val="20"/>
    </w:rPr>
  </w:style>
  <w:style w:type="paragraph" w:styleId="Revision">
    <w:name w:val="Revision"/>
    <w:hidden/>
    <w:uiPriority w:val="99"/>
    <w:semiHidden/>
    <w:rsid w:val="00B122DC"/>
  </w:style>
  <w:style w:type="paragraph" w:styleId="BalloonText">
    <w:name w:val="Balloon Text"/>
    <w:basedOn w:val="Normal"/>
    <w:link w:val="BalloonTextChar"/>
    <w:uiPriority w:val="99"/>
    <w:semiHidden/>
    <w:unhideWhenUsed/>
    <w:rsid w:val="00B122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2DC"/>
    <w:rPr>
      <w:rFonts w:ascii="Lucida Grande" w:hAnsi="Lucida Grande" w:cs="Lucida Grande"/>
      <w:sz w:val="18"/>
      <w:szCs w:val="18"/>
    </w:rPr>
  </w:style>
  <w:style w:type="paragraph" w:styleId="NormalWeb">
    <w:name w:val="Normal (Web)"/>
    <w:basedOn w:val="Normal"/>
    <w:uiPriority w:val="99"/>
    <w:unhideWhenUsed/>
    <w:rsid w:val="00116CC8"/>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A224A"/>
  </w:style>
  <w:style w:type="paragraph" w:styleId="FootnoteText">
    <w:name w:val="footnote text"/>
    <w:basedOn w:val="Normal"/>
    <w:link w:val="FootnoteTextChar"/>
    <w:uiPriority w:val="99"/>
    <w:unhideWhenUsed/>
    <w:rsid w:val="004952F9"/>
  </w:style>
  <w:style w:type="character" w:customStyle="1" w:styleId="FootnoteTextChar">
    <w:name w:val="Footnote Text Char"/>
    <w:basedOn w:val="DefaultParagraphFont"/>
    <w:link w:val="FootnoteText"/>
    <w:uiPriority w:val="99"/>
    <w:rsid w:val="004952F9"/>
  </w:style>
  <w:style w:type="character" w:styleId="FootnoteReference">
    <w:name w:val="footnote reference"/>
    <w:basedOn w:val="DefaultParagraphFont"/>
    <w:uiPriority w:val="99"/>
    <w:unhideWhenUsed/>
    <w:rsid w:val="004952F9"/>
    <w:rPr>
      <w:vertAlign w:val="superscript"/>
    </w:rPr>
  </w:style>
  <w:style w:type="character" w:styleId="Hyperlink">
    <w:name w:val="Hyperlink"/>
    <w:basedOn w:val="DefaultParagraphFont"/>
    <w:uiPriority w:val="99"/>
    <w:unhideWhenUsed/>
    <w:rsid w:val="00F95CDE"/>
    <w:rPr>
      <w:color w:val="0000FF" w:themeColor="hyperlink"/>
      <w:u w:val="single"/>
    </w:rPr>
  </w:style>
  <w:style w:type="paragraph" w:customStyle="1" w:styleId="Default">
    <w:name w:val="Default"/>
    <w:rsid w:val="00D34455"/>
    <w:pPr>
      <w:autoSpaceDE w:val="0"/>
      <w:autoSpaceDN w:val="0"/>
      <w:adjustRightInd w:val="0"/>
    </w:pPr>
    <w:rPr>
      <w:rFonts w:ascii="Times New Roman" w:eastAsiaTheme="minorHAnsi" w:hAnsi="Times New Roman" w:cs="Times New Roman"/>
      <w:color w:val="000000"/>
    </w:rPr>
  </w:style>
  <w:style w:type="paragraph" w:styleId="NoSpacing">
    <w:name w:val="No Spacing"/>
    <w:link w:val="NoSpacingChar"/>
    <w:uiPriority w:val="1"/>
    <w:qFormat/>
    <w:rsid w:val="00D34455"/>
    <w:rPr>
      <w:rFonts w:eastAsiaTheme="minorHAnsi"/>
      <w:sz w:val="22"/>
      <w:szCs w:val="22"/>
    </w:rPr>
  </w:style>
  <w:style w:type="character" w:styleId="FollowedHyperlink">
    <w:name w:val="FollowedHyperlink"/>
    <w:basedOn w:val="DefaultParagraphFont"/>
    <w:uiPriority w:val="99"/>
    <w:semiHidden/>
    <w:unhideWhenUsed/>
    <w:rsid w:val="004018A3"/>
    <w:rPr>
      <w:color w:val="800080" w:themeColor="followedHyperlink"/>
      <w:u w:val="single"/>
    </w:rPr>
  </w:style>
  <w:style w:type="character" w:customStyle="1" w:styleId="Heading1Char">
    <w:name w:val="Heading 1 Char"/>
    <w:basedOn w:val="DefaultParagraphFont"/>
    <w:link w:val="Heading1"/>
    <w:uiPriority w:val="9"/>
    <w:rsid w:val="004F0C3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F0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2C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2C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2C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2C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2C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2C52"/>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F515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0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74242"/>
    <w:rPr>
      <w:rFonts w:ascii="Lucida Grande" w:hAnsi="Lucida Grande" w:cs="Lucida Grande"/>
    </w:rPr>
  </w:style>
  <w:style w:type="character" w:customStyle="1" w:styleId="DocumentMapChar">
    <w:name w:val="Document Map Char"/>
    <w:basedOn w:val="DefaultParagraphFont"/>
    <w:link w:val="DocumentMap"/>
    <w:uiPriority w:val="99"/>
    <w:semiHidden/>
    <w:rsid w:val="00874242"/>
    <w:rPr>
      <w:rFonts w:ascii="Lucida Grande" w:hAnsi="Lucida Grande" w:cs="Lucida Grande"/>
    </w:rPr>
  </w:style>
  <w:style w:type="paragraph" w:styleId="TOCHeading">
    <w:name w:val="TOC Heading"/>
    <w:basedOn w:val="Heading1"/>
    <w:next w:val="Normal"/>
    <w:uiPriority w:val="39"/>
    <w:unhideWhenUsed/>
    <w:qFormat/>
    <w:rsid w:val="00090959"/>
    <w:pPr>
      <w:numPr>
        <w:numId w:val="0"/>
      </w:num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090959"/>
    <w:pPr>
      <w:spacing w:after="100"/>
    </w:pPr>
  </w:style>
  <w:style w:type="paragraph" w:styleId="TOC2">
    <w:name w:val="toc 2"/>
    <w:basedOn w:val="Normal"/>
    <w:next w:val="Normal"/>
    <w:autoRedefine/>
    <w:uiPriority w:val="39"/>
    <w:unhideWhenUsed/>
    <w:rsid w:val="00090959"/>
    <w:pPr>
      <w:spacing w:after="100"/>
      <w:ind w:left="240"/>
    </w:pPr>
  </w:style>
  <w:style w:type="paragraph" w:styleId="TOC3">
    <w:name w:val="toc 3"/>
    <w:basedOn w:val="Normal"/>
    <w:next w:val="Normal"/>
    <w:autoRedefine/>
    <w:uiPriority w:val="39"/>
    <w:unhideWhenUsed/>
    <w:rsid w:val="00090959"/>
    <w:pPr>
      <w:spacing w:after="100"/>
      <w:ind w:left="480"/>
    </w:pPr>
  </w:style>
  <w:style w:type="character" w:customStyle="1" w:styleId="NoSpacingChar">
    <w:name w:val="No Spacing Char"/>
    <w:basedOn w:val="DefaultParagraphFont"/>
    <w:link w:val="NoSpacing"/>
    <w:uiPriority w:val="1"/>
    <w:rsid w:val="00090959"/>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0C3C"/>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F0C3C"/>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C3C"/>
    <w:pPr>
      <w:keepNext/>
      <w:keepLines/>
      <w:numPr>
        <w:ilvl w:val="2"/>
        <w:numId w:val="10"/>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2C52"/>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2C5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2C5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2C5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2C5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22C5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A34"/>
    <w:pPr>
      <w:tabs>
        <w:tab w:val="center" w:pos="4320"/>
        <w:tab w:val="right" w:pos="8640"/>
      </w:tabs>
    </w:pPr>
  </w:style>
  <w:style w:type="character" w:customStyle="1" w:styleId="HeaderChar">
    <w:name w:val="Header Char"/>
    <w:basedOn w:val="DefaultParagraphFont"/>
    <w:link w:val="Header"/>
    <w:uiPriority w:val="99"/>
    <w:rsid w:val="002D4A34"/>
  </w:style>
  <w:style w:type="paragraph" w:styleId="Footer">
    <w:name w:val="footer"/>
    <w:basedOn w:val="Normal"/>
    <w:link w:val="FooterChar"/>
    <w:uiPriority w:val="99"/>
    <w:unhideWhenUsed/>
    <w:rsid w:val="002D4A34"/>
    <w:pPr>
      <w:tabs>
        <w:tab w:val="center" w:pos="4320"/>
        <w:tab w:val="right" w:pos="8640"/>
      </w:tabs>
    </w:pPr>
  </w:style>
  <w:style w:type="character" w:customStyle="1" w:styleId="FooterChar">
    <w:name w:val="Footer Char"/>
    <w:basedOn w:val="DefaultParagraphFont"/>
    <w:link w:val="Footer"/>
    <w:uiPriority w:val="99"/>
    <w:rsid w:val="002D4A34"/>
  </w:style>
  <w:style w:type="paragraph" w:styleId="ListParagraph">
    <w:name w:val="List Paragraph"/>
    <w:basedOn w:val="Normal"/>
    <w:uiPriority w:val="34"/>
    <w:qFormat/>
    <w:rsid w:val="006651BA"/>
    <w:pPr>
      <w:ind w:left="720"/>
      <w:contextualSpacing/>
    </w:pPr>
  </w:style>
  <w:style w:type="character" w:styleId="CommentReference">
    <w:name w:val="annotation reference"/>
    <w:basedOn w:val="DefaultParagraphFont"/>
    <w:uiPriority w:val="99"/>
    <w:semiHidden/>
    <w:unhideWhenUsed/>
    <w:rsid w:val="00B122DC"/>
    <w:rPr>
      <w:sz w:val="18"/>
      <w:szCs w:val="18"/>
    </w:rPr>
  </w:style>
  <w:style w:type="paragraph" w:styleId="CommentText">
    <w:name w:val="annotation text"/>
    <w:basedOn w:val="Normal"/>
    <w:link w:val="CommentTextChar"/>
    <w:uiPriority w:val="99"/>
    <w:unhideWhenUsed/>
    <w:rsid w:val="00B122DC"/>
  </w:style>
  <w:style w:type="character" w:customStyle="1" w:styleId="CommentTextChar">
    <w:name w:val="Comment Text Char"/>
    <w:basedOn w:val="DefaultParagraphFont"/>
    <w:link w:val="CommentText"/>
    <w:uiPriority w:val="99"/>
    <w:rsid w:val="00B122DC"/>
  </w:style>
  <w:style w:type="paragraph" w:styleId="CommentSubject">
    <w:name w:val="annotation subject"/>
    <w:basedOn w:val="CommentText"/>
    <w:next w:val="CommentText"/>
    <w:link w:val="CommentSubjectChar"/>
    <w:uiPriority w:val="99"/>
    <w:semiHidden/>
    <w:unhideWhenUsed/>
    <w:rsid w:val="00B122DC"/>
    <w:rPr>
      <w:b/>
      <w:bCs/>
      <w:sz w:val="20"/>
      <w:szCs w:val="20"/>
    </w:rPr>
  </w:style>
  <w:style w:type="character" w:customStyle="1" w:styleId="CommentSubjectChar">
    <w:name w:val="Comment Subject Char"/>
    <w:basedOn w:val="CommentTextChar"/>
    <w:link w:val="CommentSubject"/>
    <w:uiPriority w:val="99"/>
    <w:semiHidden/>
    <w:rsid w:val="00B122DC"/>
    <w:rPr>
      <w:b/>
      <w:bCs/>
      <w:sz w:val="20"/>
      <w:szCs w:val="20"/>
    </w:rPr>
  </w:style>
  <w:style w:type="paragraph" w:styleId="Revision">
    <w:name w:val="Revision"/>
    <w:hidden/>
    <w:uiPriority w:val="99"/>
    <w:semiHidden/>
    <w:rsid w:val="00B122DC"/>
  </w:style>
  <w:style w:type="paragraph" w:styleId="BalloonText">
    <w:name w:val="Balloon Text"/>
    <w:basedOn w:val="Normal"/>
    <w:link w:val="BalloonTextChar"/>
    <w:uiPriority w:val="99"/>
    <w:semiHidden/>
    <w:unhideWhenUsed/>
    <w:rsid w:val="00B122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22DC"/>
    <w:rPr>
      <w:rFonts w:ascii="Lucida Grande" w:hAnsi="Lucida Grande" w:cs="Lucida Grande"/>
      <w:sz w:val="18"/>
      <w:szCs w:val="18"/>
    </w:rPr>
  </w:style>
  <w:style w:type="paragraph" w:styleId="NormalWeb">
    <w:name w:val="Normal (Web)"/>
    <w:basedOn w:val="Normal"/>
    <w:uiPriority w:val="99"/>
    <w:unhideWhenUsed/>
    <w:rsid w:val="00116CC8"/>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3A224A"/>
  </w:style>
  <w:style w:type="paragraph" w:styleId="FootnoteText">
    <w:name w:val="footnote text"/>
    <w:basedOn w:val="Normal"/>
    <w:link w:val="FootnoteTextChar"/>
    <w:uiPriority w:val="99"/>
    <w:unhideWhenUsed/>
    <w:rsid w:val="004952F9"/>
  </w:style>
  <w:style w:type="character" w:customStyle="1" w:styleId="FootnoteTextChar">
    <w:name w:val="Footnote Text Char"/>
    <w:basedOn w:val="DefaultParagraphFont"/>
    <w:link w:val="FootnoteText"/>
    <w:uiPriority w:val="99"/>
    <w:rsid w:val="004952F9"/>
  </w:style>
  <w:style w:type="character" w:styleId="FootnoteReference">
    <w:name w:val="footnote reference"/>
    <w:basedOn w:val="DefaultParagraphFont"/>
    <w:uiPriority w:val="99"/>
    <w:unhideWhenUsed/>
    <w:rsid w:val="004952F9"/>
    <w:rPr>
      <w:vertAlign w:val="superscript"/>
    </w:rPr>
  </w:style>
  <w:style w:type="character" w:styleId="Hyperlink">
    <w:name w:val="Hyperlink"/>
    <w:basedOn w:val="DefaultParagraphFont"/>
    <w:uiPriority w:val="99"/>
    <w:unhideWhenUsed/>
    <w:rsid w:val="00F95CDE"/>
    <w:rPr>
      <w:color w:val="0000FF" w:themeColor="hyperlink"/>
      <w:u w:val="single"/>
    </w:rPr>
  </w:style>
  <w:style w:type="paragraph" w:customStyle="1" w:styleId="Default">
    <w:name w:val="Default"/>
    <w:rsid w:val="00D34455"/>
    <w:pPr>
      <w:autoSpaceDE w:val="0"/>
      <w:autoSpaceDN w:val="0"/>
      <w:adjustRightInd w:val="0"/>
    </w:pPr>
    <w:rPr>
      <w:rFonts w:ascii="Times New Roman" w:eastAsiaTheme="minorHAnsi" w:hAnsi="Times New Roman" w:cs="Times New Roman"/>
      <w:color w:val="000000"/>
    </w:rPr>
  </w:style>
  <w:style w:type="paragraph" w:styleId="NoSpacing">
    <w:name w:val="No Spacing"/>
    <w:link w:val="NoSpacingChar"/>
    <w:uiPriority w:val="1"/>
    <w:qFormat/>
    <w:rsid w:val="00D34455"/>
    <w:rPr>
      <w:rFonts w:eastAsiaTheme="minorHAnsi"/>
      <w:sz w:val="22"/>
      <w:szCs w:val="22"/>
    </w:rPr>
  </w:style>
  <w:style w:type="character" w:styleId="FollowedHyperlink">
    <w:name w:val="FollowedHyperlink"/>
    <w:basedOn w:val="DefaultParagraphFont"/>
    <w:uiPriority w:val="99"/>
    <w:semiHidden/>
    <w:unhideWhenUsed/>
    <w:rsid w:val="004018A3"/>
    <w:rPr>
      <w:color w:val="800080" w:themeColor="followedHyperlink"/>
      <w:u w:val="single"/>
    </w:rPr>
  </w:style>
  <w:style w:type="character" w:customStyle="1" w:styleId="Heading1Char">
    <w:name w:val="Heading 1 Char"/>
    <w:basedOn w:val="DefaultParagraphFont"/>
    <w:link w:val="Heading1"/>
    <w:uiPriority w:val="9"/>
    <w:rsid w:val="004F0C3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F0C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C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2C5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2C5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2C5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2C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2C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22C52"/>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F515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E04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74242"/>
    <w:rPr>
      <w:rFonts w:ascii="Lucida Grande" w:hAnsi="Lucida Grande" w:cs="Lucida Grande"/>
    </w:rPr>
  </w:style>
  <w:style w:type="character" w:customStyle="1" w:styleId="DocumentMapChar">
    <w:name w:val="Document Map Char"/>
    <w:basedOn w:val="DefaultParagraphFont"/>
    <w:link w:val="DocumentMap"/>
    <w:uiPriority w:val="99"/>
    <w:semiHidden/>
    <w:rsid w:val="00874242"/>
    <w:rPr>
      <w:rFonts w:ascii="Lucida Grande" w:hAnsi="Lucida Grande" w:cs="Lucida Grande"/>
    </w:rPr>
  </w:style>
  <w:style w:type="paragraph" w:styleId="TOCHeading">
    <w:name w:val="TOC Heading"/>
    <w:basedOn w:val="Heading1"/>
    <w:next w:val="Normal"/>
    <w:uiPriority w:val="39"/>
    <w:unhideWhenUsed/>
    <w:qFormat/>
    <w:rsid w:val="00090959"/>
    <w:pPr>
      <w:numPr>
        <w:numId w:val="0"/>
      </w:num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090959"/>
    <w:pPr>
      <w:spacing w:after="100"/>
    </w:pPr>
  </w:style>
  <w:style w:type="paragraph" w:styleId="TOC2">
    <w:name w:val="toc 2"/>
    <w:basedOn w:val="Normal"/>
    <w:next w:val="Normal"/>
    <w:autoRedefine/>
    <w:uiPriority w:val="39"/>
    <w:unhideWhenUsed/>
    <w:rsid w:val="00090959"/>
    <w:pPr>
      <w:spacing w:after="100"/>
      <w:ind w:left="240"/>
    </w:pPr>
  </w:style>
  <w:style w:type="paragraph" w:styleId="TOC3">
    <w:name w:val="toc 3"/>
    <w:basedOn w:val="Normal"/>
    <w:next w:val="Normal"/>
    <w:autoRedefine/>
    <w:uiPriority w:val="39"/>
    <w:unhideWhenUsed/>
    <w:rsid w:val="00090959"/>
    <w:pPr>
      <w:spacing w:after="100"/>
      <w:ind w:left="480"/>
    </w:pPr>
  </w:style>
  <w:style w:type="character" w:customStyle="1" w:styleId="NoSpacingChar">
    <w:name w:val="No Spacing Char"/>
    <w:basedOn w:val="DefaultParagraphFont"/>
    <w:link w:val="NoSpacing"/>
    <w:uiPriority w:val="1"/>
    <w:rsid w:val="0009095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650">
      <w:bodyDiv w:val="1"/>
      <w:marLeft w:val="0"/>
      <w:marRight w:val="0"/>
      <w:marTop w:val="0"/>
      <w:marBottom w:val="0"/>
      <w:divBdr>
        <w:top w:val="none" w:sz="0" w:space="0" w:color="auto"/>
        <w:left w:val="none" w:sz="0" w:space="0" w:color="auto"/>
        <w:bottom w:val="none" w:sz="0" w:space="0" w:color="auto"/>
        <w:right w:val="none" w:sz="0" w:space="0" w:color="auto"/>
      </w:divBdr>
      <w:divsChild>
        <w:div w:id="1104417840">
          <w:marLeft w:val="547"/>
          <w:marRight w:val="0"/>
          <w:marTop w:val="115"/>
          <w:marBottom w:val="0"/>
          <w:divBdr>
            <w:top w:val="none" w:sz="0" w:space="0" w:color="auto"/>
            <w:left w:val="none" w:sz="0" w:space="0" w:color="auto"/>
            <w:bottom w:val="none" w:sz="0" w:space="0" w:color="auto"/>
            <w:right w:val="none" w:sz="0" w:space="0" w:color="auto"/>
          </w:divBdr>
        </w:div>
      </w:divsChild>
    </w:div>
    <w:div w:id="306908587">
      <w:bodyDiv w:val="1"/>
      <w:marLeft w:val="0"/>
      <w:marRight w:val="0"/>
      <w:marTop w:val="0"/>
      <w:marBottom w:val="0"/>
      <w:divBdr>
        <w:top w:val="none" w:sz="0" w:space="0" w:color="auto"/>
        <w:left w:val="none" w:sz="0" w:space="0" w:color="auto"/>
        <w:bottom w:val="none" w:sz="0" w:space="0" w:color="auto"/>
        <w:right w:val="none" w:sz="0" w:space="0" w:color="auto"/>
      </w:divBdr>
      <w:divsChild>
        <w:div w:id="128133367">
          <w:marLeft w:val="547"/>
          <w:marRight w:val="0"/>
          <w:marTop w:val="0"/>
          <w:marBottom w:val="0"/>
          <w:divBdr>
            <w:top w:val="none" w:sz="0" w:space="0" w:color="auto"/>
            <w:left w:val="none" w:sz="0" w:space="0" w:color="auto"/>
            <w:bottom w:val="none" w:sz="0" w:space="0" w:color="auto"/>
            <w:right w:val="none" w:sz="0" w:space="0" w:color="auto"/>
          </w:divBdr>
        </w:div>
        <w:div w:id="140737265">
          <w:marLeft w:val="547"/>
          <w:marRight w:val="0"/>
          <w:marTop w:val="0"/>
          <w:marBottom w:val="0"/>
          <w:divBdr>
            <w:top w:val="none" w:sz="0" w:space="0" w:color="auto"/>
            <w:left w:val="none" w:sz="0" w:space="0" w:color="auto"/>
            <w:bottom w:val="none" w:sz="0" w:space="0" w:color="auto"/>
            <w:right w:val="none" w:sz="0" w:space="0" w:color="auto"/>
          </w:divBdr>
        </w:div>
        <w:div w:id="301740067">
          <w:marLeft w:val="547"/>
          <w:marRight w:val="0"/>
          <w:marTop w:val="0"/>
          <w:marBottom w:val="0"/>
          <w:divBdr>
            <w:top w:val="none" w:sz="0" w:space="0" w:color="auto"/>
            <w:left w:val="none" w:sz="0" w:space="0" w:color="auto"/>
            <w:bottom w:val="none" w:sz="0" w:space="0" w:color="auto"/>
            <w:right w:val="none" w:sz="0" w:space="0" w:color="auto"/>
          </w:divBdr>
        </w:div>
        <w:div w:id="391734894">
          <w:marLeft w:val="547"/>
          <w:marRight w:val="0"/>
          <w:marTop w:val="0"/>
          <w:marBottom w:val="0"/>
          <w:divBdr>
            <w:top w:val="none" w:sz="0" w:space="0" w:color="auto"/>
            <w:left w:val="none" w:sz="0" w:space="0" w:color="auto"/>
            <w:bottom w:val="none" w:sz="0" w:space="0" w:color="auto"/>
            <w:right w:val="none" w:sz="0" w:space="0" w:color="auto"/>
          </w:divBdr>
        </w:div>
        <w:div w:id="468859901">
          <w:marLeft w:val="547"/>
          <w:marRight w:val="0"/>
          <w:marTop w:val="0"/>
          <w:marBottom w:val="0"/>
          <w:divBdr>
            <w:top w:val="none" w:sz="0" w:space="0" w:color="auto"/>
            <w:left w:val="none" w:sz="0" w:space="0" w:color="auto"/>
            <w:bottom w:val="none" w:sz="0" w:space="0" w:color="auto"/>
            <w:right w:val="none" w:sz="0" w:space="0" w:color="auto"/>
          </w:divBdr>
        </w:div>
        <w:div w:id="475803543">
          <w:marLeft w:val="547"/>
          <w:marRight w:val="0"/>
          <w:marTop w:val="0"/>
          <w:marBottom w:val="0"/>
          <w:divBdr>
            <w:top w:val="none" w:sz="0" w:space="0" w:color="auto"/>
            <w:left w:val="none" w:sz="0" w:space="0" w:color="auto"/>
            <w:bottom w:val="none" w:sz="0" w:space="0" w:color="auto"/>
            <w:right w:val="none" w:sz="0" w:space="0" w:color="auto"/>
          </w:divBdr>
        </w:div>
      </w:divsChild>
    </w:div>
    <w:div w:id="414934345">
      <w:bodyDiv w:val="1"/>
      <w:marLeft w:val="0"/>
      <w:marRight w:val="0"/>
      <w:marTop w:val="0"/>
      <w:marBottom w:val="0"/>
      <w:divBdr>
        <w:top w:val="none" w:sz="0" w:space="0" w:color="auto"/>
        <w:left w:val="none" w:sz="0" w:space="0" w:color="auto"/>
        <w:bottom w:val="none" w:sz="0" w:space="0" w:color="auto"/>
        <w:right w:val="none" w:sz="0" w:space="0" w:color="auto"/>
      </w:divBdr>
      <w:divsChild>
        <w:div w:id="1697543340">
          <w:marLeft w:val="0"/>
          <w:marRight w:val="0"/>
          <w:marTop w:val="0"/>
          <w:marBottom w:val="0"/>
          <w:divBdr>
            <w:top w:val="none" w:sz="0" w:space="0" w:color="auto"/>
            <w:left w:val="none" w:sz="0" w:space="0" w:color="auto"/>
            <w:bottom w:val="none" w:sz="0" w:space="0" w:color="auto"/>
            <w:right w:val="none" w:sz="0" w:space="0" w:color="auto"/>
          </w:divBdr>
          <w:divsChild>
            <w:div w:id="2024242407">
              <w:marLeft w:val="0"/>
              <w:marRight w:val="0"/>
              <w:marTop w:val="0"/>
              <w:marBottom w:val="0"/>
              <w:divBdr>
                <w:top w:val="none" w:sz="0" w:space="0" w:color="auto"/>
                <w:left w:val="none" w:sz="0" w:space="0" w:color="auto"/>
                <w:bottom w:val="none" w:sz="0" w:space="0" w:color="auto"/>
                <w:right w:val="none" w:sz="0" w:space="0" w:color="auto"/>
              </w:divBdr>
              <w:divsChild>
                <w:div w:id="5477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7163">
      <w:bodyDiv w:val="1"/>
      <w:marLeft w:val="0"/>
      <w:marRight w:val="0"/>
      <w:marTop w:val="0"/>
      <w:marBottom w:val="0"/>
      <w:divBdr>
        <w:top w:val="none" w:sz="0" w:space="0" w:color="auto"/>
        <w:left w:val="none" w:sz="0" w:space="0" w:color="auto"/>
        <w:bottom w:val="none" w:sz="0" w:space="0" w:color="auto"/>
        <w:right w:val="none" w:sz="0" w:space="0" w:color="auto"/>
      </w:divBdr>
      <w:divsChild>
        <w:div w:id="756825136">
          <w:marLeft w:val="0"/>
          <w:marRight w:val="0"/>
          <w:marTop w:val="0"/>
          <w:marBottom w:val="0"/>
          <w:divBdr>
            <w:top w:val="none" w:sz="0" w:space="0" w:color="auto"/>
            <w:left w:val="none" w:sz="0" w:space="0" w:color="auto"/>
            <w:bottom w:val="none" w:sz="0" w:space="0" w:color="auto"/>
            <w:right w:val="none" w:sz="0" w:space="0" w:color="auto"/>
          </w:divBdr>
          <w:divsChild>
            <w:div w:id="446853422">
              <w:marLeft w:val="0"/>
              <w:marRight w:val="0"/>
              <w:marTop w:val="0"/>
              <w:marBottom w:val="0"/>
              <w:divBdr>
                <w:top w:val="none" w:sz="0" w:space="0" w:color="auto"/>
                <w:left w:val="none" w:sz="0" w:space="0" w:color="auto"/>
                <w:bottom w:val="none" w:sz="0" w:space="0" w:color="auto"/>
                <w:right w:val="none" w:sz="0" w:space="0" w:color="auto"/>
              </w:divBdr>
              <w:divsChild>
                <w:div w:id="14606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8153">
      <w:bodyDiv w:val="1"/>
      <w:marLeft w:val="0"/>
      <w:marRight w:val="0"/>
      <w:marTop w:val="0"/>
      <w:marBottom w:val="0"/>
      <w:divBdr>
        <w:top w:val="none" w:sz="0" w:space="0" w:color="auto"/>
        <w:left w:val="none" w:sz="0" w:space="0" w:color="auto"/>
        <w:bottom w:val="none" w:sz="0" w:space="0" w:color="auto"/>
        <w:right w:val="none" w:sz="0" w:space="0" w:color="auto"/>
      </w:divBdr>
      <w:divsChild>
        <w:div w:id="126238359">
          <w:marLeft w:val="547"/>
          <w:marRight w:val="0"/>
          <w:marTop w:val="0"/>
          <w:marBottom w:val="0"/>
          <w:divBdr>
            <w:top w:val="none" w:sz="0" w:space="0" w:color="auto"/>
            <w:left w:val="none" w:sz="0" w:space="0" w:color="auto"/>
            <w:bottom w:val="none" w:sz="0" w:space="0" w:color="auto"/>
            <w:right w:val="none" w:sz="0" w:space="0" w:color="auto"/>
          </w:divBdr>
        </w:div>
        <w:div w:id="223951610">
          <w:marLeft w:val="547"/>
          <w:marRight w:val="0"/>
          <w:marTop w:val="0"/>
          <w:marBottom w:val="0"/>
          <w:divBdr>
            <w:top w:val="none" w:sz="0" w:space="0" w:color="auto"/>
            <w:left w:val="none" w:sz="0" w:space="0" w:color="auto"/>
            <w:bottom w:val="none" w:sz="0" w:space="0" w:color="auto"/>
            <w:right w:val="none" w:sz="0" w:space="0" w:color="auto"/>
          </w:divBdr>
        </w:div>
        <w:div w:id="457526857">
          <w:marLeft w:val="547"/>
          <w:marRight w:val="0"/>
          <w:marTop w:val="0"/>
          <w:marBottom w:val="0"/>
          <w:divBdr>
            <w:top w:val="none" w:sz="0" w:space="0" w:color="auto"/>
            <w:left w:val="none" w:sz="0" w:space="0" w:color="auto"/>
            <w:bottom w:val="none" w:sz="0" w:space="0" w:color="auto"/>
            <w:right w:val="none" w:sz="0" w:space="0" w:color="auto"/>
          </w:divBdr>
        </w:div>
        <w:div w:id="573590953">
          <w:marLeft w:val="547"/>
          <w:marRight w:val="0"/>
          <w:marTop w:val="0"/>
          <w:marBottom w:val="0"/>
          <w:divBdr>
            <w:top w:val="none" w:sz="0" w:space="0" w:color="auto"/>
            <w:left w:val="none" w:sz="0" w:space="0" w:color="auto"/>
            <w:bottom w:val="none" w:sz="0" w:space="0" w:color="auto"/>
            <w:right w:val="none" w:sz="0" w:space="0" w:color="auto"/>
          </w:divBdr>
        </w:div>
        <w:div w:id="939989468">
          <w:marLeft w:val="547"/>
          <w:marRight w:val="0"/>
          <w:marTop w:val="0"/>
          <w:marBottom w:val="0"/>
          <w:divBdr>
            <w:top w:val="none" w:sz="0" w:space="0" w:color="auto"/>
            <w:left w:val="none" w:sz="0" w:space="0" w:color="auto"/>
            <w:bottom w:val="none" w:sz="0" w:space="0" w:color="auto"/>
            <w:right w:val="none" w:sz="0" w:space="0" w:color="auto"/>
          </w:divBdr>
        </w:div>
        <w:div w:id="1007440267">
          <w:marLeft w:val="547"/>
          <w:marRight w:val="0"/>
          <w:marTop w:val="0"/>
          <w:marBottom w:val="0"/>
          <w:divBdr>
            <w:top w:val="none" w:sz="0" w:space="0" w:color="auto"/>
            <w:left w:val="none" w:sz="0" w:space="0" w:color="auto"/>
            <w:bottom w:val="none" w:sz="0" w:space="0" w:color="auto"/>
            <w:right w:val="none" w:sz="0" w:space="0" w:color="auto"/>
          </w:divBdr>
        </w:div>
        <w:div w:id="1097291855">
          <w:marLeft w:val="547"/>
          <w:marRight w:val="0"/>
          <w:marTop w:val="0"/>
          <w:marBottom w:val="0"/>
          <w:divBdr>
            <w:top w:val="none" w:sz="0" w:space="0" w:color="auto"/>
            <w:left w:val="none" w:sz="0" w:space="0" w:color="auto"/>
            <w:bottom w:val="none" w:sz="0" w:space="0" w:color="auto"/>
            <w:right w:val="none" w:sz="0" w:space="0" w:color="auto"/>
          </w:divBdr>
        </w:div>
        <w:div w:id="1196230289">
          <w:marLeft w:val="547"/>
          <w:marRight w:val="0"/>
          <w:marTop w:val="0"/>
          <w:marBottom w:val="0"/>
          <w:divBdr>
            <w:top w:val="none" w:sz="0" w:space="0" w:color="auto"/>
            <w:left w:val="none" w:sz="0" w:space="0" w:color="auto"/>
            <w:bottom w:val="none" w:sz="0" w:space="0" w:color="auto"/>
            <w:right w:val="none" w:sz="0" w:space="0" w:color="auto"/>
          </w:divBdr>
        </w:div>
      </w:divsChild>
    </w:div>
    <w:div w:id="653797959">
      <w:bodyDiv w:val="1"/>
      <w:marLeft w:val="0"/>
      <w:marRight w:val="0"/>
      <w:marTop w:val="0"/>
      <w:marBottom w:val="0"/>
      <w:divBdr>
        <w:top w:val="none" w:sz="0" w:space="0" w:color="auto"/>
        <w:left w:val="none" w:sz="0" w:space="0" w:color="auto"/>
        <w:bottom w:val="none" w:sz="0" w:space="0" w:color="auto"/>
        <w:right w:val="none" w:sz="0" w:space="0" w:color="auto"/>
      </w:divBdr>
      <w:divsChild>
        <w:div w:id="2007856631">
          <w:marLeft w:val="0"/>
          <w:marRight w:val="0"/>
          <w:marTop w:val="0"/>
          <w:marBottom w:val="0"/>
          <w:divBdr>
            <w:top w:val="none" w:sz="0" w:space="0" w:color="auto"/>
            <w:left w:val="none" w:sz="0" w:space="0" w:color="auto"/>
            <w:bottom w:val="none" w:sz="0" w:space="0" w:color="auto"/>
            <w:right w:val="none" w:sz="0" w:space="0" w:color="auto"/>
          </w:divBdr>
          <w:divsChild>
            <w:div w:id="908926244">
              <w:marLeft w:val="0"/>
              <w:marRight w:val="0"/>
              <w:marTop w:val="0"/>
              <w:marBottom w:val="0"/>
              <w:divBdr>
                <w:top w:val="none" w:sz="0" w:space="0" w:color="auto"/>
                <w:left w:val="none" w:sz="0" w:space="0" w:color="auto"/>
                <w:bottom w:val="none" w:sz="0" w:space="0" w:color="auto"/>
                <w:right w:val="none" w:sz="0" w:space="0" w:color="auto"/>
              </w:divBdr>
              <w:divsChild>
                <w:div w:id="17825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247">
      <w:bodyDiv w:val="1"/>
      <w:marLeft w:val="0"/>
      <w:marRight w:val="0"/>
      <w:marTop w:val="0"/>
      <w:marBottom w:val="0"/>
      <w:divBdr>
        <w:top w:val="none" w:sz="0" w:space="0" w:color="auto"/>
        <w:left w:val="none" w:sz="0" w:space="0" w:color="auto"/>
        <w:bottom w:val="none" w:sz="0" w:space="0" w:color="auto"/>
        <w:right w:val="none" w:sz="0" w:space="0" w:color="auto"/>
      </w:divBdr>
      <w:divsChild>
        <w:div w:id="1193377552">
          <w:marLeft w:val="446"/>
          <w:marRight w:val="0"/>
          <w:marTop w:val="0"/>
          <w:marBottom w:val="0"/>
          <w:divBdr>
            <w:top w:val="none" w:sz="0" w:space="0" w:color="auto"/>
            <w:left w:val="none" w:sz="0" w:space="0" w:color="auto"/>
            <w:bottom w:val="none" w:sz="0" w:space="0" w:color="auto"/>
            <w:right w:val="none" w:sz="0" w:space="0" w:color="auto"/>
          </w:divBdr>
        </w:div>
      </w:divsChild>
    </w:div>
    <w:div w:id="822889403">
      <w:bodyDiv w:val="1"/>
      <w:marLeft w:val="0"/>
      <w:marRight w:val="0"/>
      <w:marTop w:val="0"/>
      <w:marBottom w:val="0"/>
      <w:divBdr>
        <w:top w:val="none" w:sz="0" w:space="0" w:color="auto"/>
        <w:left w:val="none" w:sz="0" w:space="0" w:color="auto"/>
        <w:bottom w:val="none" w:sz="0" w:space="0" w:color="auto"/>
        <w:right w:val="none" w:sz="0" w:space="0" w:color="auto"/>
      </w:divBdr>
      <w:divsChild>
        <w:div w:id="188226343">
          <w:marLeft w:val="446"/>
          <w:marRight w:val="0"/>
          <w:marTop w:val="0"/>
          <w:marBottom w:val="0"/>
          <w:divBdr>
            <w:top w:val="none" w:sz="0" w:space="0" w:color="auto"/>
            <w:left w:val="none" w:sz="0" w:space="0" w:color="auto"/>
            <w:bottom w:val="none" w:sz="0" w:space="0" w:color="auto"/>
            <w:right w:val="none" w:sz="0" w:space="0" w:color="auto"/>
          </w:divBdr>
        </w:div>
        <w:div w:id="1831290874">
          <w:marLeft w:val="446"/>
          <w:marRight w:val="0"/>
          <w:marTop w:val="0"/>
          <w:marBottom w:val="0"/>
          <w:divBdr>
            <w:top w:val="none" w:sz="0" w:space="0" w:color="auto"/>
            <w:left w:val="none" w:sz="0" w:space="0" w:color="auto"/>
            <w:bottom w:val="none" w:sz="0" w:space="0" w:color="auto"/>
            <w:right w:val="none" w:sz="0" w:space="0" w:color="auto"/>
          </w:divBdr>
        </w:div>
        <w:div w:id="2080668798">
          <w:marLeft w:val="446"/>
          <w:marRight w:val="0"/>
          <w:marTop w:val="0"/>
          <w:marBottom w:val="0"/>
          <w:divBdr>
            <w:top w:val="none" w:sz="0" w:space="0" w:color="auto"/>
            <w:left w:val="none" w:sz="0" w:space="0" w:color="auto"/>
            <w:bottom w:val="none" w:sz="0" w:space="0" w:color="auto"/>
            <w:right w:val="none" w:sz="0" w:space="0" w:color="auto"/>
          </w:divBdr>
        </w:div>
      </w:divsChild>
    </w:div>
    <w:div w:id="874385971">
      <w:bodyDiv w:val="1"/>
      <w:marLeft w:val="0"/>
      <w:marRight w:val="0"/>
      <w:marTop w:val="0"/>
      <w:marBottom w:val="0"/>
      <w:divBdr>
        <w:top w:val="none" w:sz="0" w:space="0" w:color="auto"/>
        <w:left w:val="none" w:sz="0" w:space="0" w:color="auto"/>
        <w:bottom w:val="none" w:sz="0" w:space="0" w:color="auto"/>
        <w:right w:val="none" w:sz="0" w:space="0" w:color="auto"/>
      </w:divBdr>
      <w:divsChild>
        <w:div w:id="878011570">
          <w:marLeft w:val="0"/>
          <w:marRight w:val="0"/>
          <w:marTop w:val="0"/>
          <w:marBottom w:val="0"/>
          <w:divBdr>
            <w:top w:val="none" w:sz="0" w:space="0" w:color="auto"/>
            <w:left w:val="none" w:sz="0" w:space="0" w:color="auto"/>
            <w:bottom w:val="none" w:sz="0" w:space="0" w:color="auto"/>
            <w:right w:val="none" w:sz="0" w:space="0" w:color="auto"/>
          </w:divBdr>
          <w:divsChild>
            <w:div w:id="172191176">
              <w:marLeft w:val="0"/>
              <w:marRight w:val="0"/>
              <w:marTop w:val="0"/>
              <w:marBottom w:val="0"/>
              <w:divBdr>
                <w:top w:val="none" w:sz="0" w:space="0" w:color="auto"/>
                <w:left w:val="none" w:sz="0" w:space="0" w:color="auto"/>
                <w:bottom w:val="none" w:sz="0" w:space="0" w:color="auto"/>
                <w:right w:val="none" w:sz="0" w:space="0" w:color="auto"/>
              </w:divBdr>
              <w:divsChild>
                <w:div w:id="19449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7001">
      <w:bodyDiv w:val="1"/>
      <w:marLeft w:val="0"/>
      <w:marRight w:val="0"/>
      <w:marTop w:val="0"/>
      <w:marBottom w:val="0"/>
      <w:divBdr>
        <w:top w:val="none" w:sz="0" w:space="0" w:color="auto"/>
        <w:left w:val="none" w:sz="0" w:space="0" w:color="auto"/>
        <w:bottom w:val="none" w:sz="0" w:space="0" w:color="auto"/>
        <w:right w:val="none" w:sz="0" w:space="0" w:color="auto"/>
      </w:divBdr>
      <w:divsChild>
        <w:div w:id="72163290">
          <w:marLeft w:val="446"/>
          <w:marRight w:val="0"/>
          <w:marTop w:val="0"/>
          <w:marBottom w:val="0"/>
          <w:divBdr>
            <w:top w:val="none" w:sz="0" w:space="0" w:color="auto"/>
            <w:left w:val="none" w:sz="0" w:space="0" w:color="auto"/>
            <w:bottom w:val="none" w:sz="0" w:space="0" w:color="auto"/>
            <w:right w:val="none" w:sz="0" w:space="0" w:color="auto"/>
          </w:divBdr>
        </w:div>
        <w:div w:id="86050201">
          <w:marLeft w:val="446"/>
          <w:marRight w:val="0"/>
          <w:marTop w:val="0"/>
          <w:marBottom w:val="0"/>
          <w:divBdr>
            <w:top w:val="none" w:sz="0" w:space="0" w:color="auto"/>
            <w:left w:val="none" w:sz="0" w:space="0" w:color="auto"/>
            <w:bottom w:val="none" w:sz="0" w:space="0" w:color="auto"/>
            <w:right w:val="none" w:sz="0" w:space="0" w:color="auto"/>
          </w:divBdr>
        </w:div>
        <w:div w:id="246115690">
          <w:marLeft w:val="446"/>
          <w:marRight w:val="0"/>
          <w:marTop w:val="0"/>
          <w:marBottom w:val="0"/>
          <w:divBdr>
            <w:top w:val="none" w:sz="0" w:space="0" w:color="auto"/>
            <w:left w:val="none" w:sz="0" w:space="0" w:color="auto"/>
            <w:bottom w:val="none" w:sz="0" w:space="0" w:color="auto"/>
            <w:right w:val="none" w:sz="0" w:space="0" w:color="auto"/>
          </w:divBdr>
        </w:div>
        <w:div w:id="713315717">
          <w:marLeft w:val="446"/>
          <w:marRight w:val="0"/>
          <w:marTop w:val="0"/>
          <w:marBottom w:val="0"/>
          <w:divBdr>
            <w:top w:val="none" w:sz="0" w:space="0" w:color="auto"/>
            <w:left w:val="none" w:sz="0" w:space="0" w:color="auto"/>
            <w:bottom w:val="none" w:sz="0" w:space="0" w:color="auto"/>
            <w:right w:val="none" w:sz="0" w:space="0" w:color="auto"/>
          </w:divBdr>
        </w:div>
        <w:div w:id="984043544">
          <w:marLeft w:val="446"/>
          <w:marRight w:val="0"/>
          <w:marTop w:val="0"/>
          <w:marBottom w:val="0"/>
          <w:divBdr>
            <w:top w:val="none" w:sz="0" w:space="0" w:color="auto"/>
            <w:left w:val="none" w:sz="0" w:space="0" w:color="auto"/>
            <w:bottom w:val="none" w:sz="0" w:space="0" w:color="auto"/>
            <w:right w:val="none" w:sz="0" w:space="0" w:color="auto"/>
          </w:divBdr>
        </w:div>
        <w:div w:id="998924883">
          <w:marLeft w:val="446"/>
          <w:marRight w:val="0"/>
          <w:marTop w:val="0"/>
          <w:marBottom w:val="0"/>
          <w:divBdr>
            <w:top w:val="none" w:sz="0" w:space="0" w:color="auto"/>
            <w:left w:val="none" w:sz="0" w:space="0" w:color="auto"/>
            <w:bottom w:val="none" w:sz="0" w:space="0" w:color="auto"/>
            <w:right w:val="none" w:sz="0" w:space="0" w:color="auto"/>
          </w:divBdr>
        </w:div>
        <w:div w:id="1616207311">
          <w:marLeft w:val="446"/>
          <w:marRight w:val="0"/>
          <w:marTop w:val="0"/>
          <w:marBottom w:val="0"/>
          <w:divBdr>
            <w:top w:val="none" w:sz="0" w:space="0" w:color="auto"/>
            <w:left w:val="none" w:sz="0" w:space="0" w:color="auto"/>
            <w:bottom w:val="none" w:sz="0" w:space="0" w:color="auto"/>
            <w:right w:val="none" w:sz="0" w:space="0" w:color="auto"/>
          </w:divBdr>
        </w:div>
        <w:div w:id="1726878599">
          <w:marLeft w:val="446"/>
          <w:marRight w:val="0"/>
          <w:marTop w:val="0"/>
          <w:marBottom w:val="0"/>
          <w:divBdr>
            <w:top w:val="none" w:sz="0" w:space="0" w:color="auto"/>
            <w:left w:val="none" w:sz="0" w:space="0" w:color="auto"/>
            <w:bottom w:val="none" w:sz="0" w:space="0" w:color="auto"/>
            <w:right w:val="none" w:sz="0" w:space="0" w:color="auto"/>
          </w:divBdr>
        </w:div>
      </w:divsChild>
    </w:div>
    <w:div w:id="1079910926">
      <w:bodyDiv w:val="1"/>
      <w:marLeft w:val="0"/>
      <w:marRight w:val="0"/>
      <w:marTop w:val="0"/>
      <w:marBottom w:val="0"/>
      <w:divBdr>
        <w:top w:val="none" w:sz="0" w:space="0" w:color="auto"/>
        <w:left w:val="none" w:sz="0" w:space="0" w:color="auto"/>
        <w:bottom w:val="none" w:sz="0" w:space="0" w:color="auto"/>
        <w:right w:val="none" w:sz="0" w:space="0" w:color="auto"/>
      </w:divBdr>
      <w:divsChild>
        <w:div w:id="188689162">
          <w:marLeft w:val="446"/>
          <w:marRight w:val="0"/>
          <w:marTop w:val="0"/>
          <w:marBottom w:val="0"/>
          <w:divBdr>
            <w:top w:val="none" w:sz="0" w:space="0" w:color="auto"/>
            <w:left w:val="none" w:sz="0" w:space="0" w:color="auto"/>
            <w:bottom w:val="none" w:sz="0" w:space="0" w:color="auto"/>
            <w:right w:val="none" w:sz="0" w:space="0" w:color="auto"/>
          </w:divBdr>
        </w:div>
        <w:div w:id="560411049">
          <w:marLeft w:val="446"/>
          <w:marRight w:val="0"/>
          <w:marTop w:val="0"/>
          <w:marBottom w:val="0"/>
          <w:divBdr>
            <w:top w:val="none" w:sz="0" w:space="0" w:color="auto"/>
            <w:left w:val="none" w:sz="0" w:space="0" w:color="auto"/>
            <w:bottom w:val="none" w:sz="0" w:space="0" w:color="auto"/>
            <w:right w:val="none" w:sz="0" w:space="0" w:color="auto"/>
          </w:divBdr>
        </w:div>
        <w:div w:id="626014095">
          <w:marLeft w:val="1166"/>
          <w:marRight w:val="0"/>
          <w:marTop w:val="0"/>
          <w:marBottom w:val="0"/>
          <w:divBdr>
            <w:top w:val="none" w:sz="0" w:space="0" w:color="auto"/>
            <w:left w:val="none" w:sz="0" w:space="0" w:color="auto"/>
            <w:bottom w:val="none" w:sz="0" w:space="0" w:color="auto"/>
            <w:right w:val="none" w:sz="0" w:space="0" w:color="auto"/>
          </w:divBdr>
        </w:div>
        <w:div w:id="1088113833">
          <w:marLeft w:val="446"/>
          <w:marRight w:val="0"/>
          <w:marTop w:val="0"/>
          <w:marBottom w:val="0"/>
          <w:divBdr>
            <w:top w:val="none" w:sz="0" w:space="0" w:color="auto"/>
            <w:left w:val="none" w:sz="0" w:space="0" w:color="auto"/>
            <w:bottom w:val="none" w:sz="0" w:space="0" w:color="auto"/>
            <w:right w:val="none" w:sz="0" w:space="0" w:color="auto"/>
          </w:divBdr>
        </w:div>
        <w:div w:id="1150634685">
          <w:marLeft w:val="1166"/>
          <w:marRight w:val="0"/>
          <w:marTop w:val="0"/>
          <w:marBottom w:val="0"/>
          <w:divBdr>
            <w:top w:val="none" w:sz="0" w:space="0" w:color="auto"/>
            <w:left w:val="none" w:sz="0" w:space="0" w:color="auto"/>
            <w:bottom w:val="none" w:sz="0" w:space="0" w:color="auto"/>
            <w:right w:val="none" w:sz="0" w:space="0" w:color="auto"/>
          </w:divBdr>
        </w:div>
        <w:div w:id="1340503495">
          <w:marLeft w:val="446"/>
          <w:marRight w:val="0"/>
          <w:marTop w:val="0"/>
          <w:marBottom w:val="0"/>
          <w:divBdr>
            <w:top w:val="none" w:sz="0" w:space="0" w:color="auto"/>
            <w:left w:val="none" w:sz="0" w:space="0" w:color="auto"/>
            <w:bottom w:val="none" w:sz="0" w:space="0" w:color="auto"/>
            <w:right w:val="none" w:sz="0" w:space="0" w:color="auto"/>
          </w:divBdr>
        </w:div>
        <w:div w:id="1575045667">
          <w:marLeft w:val="446"/>
          <w:marRight w:val="0"/>
          <w:marTop w:val="0"/>
          <w:marBottom w:val="0"/>
          <w:divBdr>
            <w:top w:val="none" w:sz="0" w:space="0" w:color="auto"/>
            <w:left w:val="none" w:sz="0" w:space="0" w:color="auto"/>
            <w:bottom w:val="none" w:sz="0" w:space="0" w:color="auto"/>
            <w:right w:val="none" w:sz="0" w:space="0" w:color="auto"/>
          </w:divBdr>
        </w:div>
        <w:div w:id="1638802291">
          <w:marLeft w:val="446"/>
          <w:marRight w:val="0"/>
          <w:marTop w:val="0"/>
          <w:marBottom w:val="0"/>
          <w:divBdr>
            <w:top w:val="none" w:sz="0" w:space="0" w:color="auto"/>
            <w:left w:val="none" w:sz="0" w:space="0" w:color="auto"/>
            <w:bottom w:val="none" w:sz="0" w:space="0" w:color="auto"/>
            <w:right w:val="none" w:sz="0" w:space="0" w:color="auto"/>
          </w:divBdr>
        </w:div>
        <w:div w:id="1811702717">
          <w:marLeft w:val="1166"/>
          <w:marRight w:val="0"/>
          <w:marTop w:val="0"/>
          <w:marBottom w:val="0"/>
          <w:divBdr>
            <w:top w:val="none" w:sz="0" w:space="0" w:color="auto"/>
            <w:left w:val="none" w:sz="0" w:space="0" w:color="auto"/>
            <w:bottom w:val="none" w:sz="0" w:space="0" w:color="auto"/>
            <w:right w:val="none" w:sz="0" w:space="0" w:color="auto"/>
          </w:divBdr>
        </w:div>
        <w:div w:id="1942646802">
          <w:marLeft w:val="446"/>
          <w:marRight w:val="0"/>
          <w:marTop w:val="0"/>
          <w:marBottom w:val="0"/>
          <w:divBdr>
            <w:top w:val="none" w:sz="0" w:space="0" w:color="auto"/>
            <w:left w:val="none" w:sz="0" w:space="0" w:color="auto"/>
            <w:bottom w:val="none" w:sz="0" w:space="0" w:color="auto"/>
            <w:right w:val="none" w:sz="0" w:space="0" w:color="auto"/>
          </w:divBdr>
        </w:div>
        <w:div w:id="2059936246">
          <w:marLeft w:val="1166"/>
          <w:marRight w:val="0"/>
          <w:marTop w:val="0"/>
          <w:marBottom w:val="0"/>
          <w:divBdr>
            <w:top w:val="none" w:sz="0" w:space="0" w:color="auto"/>
            <w:left w:val="none" w:sz="0" w:space="0" w:color="auto"/>
            <w:bottom w:val="none" w:sz="0" w:space="0" w:color="auto"/>
            <w:right w:val="none" w:sz="0" w:space="0" w:color="auto"/>
          </w:divBdr>
        </w:div>
      </w:divsChild>
    </w:div>
    <w:div w:id="1155413008">
      <w:bodyDiv w:val="1"/>
      <w:marLeft w:val="0"/>
      <w:marRight w:val="0"/>
      <w:marTop w:val="0"/>
      <w:marBottom w:val="0"/>
      <w:divBdr>
        <w:top w:val="none" w:sz="0" w:space="0" w:color="auto"/>
        <w:left w:val="none" w:sz="0" w:space="0" w:color="auto"/>
        <w:bottom w:val="none" w:sz="0" w:space="0" w:color="auto"/>
        <w:right w:val="none" w:sz="0" w:space="0" w:color="auto"/>
      </w:divBdr>
      <w:divsChild>
        <w:div w:id="78604248">
          <w:marLeft w:val="446"/>
          <w:marRight w:val="0"/>
          <w:marTop w:val="0"/>
          <w:marBottom w:val="0"/>
          <w:divBdr>
            <w:top w:val="none" w:sz="0" w:space="0" w:color="auto"/>
            <w:left w:val="none" w:sz="0" w:space="0" w:color="auto"/>
            <w:bottom w:val="none" w:sz="0" w:space="0" w:color="auto"/>
            <w:right w:val="none" w:sz="0" w:space="0" w:color="auto"/>
          </w:divBdr>
        </w:div>
        <w:div w:id="404303869">
          <w:marLeft w:val="1166"/>
          <w:marRight w:val="0"/>
          <w:marTop w:val="0"/>
          <w:marBottom w:val="0"/>
          <w:divBdr>
            <w:top w:val="none" w:sz="0" w:space="0" w:color="auto"/>
            <w:left w:val="none" w:sz="0" w:space="0" w:color="auto"/>
            <w:bottom w:val="none" w:sz="0" w:space="0" w:color="auto"/>
            <w:right w:val="none" w:sz="0" w:space="0" w:color="auto"/>
          </w:divBdr>
        </w:div>
        <w:div w:id="696665322">
          <w:marLeft w:val="446"/>
          <w:marRight w:val="0"/>
          <w:marTop w:val="0"/>
          <w:marBottom w:val="0"/>
          <w:divBdr>
            <w:top w:val="none" w:sz="0" w:space="0" w:color="auto"/>
            <w:left w:val="none" w:sz="0" w:space="0" w:color="auto"/>
            <w:bottom w:val="none" w:sz="0" w:space="0" w:color="auto"/>
            <w:right w:val="none" w:sz="0" w:space="0" w:color="auto"/>
          </w:divBdr>
        </w:div>
        <w:div w:id="943879384">
          <w:marLeft w:val="1166"/>
          <w:marRight w:val="0"/>
          <w:marTop w:val="0"/>
          <w:marBottom w:val="0"/>
          <w:divBdr>
            <w:top w:val="none" w:sz="0" w:space="0" w:color="auto"/>
            <w:left w:val="none" w:sz="0" w:space="0" w:color="auto"/>
            <w:bottom w:val="none" w:sz="0" w:space="0" w:color="auto"/>
            <w:right w:val="none" w:sz="0" w:space="0" w:color="auto"/>
          </w:divBdr>
        </w:div>
        <w:div w:id="1067263274">
          <w:marLeft w:val="446"/>
          <w:marRight w:val="0"/>
          <w:marTop w:val="0"/>
          <w:marBottom w:val="0"/>
          <w:divBdr>
            <w:top w:val="none" w:sz="0" w:space="0" w:color="auto"/>
            <w:left w:val="none" w:sz="0" w:space="0" w:color="auto"/>
            <w:bottom w:val="none" w:sz="0" w:space="0" w:color="auto"/>
            <w:right w:val="none" w:sz="0" w:space="0" w:color="auto"/>
          </w:divBdr>
        </w:div>
        <w:div w:id="1164470862">
          <w:marLeft w:val="1166"/>
          <w:marRight w:val="0"/>
          <w:marTop w:val="0"/>
          <w:marBottom w:val="0"/>
          <w:divBdr>
            <w:top w:val="none" w:sz="0" w:space="0" w:color="auto"/>
            <w:left w:val="none" w:sz="0" w:space="0" w:color="auto"/>
            <w:bottom w:val="none" w:sz="0" w:space="0" w:color="auto"/>
            <w:right w:val="none" w:sz="0" w:space="0" w:color="auto"/>
          </w:divBdr>
        </w:div>
        <w:div w:id="1407534419">
          <w:marLeft w:val="446"/>
          <w:marRight w:val="0"/>
          <w:marTop w:val="0"/>
          <w:marBottom w:val="0"/>
          <w:divBdr>
            <w:top w:val="none" w:sz="0" w:space="0" w:color="auto"/>
            <w:left w:val="none" w:sz="0" w:space="0" w:color="auto"/>
            <w:bottom w:val="none" w:sz="0" w:space="0" w:color="auto"/>
            <w:right w:val="none" w:sz="0" w:space="0" w:color="auto"/>
          </w:divBdr>
        </w:div>
        <w:div w:id="1412582978">
          <w:marLeft w:val="446"/>
          <w:marRight w:val="0"/>
          <w:marTop w:val="0"/>
          <w:marBottom w:val="0"/>
          <w:divBdr>
            <w:top w:val="none" w:sz="0" w:space="0" w:color="auto"/>
            <w:left w:val="none" w:sz="0" w:space="0" w:color="auto"/>
            <w:bottom w:val="none" w:sz="0" w:space="0" w:color="auto"/>
            <w:right w:val="none" w:sz="0" w:space="0" w:color="auto"/>
          </w:divBdr>
        </w:div>
        <w:div w:id="1530801277">
          <w:marLeft w:val="446"/>
          <w:marRight w:val="0"/>
          <w:marTop w:val="0"/>
          <w:marBottom w:val="0"/>
          <w:divBdr>
            <w:top w:val="none" w:sz="0" w:space="0" w:color="auto"/>
            <w:left w:val="none" w:sz="0" w:space="0" w:color="auto"/>
            <w:bottom w:val="none" w:sz="0" w:space="0" w:color="auto"/>
            <w:right w:val="none" w:sz="0" w:space="0" w:color="auto"/>
          </w:divBdr>
        </w:div>
        <w:div w:id="1746949568">
          <w:marLeft w:val="1166"/>
          <w:marRight w:val="0"/>
          <w:marTop w:val="0"/>
          <w:marBottom w:val="0"/>
          <w:divBdr>
            <w:top w:val="none" w:sz="0" w:space="0" w:color="auto"/>
            <w:left w:val="none" w:sz="0" w:space="0" w:color="auto"/>
            <w:bottom w:val="none" w:sz="0" w:space="0" w:color="auto"/>
            <w:right w:val="none" w:sz="0" w:space="0" w:color="auto"/>
          </w:divBdr>
        </w:div>
        <w:div w:id="2004242052">
          <w:marLeft w:val="1166"/>
          <w:marRight w:val="0"/>
          <w:marTop w:val="0"/>
          <w:marBottom w:val="0"/>
          <w:divBdr>
            <w:top w:val="none" w:sz="0" w:space="0" w:color="auto"/>
            <w:left w:val="none" w:sz="0" w:space="0" w:color="auto"/>
            <w:bottom w:val="none" w:sz="0" w:space="0" w:color="auto"/>
            <w:right w:val="none" w:sz="0" w:space="0" w:color="auto"/>
          </w:divBdr>
        </w:div>
        <w:div w:id="2121606071">
          <w:marLeft w:val="1166"/>
          <w:marRight w:val="0"/>
          <w:marTop w:val="0"/>
          <w:marBottom w:val="0"/>
          <w:divBdr>
            <w:top w:val="none" w:sz="0" w:space="0" w:color="auto"/>
            <w:left w:val="none" w:sz="0" w:space="0" w:color="auto"/>
            <w:bottom w:val="none" w:sz="0" w:space="0" w:color="auto"/>
            <w:right w:val="none" w:sz="0" w:space="0" w:color="auto"/>
          </w:divBdr>
        </w:div>
        <w:div w:id="2126922735">
          <w:marLeft w:val="446"/>
          <w:marRight w:val="0"/>
          <w:marTop w:val="0"/>
          <w:marBottom w:val="0"/>
          <w:divBdr>
            <w:top w:val="none" w:sz="0" w:space="0" w:color="auto"/>
            <w:left w:val="none" w:sz="0" w:space="0" w:color="auto"/>
            <w:bottom w:val="none" w:sz="0" w:space="0" w:color="auto"/>
            <w:right w:val="none" w:sz="0" w:space="0" w:color="auto"/>
          </w:divBdr>
        </w:div>
      </w:divsChild>
    </w:div>
    <w:div w:id="1800369629">
      <w:bodyDiv w:val="1"/>
      <w:marLeft w:val="0"/>
      <w:marRight w:val="0"/>
      <w:marTop w:val="0"/>
      <w:marBottom w:val="0"/>
      <w:divBdr>
        <w:top w:val="none" w:sz="0" w:space="0" w:color="auto"/>
        <w:left w:val="none" w:sz="0" w:space="0" w:color="auto"/>
        <w:bottom w:val="none" w:sz="0" w:space="0" w:color="auto"/>
        <w:right w:val="none" w:sz="0" w:space="0" w:color="auto"/>
      </w:divBdr>
      <w:divsChild>
        <w:div w:id="104153876">
          <w:marLeft w:val="547"/>
          <w:marRight w:val="0"/>
          <w:marTop w:val="110"/>
          <w:marBottom w:val="0"/>
          <w:divBdr>
            <w:top w:val="none" w:sz="0" w:space="0" w:color="auto"/>
            <w:left w:val="none" w:sz="0" w:space="0" w:color="auto"/>
            <w:bottom w:val="none" w:sz="0" w:space="0" w:color="auto"/>
            <w:right w:val="none" w:sz="0" w:space="0" w:color="auto"/>
          </w:divBdr>
        </w:div>
      </w:divsChild>
    </w:div>
    <w:div w:id="1816989261">
      <w:bodyDiv w:val="1"/>
      <w:marLeft w:val="0"/>
      <w:marRight w:val="0"/>
      <w:marTop w:val="0"/>
      <w:marBottom w:val="0"/>
      <w:divBdr>
        <w:top w:val="none" w:sz="0" w:space="0" w:color="auto"/>
        <w:left w:val="none" w:sz="0" w:space="0" w:color="auto"/>
        <w:bottom w:val="none" w:sz="0" w:space="0" w:color="auto"/>
        <w:right w:val="none" w:sz="0" w:space="0" w:color="auto"/>
      </w:divBdr>
      <w:divsChild>
        <w:div w:id="86779507">
          <w:marLeft w:val="446"/>
          <w:marRight w:val="0"/>
          <w:marTop w:val="0"/>
          <w:marBottom w:val="0"/>
          <w:divBdr>
            <w:top w:val="none" w:sz="0" w:space="0" w:color="auto"/>
            <w:left w:val="none" w:sz="0" w:space="0" w:color="auto"/>
            <w:bottom w:val="none" w:sz="0" w:space="0" w:color="auto"/>
            <w:right w:val="none" w:sz="0" w:space="0" w:color="auto"/>
          </w:divBdr>
        </w:div>
        <w:div w:id="503395929">
          <w:marLeft w:val="446"/>
          <w:marRight w:val="0"/>
          <w:marTop w:val="0"/>
          <w:marBottom w:val="0"/>
          <w:divBdr>
            <w:top w:val="none" w:sz="0" w:space="0" w:color="auto"/>
            <w:left w:val="none" w:sz="0" w:space="0" w:color="auto"/>
            <w:bottom w:val="none" w:sz="0" w:space="0" w:color="auto"/>
            <w:right w:val="none" w:sz="0" w:space="0" w:color="auto"/>
          </w:divBdr>
        </w:div>
        <w:div w:id="622881192">
          <w:marLeft w:val="446"/>
          <w:marRight w:val="0"/>
          <w:marTop w:val="0"/>
          <w:marBottom w:val="0"/>
          <w:divBdr>
            <w:top w:val="none" w:sz="0" w:space="0" w:color="auto"/>
            <w:left w:val="none" w:sz="0" w:space="0" w:color="auto"/>
            <w:bottom w:val="none" w:sz="0" w:space="0" w:color="auto"/>
            <w:right w:val="none" w:sz="0" w:space="0" w:color="auto"/>
          </w:divBdr>
        </w:div>
        <w:div w:id="1243756467">
          <w:marLeft w:val="446"/>
          <w:marRight w:val="0"/>
          <w:marTop w:val="0"/>
          <w:marBottom w:val="0"/>
          <w:divBdr>
            <w:top w:val="none" w:sz="0" w:space="0" w:color="auto"/>
            <w:left w:val="none" w:sz="0" w:space="0" w:color="auto"/>
            <w:bottom w:val="none" w:sz="0" w:space="0" w:color="auto"/>
            <w:right w:val="none" w:sz="0" w:space="0" w:color="auto"/>
          </w:divBdr>
        </w:div>
        <w:div w:id="1271887653">
          <w:marLeft w:val="446"/>
          <w:marRight w:val="0"/>
          <w:marTop w:val="0"/>
          <w:marBottom w:val="0"/>
          <w:divBdr>
            <w:top w:val="none" w:sz="0" w:space="0" w:color="auto"/>
            <w:left w:val="none" w:sz="0" w:space="0" w:color="auto"/>
            <w:bottom w:val="none" w:sz="0" w:space="0" w:color="auto"/>
            <w:right w:val="none" w:sz="0" w:space="0" w:color="auto"/>
          </w:divBdr>
        </w:div>
        <w:div w:id="1658264584">
          <w:marLeft w:val="446"/>
          <w:marRight w:val="0"/>
          <w:marTop w:val="0"/>
          <w:marBottom w:val="0"/>
          <w:divBdr>
            <w:top w:val="none" w:sz="0" w:space="0" w:color="auto"/>
            <w:left w:val="none" w:sz="0" w:space="0" w:color="auto"/>
            <w:bottom w:val="none" w:sz="0" w:space="0" w:color="auto"/>
            <w:right w:val="none" w:sz="0" w:space="0" w:color="auto"/>
          </w:divBdr>
        </w:div>
        <w:div w:id="1695501149">
          <w:marLeft w:val="446"/>
          <w:marRight w:val="0"/>
          <w:marTop w:val="0"/>
          <w:marBottom w:val="0"/>
          <w:divBdr>
            <w:top w:val="none" w:sz="0" w:space="0" w:color="auto"/>
            <w:left w:val="none" w:sz="0" w:space="0" w:color="auto"/>
            <w:bottom w:val="none" w:sz="0" w:space="0" w:color="auto"/>
            <w:right w:val="none" w:sz="0" w:space="0" w:color="auto"/>
          </w:divBdr>
        </w:div>
        <w:div w:id="1785149734">
          <w:marLeft w:val="446"/>
          <w:marRight w:val="0"/>
          <w:marTop w:val="0"/>
          <w:marBottom w:val="0"/>
          <w:divBdr>
            <w:top w:val="none" w:sz="0" w:space="0" w:color="auto"/>
            <w:left w:val="none" w:sz="0" w:space="0" w:color="auto"/>
            <w:bottom w:val="none" w:sz="0" w:space="0" w:color="auto"/>
            <w:right w:val="none" w:sz="0" w:space="0" w:color="auto"/>
          </w:divBdr>
        </w:div>
        <w:div w:id="2098744568">
          <w:marLeft w:val="446"/>
          <w:marRight w:val="0"/>
          <w:marTop w:val="0"/>
          <w:marBottom w:val="0"/>
          <w:divBdr>
            <w:top w:val="none" w:sz="0" w:space="0" w:color="auto"/>
            <w:left w:val="none" w:sz="0" w:space="0" w:color="auto"/>
            <w:bottom w:val="none" w:sz="0" w:space="0" w:color="auto"/>
            <w:right w:val="none" w:sz="0" w:space="0" w:color="auto"/>
          </w:divBdr>
        </w:div>
      </w:divsChild>
    </w:div>
    <w:div w:id="1904559769">
      <w:bodyDiv w:val="1"/>
      <w:marLeft w:val="0"/>
      <w:marRight w:val="0"/>
      <w:marTop w:val="0"/>
      <w:marBottom w:val="0"/>
      <w:divBdr>
        <w:top w:val="none" w:sz="0" w:space="0" w:color="auto"/>
        <w:left w:val="none" w:sz="0" w:space="0" w:color="auto"/>
        <w:bottom w:val="none" w:sz="0" w:space="0" w:color="auto"/>
        <w:right w:val="none" w:sz="0" w:space="0" w:color="auto"/>
      </w:divBdr>
      <w:divsChild>
        <w:div w:id="398139634">
          <w:marLeft w:val="446"/>
          <w:marRight w:val="0"/>
          <w:marTop w:val="0"/>
          <w:marBottom w:val="0"/>
          <w:divBdr>
            <w:top w:val="none" w:sz="0" w:space="0" w:color="auto"/>
            <w:left w:val="none" w:sz="0" w:space="0" w:color="auto"/>
            <w:bottom w:val="none" w:sz="0" w:space="0" w:color="auto"/>
            <w:right w:val="none" w:sz="0" w:space="0" w:color="auto"/>
          </w:divBdr>
        </w:div>
        <w:div w:id="719285384">
          <w:marLeft w:val="446"/>
          <w:marRight w:val="0"/>
          <w:marTop w:val="0"/>
          <w:marBottom w:val="0"/>
          <w:divBdr>
            <w:top w:val="none" w:sz="0" w:space="0" w:color="auto"/>
            <w:left w:val="none" w:sz="0" w:space="0" w:color="auto"/>
            <w:bottom w:val="none" w:sz="0" w:space="0" w:color="auto"/>
            <w:right w:val="none" w:sz="0" w:space="0" w:color="auto"/>
          </w:divBdr>
        </w:div>
        <w:div w:id="1017583635">
          <w:marLeft w:val="446"/>
          <w:marRight w:val="0"/>
          <w:marTop w:val="0"/>
          <w:marBottom w:val="0"/>
          <w:divBdr>
            <w:top w:val="none" w:sz="0" w:space="0" w:color="auto"/>
            <w:left w:val="none" w:sz="0" w:space="0" w:color="auto"/>
            <w:bottom w:val="none" w:sz="0" w:space="0" w:color="auto"/>
            <w:right w:val="none" w:sz="0" w:space="0" w:color="auto"/>
          </w:divBdr>
        </w:div>
        <w:div w:id="1376344884">
          <w:marLeft w:val="446"/>
          <w:marRight w:val="0"/>
          <w:marTop w:val="0"/>
          <w:marBottom w:val="0"/>
          <w:divBdr>
            <w:top w:val="none" w:sz="0" w:space="0" w:color="auto"/>
            <w:left w:val="none" w:sz="0" w:space="0" w:color="auto"/>
            <w:bottom w:val="none" w:sz="0" w:space="0" w:color="auto"/>
            <w:right w:val="none" w:sz="0" w:space="0" w:color="auto"/>
          </w:divBdr>
        </w:div>
        <w:div w:id="1440107070">
          <w:marLeft w:val="446"/>
          <w:marRight w:val="0"/>
          <w:marTop w:val="0"/>
          <w:marBottom w:val="0"/>
          <w:divBdr>
            <w:top w:val="none" w:sz="0" w:space="0" w:color="auto"/>
            <w:left w:val="none" w:sz="0" w:space="0" w:color="auto"/>
            <w:bottom w:val="none" w:sz="0" w:space="0" w:color="auto"/>
            <w:right w:val="none" w:sz="0" w:space="0" w:color="auto"/>
          </w:divBdr>
        </w:div>
        <w:div w:id="1716193619">
          <w:marLeft w:val="446"/>
          <w:marRight w:val="0"/>
          <w:marTop w:val="0"/>
          <w:marBottom w:val="0"/>
          <w:divBdr>
            <w:top w:val="none" w:sz="0" w:space="0" w:color="auto"/>
            <w:left w:val="none" w:sz="0" w:space="0" w:color="auto"/>
            <w:bottom w:val="none" w:sz="0" w:space="0" w:color="auto"/>
            <w:right w:val="none" w:sz="0" w:space="0" w:color="auto"/>
          </w:divBdr>
        </w:div>
        <w:div w:id="2053574582">
          <w:marLeft w:val="446"/>
          <w:marRight w:val="0"/>
          <w:marTop w:val="0"/>
          <w:marBottom w:val="0"/>
          <w:divBdr>
            <w:top w:val="none" w:sz="0" w:space="0" w:color="auto"/>
            <w:left w:val="none" w:sz="0" w:space="0" w:color="auto"/>
            <w:bottom w:val="none" w:sz="0" w:space="0" w:color="auto"/>
            <w:right w:val="none" w:sz="0" w:space="0" w:color="auto"/>
          </w:divBdr>
        </w:div>
      </w:divsChild>
    </w:div>
    <w:div w:id="1905407896">
      <w:bodyDiv w:val="1"/>
      <w:marLeft w:val="0"/>
      <w:marRight w:val="0"/>
      <w:marTop w:val="0"/>
      <w:marBottom w:val="0"/>
      <w:divBdr>
        <w:top w:val="none" w:sz="0" w:space="0" w:color="auto"/>
        <w:left w:val="none" w:sz="0" w:space="0" w:color="auto"/>
        <w:bottom w:val="none" w:sz="0" w:space="0" w:color="auto"/>
        <w:right w:val="none" w:sz="0" w:space="0" w:color="auto"/>
      </w:divBdr>
      <w:divsChild>
        <w:div w:id="883054447">
          <w:marLeft w:val="0"/>
          <w:marRight w:val="0"/>
          <w:marTop w:val="0"/>
          <w:marBottom w:val="0"/>
          <w:divBdr>
            <w:top w:val="none" w:sz="0" w:space="0" w:color="auto"/>
            <w:left w:val="none" w:sz="0" w:space="0" w:color="auto"/>
            <w:bottom w:val="none" w:sz="0" w:space="0" w:color="auto"/>
            <w:right w:val="none" w:sz="0" w:space="0" w:color="auto"/>
          </w:divBdr>
          <w:divsChild>
            <w:div w:id="707266328">
              <w:marLeft w:val="0"/>
              <w:marRight w:val="0"/>
              <w:marTop w:val="0"/>
              <w:marBottom w:val="0"/>
              <w:divBdr>
                <w:top w:val="none" w:sz="0" w:space="0" w:color="auto"/>
                <w:left w:val="none" w:sz="0" w:space="0" w:color="auto"/>
                <w:bottom w:val="none" w:sz="0" w:space="0" w:color="auto"/>
                <w:right w:val="none" w:sz="0" w:space="0" w:color="auto"/>
              </w:divBdr>
              <w:divsChild>
                <w:div w:id="7362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71171">
      <w:bodyDiv w:val="1"/>
      <w:marLeft w:val="0"/>
      <w:marRight w:val="0"/>
      <w:marTop w:val="0"/>
      <w:marBottom w:val="0"/>
      <w:divBdr>
        <w:top w:val="none" w:sz="0" w:space="0" w:color="auto"/>
        <w:left w:val="none" w:sz="0" w:space="0" w:color="auto"/>
        <w:bottom w:val="none" w:sz="0" w:space="0" w:color="auto"/>
        <w:right w:val="none" w:sz="0" w:space="0" w:color="auto"/>
      </w:divBdr>
      <w:divsChild>
        <w:div w:id="25955535">
          <w:marLeft w:val="0"/>
          <w:marRight w:val="0"/>
          <w:marTop w:val="0"/>
          <w:marBottom w:val="0"/>
          <w:divBdr>
            <w:top w:val="none" w:sz="0" w:space="0" w:color="auto"/>
            <w:left w:val="none" w:sz="0" w:space="0" w:color="auto"/>
            <w:bottom w:val="none" w:sz="0" w:space="0" w:color="auto"/>
            <w:right w:val="none" w:sz="0" w:space="0" w:color="auto"/>
          </w:divBdr>
          <w:divsChild>
            <w:div w:id="119148678">
              <w:marLeft w:val="0"/>
              <w:marRight w:val="0"/>
              <w:marTop w:val="0"/>
              <w:marBottom w:val="0"/>
              <w:divBdr>
                <w:top w:val="none" w:sz="0" w:space="0" w:color="auto"/>
                <w:left w:val="none" w:sz="0" w:space="0" w:color="auto"/>
                <w:bottom w:val="none" w:sz="0" w:space="0" w:color="auto"/>
                <w:right w:val="none" w:sz="0" w:space="0" w:color="auto"/>
              </w:divBdr>
              <w:divsChild>
                <w:div w:id="5240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tc.gov/news-events/events-calendar/2014/09/big-data-tool-inclusion-or-exclusion" TargetMode="External"/><Relationship Id="rId26" Type="http://schemas.openxmlformats.org/officeDocument/2006/relationships/hyperlink" Target="http://www.hhs.gov/ocr/privacy/hipaa/understanding/coveredentities/" TargetMode="External"/><Relationship Id="rId39" Type="http://schemas.openxmlformats.org/officeDocument/2006/relationships/hyperlink" Target="https://www.whitehouse.gov/sites/default/files/omb/memoranda/2013/m-13-13.pdf" TargetMode="External"/><Relationship Id="rId21" Type="http://schemas.openxmlformats.org/officeDocument/2006/relationships/hyperlink" Target="http://www.healthit.gov/sites/default/files/nationwide-interoperability-roadmap-draft-version-1.0.pdf" TargetMode="External"/><Relationship Id="rId34" Type="http://schemas.openxmlformats.org/officeDocument/2006/relationships/hyperlink" Target="http://www.healthit.gov/facas/sites/faca/files/PSWG_Background_Kirk_Nahra_Health_Care_Privacy_Paradigm_2014-12-08.pdf" TargetMode="External"/><Relationship Id="rId42" Type="http://schemas.openxmlformats.org/officeDocument/2006/relationships/hyperlink" Target="http://www.healthit.gov/facas/calendar/2015/02/09/policy-privacy-security-workgroup" TargetMode="External"/><Relationship Id="rId47" Type="http://schemas.openxmlformats.org/officeDocument/2006/relationships/hyperlink" Target="http://www.healthit.gov/facas/sites/faca/files/PSWG_Transcript_Final_2015-02-09.pdf" TargetMode="External"/><Relationship Id="rId50" Type="http://schemas.openxmlformats.org/officeDocument/2006/relationships/hyperlink" Target="http://www.healthit.gov/facas/sites/faca/files/PSWG_Background_Leslie_Francis_NCVHS_Toolkit_2014-12-08.pdf" TargetMode="Externa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whitehouse.gov/sites/default/files/microsites/ostp/PCAST/pcast_big_data_and_privacy_-_may_2014.pdf" TargetMode="External"/><Relationship Id="rId25" Type="http://schemas.openxmlformats.org/officeDocument/2006/relationships/hyperlink" Target="http://www.hhs.gov/ocr/privacy/hipaa/understanding/coveredentities/De-identification/guidance.html" TargetMode="External"/><Relationship Id="rId33" Type="http://schemas.openxmlformats.org/officeDocument/2006/relationships/hyperlink" Target="https://www.ftc.gov/system/files/documents/reports/federal-trade-commission-staff-report-november-2013-workshop-entitled-internet-things-privacy/150127iotrpt.pdf" TargetMode="External"/><Relationship Id="rId38" Type="http://schemas.openxmlformats.org/officeDocument/2006/relationships/hyperlink" Target="http://www.oecd.org/sti/ieconomy/oecdguidelinesontheprotectionofprivacyandtransborderflowsofpersonaldata.htm" TargetMode="External"/><Relationship Id="rId46" Type="http://schemas.openxmlformats.org/officeDocument/2006/relationships/hyperlink" Target="http://www.healthit.gov/facas/sites/faca/files/PSWG_Transcript_Final_2014-12-08.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mer.ftc.gov/articles/pdf-0096-fair-credit-reporting-act.pdf" TargetMode="External"/><Relationship Id="rId20" Type="http://schemas.openxmlformats.org/officeDocument/2006/relationships/hyperlink" Target="http://www.ccph.info" TargetMode="External"/><Relationship Id="rId29" Type="http://schemas.openxmlformats.org/officeDocument/2006/relationships/hyperlink" Target="http://www.healthit.gov/sites/faca/files/HITPC_PSTT_Transmit_8162011.pdf" TargetMode="External"/><Relationship Id="rId41" Type="http://schemas.openxmlformats.org/officeDocument/2006/relationships/hyperlink" Target="http://www.pcori.org/research-results/pcornet-national-patient-centered-clinical-research-network"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whitehouse.gov/the-press-office/2014/09/24/fact-sheet-announcing-new-us-open-government-commitments-third-anniversa" TargetMode="External"/><Relationship Id="rId32" Type="http://schemas.openxmlformats.org/officeDocument/2006/relationships/hyperlink" Target="http://sequoiaproject.org/" TargetMode="External"/><Relationship Id="rId37" Type="http://schemas.openxmlformats.org/officeDocument/2006/relationships/hyperlink" Target="http://www.nist.gov/nstic/NSTIC-FIPPs.pdf" TargetMode="External"/><Relationship Id="rId40" Type="http://schemas.openxmlformats.org/officeDocument/2006/relationships/hyperlink" Target="http://www.opengovpartnership.org" TargetMode="External"/><Relationship Id="rId45" Type="http://schemas.openxmlformats.org/officeDocument/2006/relationships/hyperlink" Target="http://www.healthit.gov/facas/sites/faca/files/PSWG_Transcript_Final_2014-12-05.pdf" TargetMode="External"/><Relationship Id="rId53" Type="http://schemas.openxmlformats.org/officeDocument/2006/relationships/header" Target="header4.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csrc.nist.gov/publications/drafts/nistir-8053/nistir_8053_draft.pdf" TargetMode="External"/><Relationship Id="rId28" Type="http://schemas.openxmlformats.org/officeDocument/2006/relationships/hyperlink" Target="http://www.healthit.gov/facas/sites/faca/files/HITPC_PSWG_Meeting_Slides_2015-05-22_Final.pdf" TargetMode="External"/><Relationship Id="rId36" Type="http://schemas.openxmlformats.org/officeDocument/2006/relationships/hyperlink" Target="http://grants.nih.gov/grants/policy/data_sharing/data_sharing_guidance.htm" TargetMode="External"/><Relationship Id="rId49" Type="http://schemas.openxmlformats.org/officeDocument/2006/relationships/hyperlink" Target="http://www.healthit.gov/facas/sites/faca/files/PSWG_Testimony_Michelle_DeMooy_CDT_2014-12-05_0.pdf" TargetMode="External"/><Relationship Id="rId57"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yperlink" Target="https://www.whitehouse.gov/sites/default/files/docs/big_data_privacy_report_may_1_2014.pdf" TargetMode="External"/><Relationship Id="rId31" Type="http://schemas.openxmlformats.org/officeDocument/2006/relationships/hyperlink" Target="http://www.healthit.gov/sites/faca/files/hitpc_transmittal_p_s_tt_9_1_10_0.pdf" TargetMode="External"/><Relationship Id="rId44" Type="http://schemas.openxmlformats.org/officeDocument/2006/relationships/hyperlink" Target="http://www.healthit.gov/facas/calendar/2014/12/08/policy-privacy-security-workgroup-virtual-hearing" TargetMode="External"/><Relationship Id="rId52" Type="http://schemas.openxmlformats.org/officeDocument/2006/relationships/hyperlink" Target="https://www.whitehouse.gov/sites/default/files/privacy-fina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rwjf.org/content/dam/farm/reports/reports/2015/rwjf418628" TargetMode="External"/><Relationship Id="rId27" Type="http://schemas.openxmlformats.org/officeDocument/2006/relationships/hyperlink" Target="http://www.healthit.gov/FACAS/calendar/2015/03/10/hit-policy-committee" TargetMode="External"/><Relationship Id="rId30" Type="http://schemas.openxmlformats.org/officeDocument/2006/relationships/hyperlink" Target="http://www.healthit.gov/sites/default/files/pdf/HITPC_Privacy_and_Security_Transmittal_Letter_10_18_11.pdf" TargetMode="External"/><Relationship Id="rId35" Type="http://schemas.openxmlformats.org/officeDocument/2006/relationships/hyperlink" Target="http://www.markle.org/sites/default/files/CF-Consumers-Full.pdf" TargetMode="External"/><Relationship Id="rId43" Type="http://schemas.openxmlformats.org/officeDocument/2006/relationships/hyperlink" Target="http://www.healthit.gov/facas/calendar/2014/12/05/policy-privacy-security-workgroup-virtual-hearing" TargetMode="External"/><Relationship Id="rId48" Type="http://schemas.openxmlformats.org/officeDocument/2006/relationships/hyperlink" Target="http://www.healthit.gov/facas/sites/faca/files/PSWG_Background_Richard_Platt_Reply_to_Questions_for_Panelists_2014-12-05.pdf" TargetMode="External"/><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www.healthit.gov/FACAS/calendar/2015/06/30/virtual-hit-policy-committe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www.healthit.gov/facas/calendar/2014/12/05/policy-privacy-security-workgroup-virtual-hearing" TargetMode="External"/><Relationship Id="rId18" Type="http://schemas.openxmlformats.org/officeDocument/2006/relationships/hyperlink" Target="http://www.hhs.gov/ocr/privacy/hipaa/understanding/coveredentities/De-identification/guidance.html" TargetMode="External"/><Relationship Id="rId26" Type="http://schemas.openxmlformats.org/officeDocument/2006/relationships/hyperlink" Target="http://www.cph.info" TargetMode="External"/><Relationship Id="rId39" Type="http://schemas.openxmlformats.org/officeDocument/2006/relationships/hyperlink" Target="https://www.ftc.gov/system/files/documents/reports/federal-trade-commission-staff-report-november-2013-workshop-entitled-internet-things-privacy/150127iotrpt.pdf" TargetMode="External"/><Relationship Id="rId21" Type="http://schemas.openxmlformats.org/officeDocument/2006/relationships/hyperlink" Target="http://www.ucdenver.edu/academics/colleges/PublicHealth/research/centers/CAIANH/journal/Pages/Volume2.aspx" TargetMode="External"/><Relationship Id="rId34" Type="http://schemas.openxmlformats.org/officeDocument/2006/relationships/hyperlink" Target="http://www.nih.gov/precisionmedicine/workshop-20150701.htm" TargetMode="External"/><Relationship Id="rId42" Type="http://schemas.openxmlformats.org/officeDocument/2006/relationships/hyperlink" Target="http://www.healthit.gov/facas/sites/faca/files/PSWG_Presentation_Leslie_Francis_2014-12-08.pdf/" TargetMode="External"/><Relationship Id="rId47" Type="http://schemas.openxmlformats.org/officeDocument/2006/relationships/hyperlink" Target="http://www.healthit.gov/sites/default/files/pdf/HITPC_Privacy_and_Security_Transmittal_Letter_10_18_11.pdf" TargetMode="External"/><Relationship Id="rId50" Type="http://schemas.openxmlformats.org/officeDocument/2006/relationships/hyperlink" Target="https://www.whitehouse.gov/the-press-office/2015/01/30/fact-sheet-president-obama-s-precision-medicine-initiative" TargetMode="External"/><Relationship Id="rId55" Type="http://schemas.openxmlformats.org/officeDocument/2006/relationships/hyperlink" Target="http://www.healthit.gov/sites/default/files/federal-healthIT-strategic-plan-2014.pdf" TargetMode="External"/><Relationship Id="rId7" Type="http://schemas.openxmlformats.org/officeDocument/2006/relationships/hyperlink" Target="http://www.markle.org/sites/default/files/CF-Consumers-Full.pdf" TargetMode="External"/><Relationship Id="rId12" Type="http://schemas.openxmlformats.org/officeDocument/2006/relationships/hyperlink" Target="https://www.whitehouse.gov/the-press-office/2014/09/24/fact-sheet-announcing-new-us-open-government-commitments-third-anniversa" TargetMode="External"/><Relationship Id="rId17" Type="http://schemas.openxmlformats.org/officeDocument/2006/relationships/hyperlink" Target="http://www.healthit.gov/FACAS/calendar/2015/06/30/virtual-hit-policy-committee" TargetMode="External"/><Relationship Id="rId25" Type="http://schemas.openxmlformats.org/officeDocument/2006/relationships/hyperlink" Target="http://sequoiaproject.org/" TargetMode="External"/><Relationship Id="rId33" Type="http://schemas.openxmlformats.org/officeDocument/2006/relationships/hyperlink" Target="http://grants.nih.gov/grants/policy/data_sharing/data_sharing_guidance.htm" TargetMode="External"/><Relationship Id="rId38" Type="http://schemas.openxmlformats.org/officeDocument/2006/relationships/hyperlink" Target="https://hitrustalliance.net/de-identification/" TargetMode="External"/><Relationship Id="rId46" Type="http://schemas.openxmlformats.org/officeDocument/2006/relationships/hyperlink" Target="http://www.hhs.gov/ocr/privacy/hipaa/understanding/special/research/" TargetMode="External"/><Relationship Id="rId59" Type="http://schemas.openxmlformats.org/officeDocument/2006/relationships/hyperlink" Target="http://www.hhs.gov/ohrp/sachrp/commsec/hsrimplicationsofbig_datastudies.html" TargetMode="External"/><Relationship Id="rId2" Type="http://schemas.openxmlformats.org/officeDocument/2006/relationships/hyperlink" Target="http://www.healthit.gov/facas/sites/faca/files/PSWG_Background_Richard_Platt_Reply_to_Questions_for_Panelists_2014-12-05.pdf" TargetMode="External"/><Relationship Id="rId16" Type="http://schemas.openxmlformats.org/officeDocument/2006/relationships/hyperlink" Target="http://www.healthit.gov/FACAS/calendar/2015/03/10/hit-policy-committee" TargetMode="External"/><Relationship Id="rId20" Type="http://schemas.openxmlformats.org/officeDocument/2006/relationships/hyperlink" Target="http://www.healthit.gov/facas/sites/faca/files/PSWG_Testimony_Michelle_DeMooy_CDT_2014-12-05_0.pdf" TargetMode="External"/><Relationship Id="rId29" Type="http://schemas.openxmlformats.org/officeDocument/2006/relationships/hyperlink" Target="https://www.consumer.ftc.gov/articles/pdf-0096-fair-credit-reporting-act.pdf" TargetMode="External"/><Relationship Id="rId41" Type="http://schemas.openxmlformats.org/officeDocument/2006/relationships/hyperlink" Target="http://www.healthit.gov/facas/sites/faca/files/PSWG_Background_Richard_Platt_Reply_to_Questions_for_Panelists_2014-12-05.pdf" TargetMode="External"/><Relationship Id="rId54" Type="http://schemas.openxmlformats.org/officeDocument/2006/relationships/hyperlink" Target="http://energycommerce.house.gov/cures" TargetMode="External"/><Relationship Id="rId1" Type="http://schemas.openxmlformats.org/officeDocument/2006/relationships/hyperlink" Target="http://www.healthit.gov/sites/faca/files/hitpc_transmittal_p_s_tt_9_1_10_0.pdf" TargetMode="External"/><Relationship Id="rId6" Type="http://schemas.openxmlformats.org/officeDocument/2006/relationships/hyperlink" Target="http://www.oecd.org/sti/ieconomy/oecdguidelinesontheprotectionofprivacyandtransborderflowsofpersonaldata.htm" TargetMode="External"/><Relationship Id="rId11" Type="http://schemas.openxmlformats.org/officeDocument/2006/relationships/hyperlink" Target="http://www.opengovpartnership.org" TargetMode="External"/><Relationship Id="rId24" Type="http://schemas.openxmlformats.org/officeDocument/2006/relationships/hyperlink" Target="http://www.rwjf.org/content/dam/farm/reports/reports/2015/rwjf418628" TargetMode="External"/><Relationship Id="rId32" Type="http://schemas.openxmlformats.org/officeDocument/2006/relationships/hyperlink" Target="http://www.healthit.gov/facas/sites/faca/files/HITPC_PSWG_Meeting_Slides_2015-05-22_Final.pdf" TargetMode="External"/><Relationship Id="rId37" Type="http://schemas.openxmlformats.org/officeDocument/2006/relationships/hyperlink" Target="http://www.healthit.gov/facas/sites/faca/files/HITPC_PSWG_Meeting_Slides_2015-05-22_Final.pdf" TargetMode="External"/><Relationship Id="rId40" Type="http://schemas.openxmlformats.org/officeDocument/2006/relationships/hyperlink" Target="http://www.healthit.gov/sites/faca/files/HITPC_PSTT_Transmit_8162011.pdf" TargetMode="External"/><Relationship Id="rId45" Type="http://schemas.openxmlformats.org/officeDocument/2006/relationships/hyperlink" Target="http://www.healthit.gov/facas/sites/faca/files/PSWG_Background_Kirk_Nahra_Health_Care_Privacy_Paradigm_2014-12-08.pdf" TargetMode="External"/><Relationship Id="rId53" Type="http://schemas.openxmlformats.org/officeDocument/2006/relationships/hyperlink" Target="http://energycommerce.house.gov/sites/republicans.energycommerce.house.gov/files/114/Analysis/Cures/20150127-Cures-Discussion-Document-One-Pager.pdf" TargetMode="External"/><Relationship Id="rId58" Type="http://schemas.openxmlformats.org/officeDocument/2006/relationships/hyperlink" Target="http://www.hhs.gov/ohrp/sachrp/" TargetMode="External"/><Relationship Id="rId5" Type="http://schemas.openxmlformats.org/officeDocument/2006/relationships/hyperlink" Target="https://www.whitehouse.gov/sites/default/files/docs/big_data_privacy_report_may_1_2014.pdf" TargetMode="External"/><Relationship Id="rId15" Type="http://schemas.openxmlformats.org/officeDocument/2006/relationships/hyperlink" Target="http://www.healthit.gov/facas/calendar/2015/02/09/policy-privacy-security-workgroup" TargetMode="External"/><Relationship Id="rId23" Type="http://schemas.openxmlformats.org/officeDocument/2006/relationships/hyperlink" Target="https://www.whitehouse.gov/sites/default/files/omb/memoranda/2013/m-13-13.pdf" TargetMode="External"/><Relationship Id="rId28" Type="http://schemas.openxmlformats.org/officeDocument/2006/relationships/hyperlink" Target="http://www.healthit.gov/facas/sites/faca/files/PSWG_Background_Leslie_Francis_NCVHS_Toolkit_2014-12-08.pdf" TargetMode="External"/><Relationship Id="rId36" Type="http://schemas.openxmlformats.org/officeDocument/2006/relationships/hyperlink" Target="http://www.healthit.gov/sites/faca/files/HITPC_PSTT_Transmit_8162011.pdf" TargetMode="External"/><Relationship Id="rId49" Type="http://schemas.openxmlformats.org/officeDocument/2006/relationships/hyperlink" Target="http://www.nih.gov/precisionmedicine/" TargetMode="External"/><Relationship Id="rId57" Type="http://schemas.openxmlformats.org/officeDocument/2006/relationships/hyperlink" Target="http://www.pcori.org/about-us" TargetMode="External"/><Relationship Id="rId10" Type="http://schemas.openxmlformats.org/officeDocument/2006/relationships/hyperlink" Target="https://www.whitehouse.gov/sites/default/files/microsites/ostp/PCAST/pcast_big_data_and_privacy_-_may_2014.pdf" TargetMode="External"/><Relationship Id="rId19" Type="http://schemas.openxmlformats.org/officeDocument/2006/relationships/hyperlink" Target="http://www.healthit.gov/meaningfulconsent" TargetMode="External"/><Relationship Id="rId31" Type="http://schemas.openxmlformats.org/officeDocument/2006/relationships/hyperlink" Target="http://www.healthit.gov/sites/default/files/pdf/HITPC_Privacy_and_Security_Transmittal_Letter_10_18_11.pdf" TargetMode="External"/><Relationship Id="rId44" Type="http://schemas.openxmlformats.org/officeDocument/2006/relationships/hyperlink" Target="http://www.healthit.gov/facas/sites/faca/files/PSWG_Background_Richard_Platt_Reply_to_Questions_for_Panelists_2014-12-05.pdf" TargetMode="External"/><Relationship Id="rId52" Type="http://schemas.openxmlformats.org/officeDocument/2006/relationships/hyperlink" Target="http://www.nih.gov/precisionmedicine/workshop-20150701.htm" TargetMode="External"/><Relationship Id="rId4" Type="http://schemas.openxmlformats.org/officeDocument/2006/relationships/hyperlink" Target="http://www.hhs.gov/ocr/privacy/hipaa/understanding/coveredentities/" TargetMode="External"/><Relationship Id="rId9" Type="http://schemas.openxmlformats.org/officeDocument/2006/relationships/hyperlink" Target="http://www.nist.gov/nstic/NSTIC-FIPPs.pdf" TargetMode="External"/><Relationship Id="rId14" Type="http://schemas.openxmlformats.org/officeDocument/2006/relationships/hyperlink" Target="http://www.healthit.gov/facas/calendar/2014/12/08/policy-privacy-security-workgroup-virtual-hearing" TargetMode="External"/><Relationship Id="rId22" Type="http://schemas.openxmlformats.org/officeDocument/2006/relationships/hyperlink" Target="http://www.healthit.gov/facas/sites/faca/files/PSWG_Background_Kirk_Nahra_Health_Care_Privacy_Paradigm_2014-12-08.pdf" TargetMode="External"/><Relationship Id="rId27" Type="http://schemas.openxmlformats.org/officeDocument/2006/relationships/hyperlink" Target="http://www.pcori.org/research-results/pcornet-national-patient-centered-clinical-research-network" TargetMode="External"/><Relationship Id="rId30" Type="http://schemas.openxmlformats.org/officeDocument/2006/relationships/hyperlink" Target="https://www.healthit.gov/sites/faca/files/hitpc_transmittal_p_s_tt_9_1_10_0.pdf" TargetMode="External"/><Relationship Id="rId35" Type="http://schemas.openxmlformats.org/officeDocument/2006/relationships/hyperlink" Target="http://www.healthit.gov/sites/default/files/pdf/HITPC_Privacy_and_Security_Transmittal_Letter_10_18_11.pdf" TargetMode="External"/><Relationship Id="rId43" Type="http://schemas.openxmlformats.org/officeDocument/2006/relationships/hyperlink" Target="http://www.healthit.gov/facas/sites/faca/files/PSWG_Meeting_Slides_2015-01-26_v9.pptx" TargetMode="External"/><Relationship Id="rId48" Type="http://schemas.openxmlformats.org/officeDocument/2006/relationships/hyperlink" Target="https://www.ftc.gov/news-events/events-calendar/2014/09/big-data-tool-inclusion-or-exclusion" TargetMode="External"/><Relationship Id="rId56" Type="http://schemas.openxmlformats.org/officeDocument/2006/relationships/hyperlink" Target="http://www.gpo.gov/fdsys/pkg/PLAW-111publ148/pdf/PLAW-111publ148.pdf" TargetMode="External"/><Relationship Id="rId8" Type="http://schemas.openxmlformats.org/officeDocument/2006/relationships/hyperlink" Target="https://www.whitehouse.gov/sites/default/files/privacy-final.pdf" TargetMode="External"/><Relationship Id="rId51" Type="http://schemas.openxmlformats.org/officeDocument/2006/relationships/hyperlink" Target="https://www.whitehouse.gov/sites/default/files/docs/pmi_privacy_and_trust_principles_july_2015.pdf" TargetMode="External"/><Relationship Id="rId3" Type="http://schemas.openxmlformats.org/officeDocument/2006/relationships/hyperlink" Target="http://www.healthit.gov/sites/default/files/nationwide-interoperability-roadmap-draft-version-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A950AE-25A7-4861-AB97-037D247677A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43CA-21B0-4762-9033-060BFA67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13161</Words>
  <Characters>75022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Health Big Data Recommendations</vt:lpstr>
    </vt:vector>
  </TitlesOfParts>
  <LinksUpToDate>false</LinksUpToDate>
  <CharactersWithSpaces>88007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Big Data Recommendations</dc:title>
  <dc:subject>HITPC Privacy and Security Workgroup</dc:subject>
  <dc:creator/>
  <cp:lastModifiedBy/>
  <cp:revision>1</cp:revision>
  <dcterms:created xsi:type="dcterms:W3CDTF">2015-07-24T17:40:00Z</dcterms:created>
  <dcterms:modified xsi:type="dcterms:W3CDTF">2015-07-24T17:40:00Z</dcterms:modified>
</cp:coreProperties>
</file>