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1AA7" w14:textId="77777777" w:rsidR="006055AE" w:rsidRPr="00B20455" w:rsidRDefault="006055AE" w:rsidP="006055AE">
      <w:pPr>
        <w:pStyle w:val="Heading1"/>
        <w:numPr>
          <w:ilvl w:val="0"/>
          <w:numId w:val="7"/>
        </w:numPr>
        <w:rPr>
          <w:rFonts w:asciiTheme="minorHAnsi" w:hAnsiTheme="minorHAnsi"/>
        </w:rPr>
      </w:pPr>
      <w:bookmarkStart w:id="0" w:name="_GoBack"/>
      <w:bookmarkEnd w:id="0"/>
      <w:r w:rsidRPr="00B20455">
        <w:rPr>
          <w:rFonts w:asciiTheme="minorHAnsi" w:hAnsiTheme="minorHAnsi"/>
        </w:rPr>
        <w:t xml:space="preserve">Detailed Problem Statements  </w:t>
      </w:r>
    </w:p>
    <w:p w14:paraId="47157C51" w14:textId="77777777" w:rsidR="006055AE" w:rsidRPr="00B20455" w:rsidRDefault="006055AE" w:rsidP="006055AE">
      <w:pPr>
        <w:pStyle w:val="Heading3"/>
        <w:numPr>
          <w:ilvl w:val="0"/>
          <w:numId w:val="0"/>
        </w:numPr>
        <w:ind w:left="720"/>
        <w:rPr>
          <w:rFonts w:asciiTheme="minorHAnsi" w:hAnsiTheme="minorHAnsi"/>
          <w:b w:val="0"/>
        </w:rPr>
      </w:pPr>
      <w:r w:rsidRPr="00B20455">
        <w:rPr>
          <w:rFonts w:asciiTheme="minorHAnsi" w:hAnsiTheme="minorHAnsi"/>
          <w:b w:val="0"/>
        </w:rPr>
        <w:t>Analysis and discussions by the PSWG yielded high priority areas for discussion and solution development.  This section outlines the key problem areas for focus and provides greater detail about the specific problem that needs to be addressed.</w:t>
      </w:r>
    </w:p>
    <w:p w14:paraId="1E4F0ED0" w14:textId="77777777" w:rsidR="006055AE" w:rsidRPr="00B20455" w:rsidRDefault="006055AE" w:rsidP="006055AE">
      <w:pPr>
        <w:pStyle w:val="Heading2"/>
      </w:pPr>
      <w:r w:rsidRPr="00B20455">
        <w:t xml:space="preserve">Potential for </w:t>
      </w:r>
      <w:r w:rsidR="00B1493F" w:rsidRPr="00B20455">
        <w:t xml:space="preserve">Harmful or </w:t>
      </w:r>
      <w:r w:rsidRPr="00B20455">
        <w:t xml:space="preserve">Discriminatory Practices </w:t>
      </w:r>
    </w:p>
    <w:p w14:paraId="59F7FDCE" w14:textId="77777777" w:rsidR="00B1493F" w:rsidRPr="00B20455" w:rsidRDefault="00B1493F" w:rsidP="00B1493F">
      <w:pPr>
        <w:pStyle w:val="Heading3"/>
        <w:numPr>
          <w:ilvl w:val="0"/>
          <w:numId w:val="0"/>
        </w:numPr>
        <w:ind w:left="720"/>
        <w:rPr>
          <w:rFonts w:asciiTheme="minorHAnsi" w:hAnsiTheme="minorHAnsi"/>
          <w:b w:val="0"/>
        </w:rPr>
      </w:pPr>
      <w:r w:rsidRPr="00B20455">
        <w:rPr>
          <w:rFonts w:asciiTheme="minorHAnsi" w:hAnsiTheme="minorHAnsi"/>
          <w:b w:val="0"/>
        </w:rPr>
        <w:t>During our hearings, among the most oft cited concerns about health “big data” is the potential for health data to be used in a way that harms individuals or groups.  Discrimination is just one example of a harm that can result from certain uses of health big data.  U.S. laws prohibit some discriminatory uses of health data – for example, use of health data to make decisions about health insurance coverage – but other discriminatory uses of health data are either not prohibit</w:t>
      </w:r>
      <w:r w:rsidR="00B250B9">
        <w:rPr>
          <w:rFonts w:asciiTheme="minorHAnsi" w:hAnsiTheme="minorHAnsi"/>
          <w:b w:val="0"/>
        </w:rPr>
        <w:t>ed</w:t>
      </w:r>
      <w:r w:rsidRPr="00B20455">
        <w:rPr>
          <w:rFonts w:asciiTheme="minorHAnsi" w:hAnsiTheme="minorHAnsi"/>
          <w:b w:val="0"/>
        </w:rPr>
        <w:t xml:space="preserve"> or are expressly permitted (for example, use of health information in life and disability insurance decisions).  </w:t>
      </w:r>
    </w:p>
    <w:p w14:paraId="19D0A32D" w14:textId="77777777" w:rsidR="00B20455" w:rsidRDefault="00B1493F" w:rsidP="00B1493F">
      <w:pPr>
        <w:pStyle w:val="Heading3"/>
        <w:numPr>
          <w:ilvl w:val="0"/>
          <w:numId w:val="0"/>
        </w:numPr>
        <w:ind w:left="720"/>
        <w:rPr>
          <w:rFonts w:asciiTheme="minorHAnsi" w:hAnsiTheme="minorHAnsi"/>
          <w:b w:val="0"/>
        </w:rPr>
      </w:pPr>
      <w:r w:rsidRPr="00B20455">
        <w:rPr>
          <w:rFonts w:asciiTheme="minorHAnsi" w:hAnsiTheme="minorHAnsi"/>
          <w:b w:val="0"/>
        </w:rPr>
        <w:t xml:space="preserve">Beyond discrimination, some see other uses of health data as being “harmful” (for example, marketing and other “commercial” uses).  However, there is a lack of consensus on which uses are “harmful,” </w:t>
      </w:r>
      <w:r w:rsidR="00320F80" w:rsidRPr="00B20455">
        <w:rPr>
          <w:rFonts w:asciiTheme="minorHAnsi" w:hAnsiTheme="minorHAnsi"/>
          <w:b w:val="0"/>
        </w:rPr>
        <w:t xml:space="preserve">as well as an inability to predict which future uses could be harmful, </w:t>
      </w:r>
      <w:r w:rsidRPr="00B20455">
        <w:rPr>
          <w:rFonts w:asciiTheme="minorHAnsi" w:hAnsiTheme="minorHAnsi"/>
          <w:b w:val="0"/>
        </w:rPr>
        <w:t xml:space="preserve">which creates challenges to enacting policies to prohibit or place additional constraints on such uses.  </w:t>
      </w:r>
      <w:r w:rsidR="00787359" w:rsidRPr="00B20455">
        <w:rPr>
          <w:rFonts w:asciiTheme="minorHAnsi" w:hAnsiTheme="minorHAnsi"/>
          <w:b w:val="0"/>
        </w:rPr>
        <w:t>During our hearings, some presenters expressed concern about the use of algorithms to make decisions about people, and the lack of “transparency” about the data used to inform these algorithms and about precisely how they are used</w:t>
      </w:r>
      <w:r w:rsidRPr="00B20455">
        <w:rPr>
          <w:rFonts w:asciiTheme="minorHAnsi" w:hAnsiTheme="minorHAnsi"/>
          <w:b w:val="0"/>
        </w:rPr>
        <w:t xml:space="preserve">.  </w:t>
      </w:r>
      <w:r w:rsidR="00310C7D">
        <w:rPr>
          <w:rFonts w:asciiTheme="minorHAnsi" w:hAnsiTheme="minorHAnsi"/>
          <w:b w:val="0"/>
        </w:rPr>
        <w:t>Poor</w:t>
      </w:r>
      <w:r w:rsidR="00943216">
        <w:rPr>
          <w:rFonts w:asciiTheme="minorHAnsi" w:hAnsiTheme="minorHAnsi"/>
          <w:b w:val="0"/>
        </w:rPr>
        <w:t xml:space="preserve"> transparency increases the p</w:t>
      </w:r>
      <w:r w:rsidRPr="00B20455">
        <w:rPr>
          <w:rFonts w:asciiTheme="minorHAnsi" w:hAnsiTheme="minorHAnsi"/>
          <w:b w:val="0"/>
        </w:rPr>
        <w:t>otent</w:t>
      </w:r>
      <w:r w:rsidR="00943216">
        <w:rPr>
          <w:rFonts w:asciiTheme="minorHAnsi" w:hAnsiTheme="minorHAnsi"/>
          <w:b w:val="0"/>
        </w:rPr>
        <w:t>ial for reinforcing</w:t>
      </w:r>
      <w:r w:rsidRPr="00B20455">
        <w:rPr>
          <w:rFonts w:asciiTheme="minorHAnsi" w:hAnsiTheme="minorHAnsi"/>
          <w:b w:val="0"/>
        </w:rPr>
        <w:t xml:space="preserve"> bias</w:t>
      </w:r>
      <w:r w:rsidR="00943216">
        <w:rPr>
          <w:rFonts w:asciiTheme="minorHAnsi" w:hAnsiTheme="minorHAnsi"/>
          <w:b w:val="0"/>
        </w:rPr>
        <w:t xml:space="preserve"> that</w:t>
      </w:r>
      <w:r w:rsidR="00310C7D">
        <w:rPr>
          <w:rFonts w:asciiTheme="minorHAnsi" w:hAnsiTheme="minorHAnsi"/>
          <w:b w:val="0"/>
        </w:rPr>
        <w:t xml:space="preserve"> may lead</w:t>
      </w:r>
      <w:r w:rsidRPr="00B20455">
        <w:rPr>
          <w:rFonts w:asciiTheme="minorHAnsi" w:hAnsiTheme="minorHAnsi"/>
          <w:b w:val="0"/>
        </w:rPr>
        <w:t xml:space="preserve"> to unfair practices. </w:t>
      </w:r>
      <w:r w:rsidR="00B20455">
        <w:rPr>
          <w:rFonts w:asciiTheme="minorHAnsi" w:hAnsiTheme="minorHAnsi"/>
          <w:b w:val="0"/>
        </w:rPr>
        <w:t xml:space="preserve"> </w:t>
      </w:r>
    </w:p>
    <w:p w14:paraId="7410B8EE" w14:textId="77777777" w:rsidR="00B1493F" w:rsidRDefault="00B20455" w:rsidP="00B1493F">
      <w:pPr>
        <w:pStyle w:val="Heading3"/>
        <w:numPr>
          <w:ilvl w:val="0"/>
          <w:numId w:val="0"/>
        </w:numPr>
        <w:ind w:left="720"/>
        <w:rPr>
          <w:rFonts w:asciiTheme="minorHAnsi" w:hAnsiTheme="minorHAnsi"/>
          <w:b w:val="0"/>
        </w:rPr>
      </w:pPr>
      <w:r>
        <w:rPr>
          <w:rFonts w:asciiTheme="minorHAnsi" w:hAnsiTheme="minorHAnsi"/>
          <w:b w:val="0"/>
        </w:rPr>
        <w:t xml:space="preserve">Failing to pay attention to these </w:t>
      </w:r>
      <w:r w:rsidRPr="00B20455">
        <w:rPr>
          <w:rFonts w:asciiTheme="minorHAnsi" w:hAnsiTheme="minorHAnsi"/>
          <w:b w:val="0"/>
        </w:rPr>
        <w:t xml:space="preserve">issues undermines trust in health big data, which could create obstacles to leveraging health big data to achieve gains in health and well-being.  </w:t>
      </w:r>
    </w:p>
    <w:p w14:paraId="40937C85" w14:textId="77777777" w:rsidR="00B20455" w:rsidRPr="00B20455" w:rsidRDefault="00B20455" w:rsidP="00B20455"/>
    <w:p w14:paraId="751CD01B" w14:textId="77777777" w:rsidR="008E24AE" w:rsidRPr="00B20455" w:rsidRDefault="006055AE" w:rsidP="008E24AE">
      <w:pPr>
        <w:pStyle w:val="Heading2"/>
      </w:pPr>
      <w:r w:rsidRPr="00B20455">
        <w:t xml:space="preserve">Two different domains of regulation (HIPAA and </w:t>
      </w:r>
      <w:r w:rsidR="00320F80" w:rsidRPr="00B20455">
        <w:t>“</w:t>
      </w:r>
      <w:r w:rsidRPr="00B20455">
        <w:t>Other</w:t>
      </w:r>
      <w:r w:rsidR="00320F80" w:rsidRPr="00B20455">
        <w:t>”</w:t>
      </w:r>
      <w:r w:rsidRPr="00B20455">
        <w:t>) Yields contradictions and unpredictability</w:t>
      </w:r>
      <w:r w:rsidR="00C659B5" w:rsidRPr="00B20455">
        <w:t xml:space="preserve"> </w:t>
      </w:r>
    </w:p>
    <w:p w14:paraId="6D689B2F" w14:textId="77777777" w:rsidR="00C659B5" w:rsidRPr="00B20455" w:rsidRDefault="00C659B5" w:rsidP="00547810">
      <w:pPr>
        <w:pStyle w:val="Heading2"/>
        <w:numPr>
          <w:ilvl w:val="0"/>
          <w:numId w:val="0"/>
        </w:numPr>
        <w:ind w:left="576"/>
        <w:rPr>
          <w:b w:val="0"/>
          <w:sz w:val="22"/>
          <w:szCs w:val="22"/>
        </w:rPr>
      </w:pPr>
      <w:r w:rsidRPr="00B20455">
        <w:rPr>
          <w:b w:val="0"/>
          <w:sz w:val="22"/>
          <w:szCs w:val="22"/>
        </w:rPr>
        <w:t>HIPAA covers many sources of health big data – but not all.  Consequently, we lack comprehensive, FIPPS-based protections for health data (and data used for health purposes) in many domains, which is confusing for consumers and imperils trust in health big data.</w:t>
      </w:r>
    </w:p>
    <w:p w14:paraId="6116522F" w14:textId="77777777" w:rsidR="00C659B5" w:rsidRPr="00B20455" w:rsidRDefault="00C659B5" w:rsidP="00547810"/>
    <w:p w14:paraId="305BB582" w14:textId="77777777" w:rsidR="006055AE" w:rsidRPr="00B20455" w:rsidRDefault="006055AE" w:rsidP="006055AE">
      <w:pPr>
        <w:pStyle w:val="Heading3"/>
        <w:numPr>
          <w:ilvl w:val="0"/>
          <w:numId w:val="0"/>
        </w:numPr>
        <w:ind w:left="720"/>
        <w:rPr>
          <w:rFonts w:asciiTheme="minorHAnsi" w:hAnsiTheme="minorHAnsi"/>
          <w:b w:val="0"/>
        </w:rPr>
      </w:pPr>
      <w:r w:rsidRPr="00B20455">
        <w:rPr>
          <w:rFonts w:asciiTheme="minorHAnsi" w:hAnsiTheme="minorHAnsi"/>
          <w:b w:val="0"/>
        </w:rPr>
        <w:lastRenderedPageBreak/>
        <w:t xml:space="preserve">Access – </w:t>
      </w:r>
      <w:r w:rsidR="00C659B5" w:rsidRPr="00B20455">
        <w:rPr>
          <w:rFonts w:asciiTheme="minorHAnsi" w:hAnsiTheme="minorHAnsi"/>
          <w:b w:val="0"/>
        </w:rPr>
        <w:t xml:space="preserve">Individuals often lack the ability to </w:t>
      </w:r>
      <w:r w:rsidRPr="00B20455">
        <w:rPr>
          <w:rFonts w:asciiTheme="minorHAnsi" w:hAnsiTheme="minorHAnsi"/>
          <w:b w:val="0"/>
        </w:rPr>
        <w:t>access, use, and share their own data, including for research and learning health system (LHS) activities.</w:t>
      </w:r>
      <w:r w:rsidR="00FA6615" w:rsidRPr="00B20455">
        <w:rPr>
          <w:rFonts w:asciiTheme="minorHAnsi" w:hAnsiTheme="minorHAnsi"/>
          <w:b w:val="0"/>
        </w:rPr>
        <w:t xml:space="preserve">  Even with respect to </w:t>
      </w:r>
      <w:r w:rsidR="00C659B5" w:rsidRPr="00B20455">
        <w:rPr>
          <w:rFonts w:asciiTheme="minorHAnsi" w:hAnsiTheme="minorHAnsi"/>
          <w:b w:val="0"/>
        </w:rPr>
        <w:t xml:space="preserve">HIPAA covered entities, </w:t>
      </w:r>
      <w:proofErr w:type="gramStart"/>
      <w:r w:rsidR="00C659B5" w:rsidRPr="00B20455">
        <w:rPr>
          <w:rFonts w:asciiTheme="minorHAnsi" w:hAnsiTheme="minorHAnsi"/>
          <w:b w:val="0"/>
        </w:rPr>
        <w:t>who</w:t>
      </w:r>
      <w:proofErr w:type="gramEnd"/>
      <w:r w:rsidR="00C659B5" w:rsidRPr="00B20455">
        <w:rPr>
          <w:rFonts w:asciiTheme="minorHAnsi" w:hAnsiTheme="minorHAnsi"/>
          <w:b w:val="0"/>
        </w:rPr>
        <w:t xml:space="preserve"> are required to provide this right to individuals, the right is often difficult for individuals to exercise.  </w:t>
      </w:r>
    </w:p>
    <w:p w14:paraId="494F0D4C" w14:textId="77777777" w:rsidR="006055AE" w:rsidRPr="00B20455" w:rsidRDefault="006055AE" w:rsidP="006055AE">
      <w:pPr>
        <w:pStyle w:val="Heading3"/>
        <w:numPr>
          <w:ilvl w:val="0"/>
          <w:numId w:val="0"/>
        </w:numPr>
        <w:ind w:left="720"/>
        <w:rPr>
          <w:rFonts w:asciiTheme="minorHAnsi" w:hAnsiTheme="minorHAnsi"/>
          <w:b w:val="0"/>
        </w:rPr>
      </w:pPr>
      <w:r w:rsidRPr="00B20455">
        <w:rPr>
          <w:rFonts w:asciiTheme="minorHAnsi" w:hAnsiTheme="minorHAnsi"/>
          <w:b w:val="0"/>
        </w:rPr>
        <w:t>Transparency – There is a lack of transparency regarding how holders of personal information use that information</w:t>
      </w:r>
      <w:r w:rsidR="00EB24B9" w:rsidRPr="00B20455">
        <w:rPr>
          <w:rFonts w:asciiTheme="minorHAnsi" w:hAnsiTheme="minorHAnsi"/>
          <w:b w:val="0"/>
        </w:rPr>
        <w:t xml:space="preserve"> and how information is exchanged, especially in the Big Data ecosystem outside of traditional healthcare</w:t>
      </w:r>
      <w:r w:rsidRPr="00B20455">
        <w:rPr>
          <w:rFonts w:asciiTheme="minorHAnsi" w:hAnsiTheme="minorHAnsi"/>
          <w:b w:val="0"/>
        </w:rPr>
        <w:t>. This lack of transparency erodes trust and exacerbates the fear of discrimination.</w:t>
      </w:r>
    </w:p>
    <w:p w14:paraId="78BE0AFA" w14:textId="77777777" w:rsidR="006055AE" w:rsidRPr="00B20455" w:rsidRDefault="006055AE" w:rsidP="006055AE">
      <w:pPr>
        <w:pStyle w:val="Heading3"/>
        <w:numPr>
          <w:ilvl w:val="0"/>
          <w:numId w:val="0"/>
        </w:numPr>
        <w:ind w:left="720"/>
        <w:rPr>
          <w:rFonts w:asciiTheme="minorHAnsi" w:hAnsiTheme="minorHAnsi"/>
          <w:b w:val="0"/>
        </w:rPr>
      </w:pPr>
      <w:r w:rsidRPr="00B20455">
        <w:rPr>
          <w:rFonts w:asciiTheme="minorHAnsi" w:hAnsiTheme="minorHAnsi"/>
          <w:b w:val="0"/>
        </w:rPr>
        <w:t xml:space="preserve">Research – </w:t>
      </w:r>
      <w:r w:rsidR="00C659B5" w:rsidRPr="00B20455">
        <w:rPr>
          <w:rFonts w:asciiTheme="minorHAnsi" w:hAnsiTheme="minorHAnsi"/>
          <w:b w:val="0"/>
        </w:rPr>
        <w:t xml:space="preserve">when it is regulated, the rules </w:t>
      </w:r>
      <w:r w:rsidR="00D35873" w:rsidRPr="00B20455">
        <w:rPr>
          <w:rFonts w:asciiTheme="minorHAnsi" w:hAnsiTheme="minorHAnsi"/>
          <w:b w:val="0"/>
        </w:rPr>
        <w:t>do not necessarily regulate based on privacy risk and</w:t>
      </w:r>
      <w:r w:rsidR="00EB24B9" w:rsidRPr="00B20455">
        <w:rPr>
          <w:rFonts w:asciiTheme="minorHAnsi" w:hAnsiTheme="minorHAnsi"/>
          <w:b w:val="0"/>
        </w:rPr>
        <w:t>, as a result,</w:t>
      </w:r>
      <w:r w:rsidR="006001D6">
        <w:rPr>
          <w:rFonts w:asciiTheme="minorHAnsi" w:hAnsiTheme="minorHAnsi"/>
          <w:b w:val="0"/>
        </w:rPr>
        <w:t xml:space="preserve"> create higher </w:t>
      </w:r>
      <w:r w:rsidR="00D35873" w:rsidRPr="00B20455">
        <w:rPr>
          <w:rFonts w:asciiTheme="minorHAnsi" w:hAnsiTheme="minorHAnsi"/>
          <w:b w:val="0"/>
        </w:rPr>
        <w:t xml:space="preserve">hurdles for uses of data for “research” purposes that intend to contribute to “generalizable knowledge” (i.e., the greater good).  </w:t>
      </w:r>
    </w:p>
    <w:p w14:paraId="2DB80804" w14:textId="77777777" w:rsidR="00B20455" w:rsidRPr="00B20455" w:rsidRDefault="00B20455" w:rsidP="00B20455">
      <w:pPr>
        <w:pStyle w:val="Heading2"/>
      </w:pPr>
      <w:r w:rsidRPr="00B20455">
        <w:t xml:space="preserve">Protect Health Information by Improving Trust in De-identification Methodologies and Reducing the Risk of Re-identification </w:t>
      </w:r>
    </w:p>
    <w:p w14:paraId="08184A36" w14:textId="77777777" w:rsidR="00B20455" w:rsidRDefault="00B20455" w:rsidP="00331464">
      <w:pPr>
        <w:pStyle w:val="Heading3"/>
        <w:numPr>
          <w:ilvl w:val="0"/>
          <w:numId w:val="0"/>
        </w:numPr>
        <w:ind w:left="720"/>
        <w:rPr>
          <w:rFonts w:asciiTheme="minorHAnsi" w:hAnsiTheme="minorHAnsi"/>
          <w:b w:val="0"/>
        </w:rPr>
      </w:pPr>
      <w:r>
        <w:rPr>
          <w:rFonts w:asciiTheme="minorHAnsi" w:hAnsiTheme="minorHAnsi"/>
          <w:b w:val="0"/>
        </w:rPr>
        <w:t xml:space="preserve">De-identification is a useful tool for </w:t>
      </w:r>
      <w:r w:rsidRPr="00B20455">
        <w:rPr>
          <w:rFonts w:asciiTheme="minorHAnsi" w:hAnsiTheme="minorHAnsi"/>
          <w:b w:val="0"/>
        </w:rPr>
        <w:t>protecting privacy in big data research – but we over-rely on it as a matter of policy and do not have ways to hold people accountable for re-identifying data or negligently leaving data vulnerable to re-identification</w:t>
      </w:r>
      <w:r w:rsidR="00C355AE">
        <w:rPr>
          <w:rFonts w:asciiTheme="minorHAnsi" w:hAnsiTheme="minorHAnsi"/>
          <w:b w:val="0"/>
        </w:rPr>
        <w:t>.</w:t>
      </w:r>
    </w:p>
    <w:p w14:paraId="26E3BB68" w14:textId="77777777" w:rsidR="00331464" w:rsidRPr="00B20455" w:rsidRDefault="00331464" w:rsidP="00331464">
      <w:pPr>
        <w:pStyle w:val="Heading3"/>
        <w:numPr>
          <w:ilvl w:val="0"/>
          <w:numId w:val="0"/>
        </w:numPr>
        <w:ind w:left="720"/>
        <w:rPr>
          <w:rFonts w:asciiTheme="minorHAnsi" w:hAnsiTheme="minorHAnsi"/>
          <w:b w:val="0"/>
        </w:rPr>
      </w:pPr>
      <w:r w:rsidRPr="00B20455">
        <w:rPr>
          <w:rFonts w:asciiTheme="minorHAnsi" w:hAnsiTheme="minorHAnsi"/>
          <w:b w:val="0"/>
        </w:rPr>
        <w:t xml:space="preserve">HIPAA has standards – but there is no overarching standard(s) for de-identification of health data outside of HIPAA.  HIPAA </w:t>
      </w:r>
      <w:r w:rsidR="00C355AE">
        <w:rPr>
          <w:rFonts w:asciiTheme="minorHAnsi" w:hAnsiTheme="minorHAnsi"/>
          <w:b w:val="0"/>
        </w:rPr>
        <w:t xml:space="preserve">is often voluntarily used, </w:t>
      </w:r>
      <w:r w:rsidRPr="00B20455">
        <w:rPr>
          <w:rFonts w:asciiTheme="minorHAnsi" w:hAnsiTheme="minorHAnsi"/>
          <w:b w:val="0"/>
        </w:rPr>
        <w:t>but it is not required.</w:t>
      </w:r>
    </w:p>
    <w:p w14:paraId="09994AB1" w14:textId="77777777" w:rsidR="006055AE" w:rsidRPr="00B20455" w:rsidRDefault="008219B1" w:rsidP="006055AE">
      <w:pPr>
        <w:pStyle w:val="Heading3"/>
        <w:numPr>
          <w:ilvl w:val="0"/>
          <w:numId w:val="0"/>
        </w:numPr>
        <w:ind w:left="720"/>
        <w:rPr>
          <w:rFonts w:asciiTheme="minorHAnsi" w:hAnsiTheme="minorHAnsi"/>
          <w:b w:val="0"/>
        </w:rPr>
      </w:pPr>
      <w:r w:rsidRPr="00B20455">
        <w:rPr>
          <w:rFonts w:asciiTheme="minorHAnsi" w:hAnsiTheme="minorHAnsi"/>
          <w:b w:val="0"/>
        </w:rPr>
        <w:t>Concerns have been raised abou</w:t>
      </w:r>
      <w:r w:rsidR="00EB24B9" w:rsidRPr="00B20455">
        <w:rPr>
          <w:rFonts w:asciiTheme="minorHAnsi" w:hAnsiTheme="minorHAnsi"/>
          <w:b w:val="0"/>
        </w:rPr>
        <w:t>t</w:t>
      </w:r>
      <w:r w:rsidRPr="00B20455">
        <w:rPr>
          <w:rFonts w:asciiTheme="minorHAnsi" w:hAnsiTheme="minorHAnsi"/>
          <w:b w:val="0"/>
        </w:rPr>
        <w:t xml:space="preserve"> both methodologies currently used for de-identification under HIPAA – safe harbor and expert determination.  The former may not be sufficiently protective in all contexts (particularly given increases in publicly available data) and there are no objective criteria g</w:t>
      </w:r>
      <w:r w:rsidR="006A6EB6">
        <w:rPr>
          <w:rFonts w:asciiTheme="minorHAnsi" w:hAnsiTheme="minorHAnsi"/>
          <w:b w:val="0"/>
        </w:rPr>
        <w:t>overning the expert method.</w:t>
      </w:r>
    </w:p>
    <w:p w14:paraId="58D32DD5" w14:textId="77777777" w:rsidR="008219B1" w:rsidRPr="00B20455" w:rsidRDefault="008219B1" w:rsidP="008219B1">
      <w:pPr>
        <w:pStyle w:val="Heading3"/>
        <w:numPr>
          <w:ilvl w:val="0"/>
          <w:numId w:val="0"/>
        </w:numPr>
        <w:ind w:left="720"/>
        <w:rPr>
          <w:rFonts w:asciiTheme="minorHAnsi" w:hAnsiTheme="minorHAnsi"/>
          <w:b w:val="0"/>
        </w:rPr>
      </w:pPr>
      <w:r w:rsidRPr="00B20455">
        <w:rPr>
          <w:rFonts w:asciiTheme="minorHAnsi" w:hAnsiTheme="minorHAnsi"/>
          <w:b w:val="0"/>
        </w:rPr>
        <w:t xml:space="preserve">There is increased risk of re-identification when data sets are combined (the mosaic effect).   </w:t>
      </w:r>
    </w:p>
    <w:p w14:paraId="389233CC" w14:textId="77777777" w:rsidR="00EB24B9" w:rsidRPr="00B20455" w:rsidRDefault="008219B1" w:rsidP="006055AE">
      <w:pPr>
        <w:pStyle w:val="Heading3"/>
        <w:numPr>
          <w:ilvl w:val="0"/>
          <w:numId w:val="0"/>
        </w:numPr>
        <w:ind w:left="720"/>
        <w:rPr>
          <w:rFonts w:asciiTheme="minorHAnsi" w:hAnsiTheme="minorHAnsi"/>
          <w:b w:val="0"/>
        </w:rPr>
      </w:pPr>
      <w:r w:rsidRPr="00B20455">
        <w:rPr>
          <w:rFonts w:asciiTheme="minorHAnsi" w:hAnsiTheme="minorHAnsi"/>
          <w:b w:val="0"/>
        </w:rPr>
        <w:t>In addition, de-identification – even under HIPAA – has never meant zero risk</w:t>
      </w:r>
      <w:r w:rsidR="006A6EB6">
        <w:rPr>
          <w:rFonts w:asciiTheme="minorHAnsi" w:hAnsiTheme="minorHAnsi"/>
          <w:b w:val="0"/>
        </w:rPr>
        <w:t>,</w:t>
      </w:r>
      <w:r w:rsidRPr="00B20455">
        <w:rPr>
          <w:rFonts w:asciiTheme="minorHAnsi" w:hAnsiTheme="minorHAnsi"/>
          <w:b w:val="0"/>
        </w:rPr>
        <w:t xml:space="preserve"> but de-identified data is not subject to regulation</w:t>
      </w:r>
      <w:r w:rsidR="00FF1FA7" w:rsidRPr="00B20455">
        <w:rPr>
          <w:rFonts w:asciiTheme="minorHAnsi" w:hAnsiTheme="minorHAnsi"/>
          <w:b w:val="0"/>
        </w:rPr>
        <w:t xml:space="preserve"> (so the residual risk that remains is unregulated).  We do not have consistent mechanisms for punishing people/entities who re-identify or who negligently leave datasets vulnerable to easy re-identification.</w:t>
      </w:r>
    </w:p>
    <w:p w14:paraId="5BD9F6C5" w14:textId="77777777" w:rsidR="006055AE" w:rsidRPr="00B20455" w:rsidRDefault="00EB24B9" w:rsidP="006055AE">
      <w:pPr>
        <w:pStyle w:val="Heading3"/>
        <w:numPr>
          <w:ilvl w:val="0"/>
          <w:numId w:val="0"/>
        </w:numPr>
        <w:ind w:left="720"/>
        <w:rPr>
          <w:rFonts w:asciiTheme="minorHAnsi" w:hAnsiTheme="minorHAnsi"/>
          <w:b w:val="0"/>
        </w:rPr>
      </w:pPr>
      <w:r w:rsidRPr="00B20455">
        <w:rPr>
          <w:rFonts w:asciiTheme="minorHAnsi" w:hAnsiTheme="minorHAnsi"/>
          <w:b w:val="0"/>
        </w:rPr>
        <w:t xml:space="preserve">De-identification is also not the panacea for all data use.  Rendering data de-identified pursuant to HIPAA eliminates the potential for valuable uses of data and introduces burden on innovation and analytics.  </w:t>
      </w:r>
      <w:r w:rsidRPr="00B20455" w:rsidDel="00EB24B9">
        <w:rPr>
          <w:rFonts w:asciiTheme="minorHAnsi" w:hAnsiTheme="minorHAnsi"/>
          <w:b w:val="0"/>
        </w:rPr>
        <w:t xml:space="preserve"> </w:t>
      </w:r>
    </w:p>
    <w:p w14:paraId="53DCBF5A" w14:textId="77777777" w:rsidR="006055AE" w:rsidRPr="00B20455" w:rsidRDefault="006055AE" w:rsidP="007C03EB">
      <w:pPr>
        <w:pStyle w:val="Heading2"/>
        <w:keepLines w:val="0"/>
      </w:pPr>
      <w:r w:rsidRPr="00B20455">
        <w:t>Security Threats and Gaps</w:t>
      </w:r>
    </w:p>
    <w:p w14:paraId="56A5CD17" w14:textId="77777777" w:rsidR="00B20455" w:rsidRPr="00B20455" w:rsidRDefault="00D35873" w:rsidP="007C03EB">
      <w:pPr>
        <w:pStyle w:val="Heading3"/>
        <w:keepLines w:val="0"/>
        <w:numPr>
          <w:ilvl w:val="0"/>
          <w:numId w:val="0"/>
        </w:numPr>
        <w:ind w:left="720"/>
        <w:rPr>
          <w:rFonts w:asciiTheme="minorHAnsi" w:hAnsiTheme="minorHAnsi"/>
          <w:b w:val="0"/>
        </w:rPr>
      </w:pPr>
      <w:r w:rsidRPr="00B20455">
        <w:rPr>
          <w:rFonts w:asciiTheme="minorHAnsi" w:hAnsiTheme="minorHAnsi"/>
          <w:b w:val="0"/>
        </w:rPr>
        <w:t xml:space="preserve">The lack of an end-to-end secure environment for health data was a problem mentioned by many who presented – but no entity (or federal agency) is responsible for assuring those end-to-end protections.  Instead we have silos of protections (for example, HIPAA coverage applies in </w:t>
      </w:r>
      <w:r w:rsidRPr="00B20455">
        <w:rPr>
          <w:rFonts w:asciiTheme="minorHAnsi" w:hAnsiTheme="minorHAnsi"/>
          <w:b w:val="0"/>
        </w:rPr>
        <w:lastRenderedPageBreak/>
        <w:t xml:space="preserve">some places, FTC and FDA in others, </w:t>
      </w:r>
      <w:r w:rsidR="00FA6615" w:rsidRPr="00B20455">
        <w:rPr>
          <w:rFonts w:asciiTheme="minorHAnsi" w:hAnsiTheme="minorHAnsi"/>
          <w:b w:val="0"/>
        </w:rPr>
        <w:t>Gramm-Leach-B</w:t>
      </w:r>
      <w:r w:rsidRPr="00B20455">
        <w:rPr>
          <w:rFonts w:asciiTheme="minorHAnsi" w:hAnsiTheme="minorHAnsi"/>
          <w:b w:val="0"/>
        </w:rPr>
        <w:t>lil</w:t>
      </w:r>
      <w:r w:rsidR="003B50FA">
        <w:rPr>
          <w:rFonts w:asciiTheme="minorHAnsi" w:hAnsiTheme="minorHAnsi"/>
          <w:b w:val="0"/>
        </w:rPr>
        <w:t>e</w:t>
      </w:r>
      <w:r w:rsidRPr="00B20455">
        <w:rPr>
          <w:rFonts w:asciiTheme="minorHAnsi" w:hAnsiTheme="minorHAnsi"/>
          <w:b w:val="0"/>
        </w:rPr>
        <w:t>y in financial contexts; state law may govern; some may be covered by multiple laws,</w:t>
      </w:r>
      <w:r w:rsidR="00B20455">
        <w:rPr>
          <w:rFonts w:asciiTheme="minorHAnsi" w:hAnsiTheme="minorHAnsi"/>
          <w:b w:val="0"/>
        </w:rPr>
        <w:t xml:space="preserve"> </w:t>
      </w:r>
      <w:r w:rsidR="003B50FA">
        <w:rPr>
          <w:rFonts w:asciiTheme="minorHAnsi" w:hAnsiTheme="minorHAnsi"/>
          <w:b w:val="0"/>
        </w:rPr>
        <w:t xml:space="preserve">and </w:t>
      </w:r>
      <w:r w:rsidRPr="00B20455">
        <w:rPr>
          <w:rFonts w:asciiTheme="minorHAnsi" w:hAnsiTheme="minorHAnsi"/>
          <w:b w:val="0"/>
        </w:rPr>
        <w:t>some may be covered by none).</w:t>
      </w:r>
      <w:r w:rsidR="00C353A3" w:rsidRPr="00B20455">
        <w:rPr>
          <w:rFonts w:asciiTheme="minorHAnsi" w:hAnsiTheme="minorHAnsi"/>
          <w:b w:val="0"/>
        </w:rPr>
        <w:t xml:space="preserve">  The lack of baseline security requir</w:t>
      </w:r>
      <w:r w:rsidR="00FA6615" w:rsidRPr="00B20455">
        <w:rPr>
          <w:rFonts w:asciiTheme="minorHAnsi" w:hAnsiTheme="minorHAnsi"/>
          <w:b w:val="0"/>
        </w:rPr>
        <w:t>e</w:t>
      </w:r>
      <w:r w:rsidR="00C353A3" w:rsidRPr="00B20455">
        <w:rPr>
          <w:rFonts w:asciiTheme="minorHAnsi" w:hAnsiTheme="minorHAnsi"/>
          <w:b w:val="0"/>
        </w:rPr>
        <w:t>ments was uniformly seen as a significant risk for deteriorating patient and consumer trust in the healthcare system and in entities involved inside and outside of hea</w:t>
      </w:r>
      <w:r w:rsidR="003B50FA">
        <w:rPr>
          <w:rFonts w:asciiTheme="minorHAnsi" w:hAnsiTheme="minorHAnsi"/>
          <w:b w:val="0"/>
        </w:rPr>
        <w:t>lthcare.  The call for such end-to-</w:t>
      </w:r>
      <w:r w:rsidR="00C353A3" w:rsidRPr="00B20455">
        <w:rPr>
          <w:rFonts w:asciiTheme="minorHAnsi" w:hAnsiTheme="minorHAnsi"/>
          <w:b w:val="0"/>
        </w:rPr>
        <w:t>end security requirements was referenced as one of the highest priorities.</w:t>
      </w:r>
    </w:p>
    <w:p w14:paraId="31B9CCB0" w14:textId="77777777" w:rsidR="008E24AE" w:rsidRPr="00B20455" w:rsidRDefault="008E24AE" w:rsidP="00B20455">
      <w:pPr>
        <w:pStyle w:val="Heading3"/>
        <w:numPr>
          <w:ilvl w:val="0"/>
          <w:numId w:val="0"/>
        </w:numPr>
        <w:ind w:left="720"/>
        <w:rPr>
          <w:rFonts w:asciiTheme="minorHAnsi" w:hAnsiTheme="minorHAnsi"/>
          <w:b w:val="0"/>
        </w:rPr>
      </w:pPr>
      <w:r w:rsidRPr="00B20455">
        <w:rPr>
          <w:rFonts w:asciiTheme="minorHAnsi" w:hAnsiTheme="minorHAnsi"/>
          <w:b w:val="0"/>
        </w:rPr>
        <w:t xml:space="preserve">The laws that do exist do not necessarily provide incentives for adopting privacy-enhancing technical architectures for big data analytics (for example, data enclaves).  </w:t>
      </w:r>
    </w:p>
    <w:p w14:paraId="3FEE53E7" w14:textId="77777777" w:rsidR="008E24AE" w:rsidRPr="00B20455" w:rsidRDefault="008E24AE" w:rsidP="006055AE">
      <w:pPr>
        <w:pStyle w:val="Heading3"/>
        <w:numPr>
          <w:ilvl w:val="0"/>
          <w:numId w:val="0"/>
        </w:numPr>
        <w:ind w:left="720"/>
        <w:rPr>
          <w:rFonts w:asciiTheme="minorHAnsi" w:hAnsiTheme="minorHAnsi"/>
          <w:b w:val="0"/>
        </w:rPr>
      </w:pPr>
      <w:r w:rsidRPr="00B20455">
        <w:rPr>
          <w:rFonts w:asciiTheme="minorHAnsi" w:hAnsiTheme="minorHAnsi"/>
          <w:b w:val="0"/>
        </w:rPr>
        <w:t xml:space="preserve">Congress is the only policy-making body equipped to authorize national </w:t>
      </w:r>
      <w:r w:rsidR="00C353A3" w:rsidRPr="00B20455">
        <w:rPr>
          <w:rFonts w:asciiTheme="minorHAnsi" w:hAnsiTheme="minorHAnsi"/>
          <w:b w:val="0"/>
        </w:rPr>
        <w:t xml:space="preserve">security and/or </w:t>
      </w:r>
      <w:r w:rsidRPr="00B20455">
        <w:rPr>
          <w:rFonts w:asciiTheme="minorHAnsi" w:hAnsiTheme="minorHAnsi"/>
          <w:b w:val="0"/>
        </w:rPr>
        <w:t xml:space="preserve">cybersecurity requirements that would facilitate the </w:t>
      </w:r>
      <w:r w:rsidR="00C353A3" w:rsidRPr="00B20455">
        <w:rPr>
          <w:rFonts w:asciiTheme="minorHAnsi" w:hAnsiTheme="minorHAnsi"/>
          <w:b w:val="0"/>
        </w:rPr>
        <w:t xml:space="preserve">requirement to provide a baseline level of security around health data, regardless of the entity that holds that data, in an </w:t>
      </w:r>
      <w:r w:rsidRPr="00B20455">
        <w:rPr>
          <w:rFonts w:asciiTheme="minorHAnsi" w:hAnsiTheme="minorHAnsi"/>
          <w:b w:val="0"/>
        </w:rPr>
        <w:t xml:space="preserve">end-to-end environment that is desirable for building trust.  </w:t>
      </w:r>
    </w:p>
    <w:p w14:paraId="3515A833" w14:textId="77777777" w:rsidR="00424965" w:rsidRPr="00B20455" w:rsidRDefault="00424965" w:rsidP="005330C2">
      <w:pPr>
        <w:pStyle w:val="Heading1"/>
        <w:numPr>
          <w:ilvl w:val="0"/>
          <w:numId w:val="7"/>
        </w:numPr>
        <w:rPr>
          <w:rFonts w:asciiTheme="minorHAnsi" w:hAnsiTheme="minorHAnsi"/>
        </w:rPr>
      </w:pPr>
      <w:r w:rsidRPr="00B20455">
        <w:rPr>
          <w:rFonts w:asciiTheme="minorHAnsi" w:hAnsiTheme="minorHAnsi"/>
        </w:rPr>
        <w:t>Solutions</w:t>
      </w:r>
      <w:r w:rsidR="0000477E" w:rsidRPr="00B20455">
        <w:rPr>
          <w:rFonts w:asciiTheme="minorHAnsi" w:hAnsiTheme="minorHAnsi"/>
        </w:rPr>
        <w:t xml:space="preserve"> and Recommendations</w:t>
      </w:r>
    </w:p>
    <w:p w14:paraId="1AE279DB" w14:textId="77777777" w:rsidR="00BB64CF" w:rsidRPr="00B20455" w:rsidRDefault="006B2AD8" w:rsidP="00C27228">
      <w:pPr>
        <w:pStyle w:val="Heading2"/>
      </w:pPr>
      <w:r w:rsidRPr="00B20455">
        <w:t xml:space="preserve">Addressing </w:t>
      </w:r>
      <w:r w:rsidR="00C353A3" w:rsidRPr="00B20455">
        <w:t xml:space="preserve">Harm, Including </w:t>
      </w:r>
      <w:r w:rsidR="00050313" w:rsidRPr="00B20455">
        <w:t>Discrimination</w:t>
      </w:r>
      <w:r w:rsidRPr="00B20455">
        <w:t xml:space="preserve"> Concerns</w:t>
      </w:r>
    </w:p>
    <w:p w14:paraId="7D698B6A" w14:textId="77777777" w:rsidR="00A175F9" w:rsidRPr="00B20455" w:rsidRDefault="00A175F9" w:rsidP="00A175F9">
      <w:pPr>
        <w:pStyle w:val="Heading3"/>
        <w:numPr>
          <w:ilvl w:val="0"/>
          <w:numId w:val="0"/>
        </w:numPr>
        <w:ind w:left="720"/>
        <w:rPr>
          <w:rFonts w:asciiTheme="minorHAnsi" w:hAnsiTheme="minorHAnsi"/>
          <w:b w:val="0"/>
        </w:rPr>
      </w:pPr>
      <w:r w:rsidRPr="00B20455">
        <w:rPr>
          <w:rFonts w:asciiTheme="minorHAnsi" w:hAnsiTheme="minorHAnsi"/>
          <w:b w:val="0"/>
        </w:rPr>
        <w:t xml:space="preserve">Without a national consensus on what constitutes harm with regard to the use of big data, the Workgroup encourages ONC and other federal stakeholders to promote more public inquiry and projects to fully understand the scope of the problem and the potential for </w:t>
      </w:r>
      <w:r w:rsidR="00C353A3" w:rsidRPr="00B20455">
        <w:rPr>
          <w:rFonts w:asciiTheme="minorHAnsi" w:hAnsiTheme="minorHAnsi"/>
          <w:b w:val="0"/>
        </w:rPr>
        <w:t xml:space="preserve">privacy harm, including </w:t>
      </w:r>
      <w:r w:rsidRPr="00B20455">
        <w:rPr>
          <w:rFonts w:asciiTheme="minorHAnsi" w:hAnsiTheme="minorHAnsi"/>
          <w:b w:val="0"/>
        </w:rPr>
        <w:t>discrimination. Such inquiry and projects should focus on identifying gaps in regulation</w:t>
      </w:r>
      <w:r w:rsidR="00C353A3" w:rsidRPr="00B20455">
        <w:rPr>
          <w:rFonts w:asciiTheme="minorHAnsi" w:hAnsiTheme="minorHAnsi"/>
          <w:b w:val="0"/>
        </w:rPr>
        <w:t xml:space="preserve"> and </w:t>
      </w:r>
      <w:r w:rsidRPr="00B20455">
        <w:rPr>
          <w:rFonts w:asciiTheme="minorHAnsi" w:hAnsiTheme="minorHAnsi"/>
          <w:b w:val="0"/>
        </w:rPr>
        <w:t>commonly identified harms</w:t>
      </w:r>
      <w:r w:rsidR="00C353A3" w:rsidRPr="00B20455">
        <w:rPr>
          <w:rFonts w:asciiTheme="minorHAnsi" w:hAnsiTheme="minorHAnsi"/>
          <w:b w:val="0"/>
        </w:rPr>
        <w:t>.</w:t>
      </w:r>
      <w:r w:rsidR="00C353A3" w:rsidRPr="00B20455" w:rsidDel="00C353A3">
        <w:rPr>
          <w:rFonts w:asciiTheme="minorHAnsi" w:hAnsiTheme="minorHAnsi"/>
          <w:b w:val="0"/>
        </w:rPr>
        <w:t xml:space="preserve"> </w:t>
      </w:r>
    </w:p>
    <w:p w14:paraId="55165EF0" w14:textId="454F0764" w:rsidR="00050313" w:rsidRPr="00B20455" w:rsidRDefault="00F92252" w:rsidP="0078740B">
      <w:pPr>
        <w:pStyle w:val="Heading3"/>
        <w:numPr>
          <w:ilvl w:val="0"/>
          <w:numId w:val="0"/>
        </w:numPr>
        <w:ind w:left="720"/>
        <w:rPr>
          <w:rFonts w:asciiTheme="minorHAnsi" w:hAnsiTheme="minorHAnsi"/>
          <w:b w:val="0"/>
        </w:rPr>
      </w:pPr>
      <w:r w:rsidRPr="00B20455">
        <w:rPr>
          <w:rFonts w:asciiTheme="minorHAnsi" w:hAnsiTheme="minorHAnsi"/>
          <w:b w:val="0"/>
        </w:rPr>
        <w:t xml:space="preserve">To address discriminatory practices: </w:t>
      </w:r>
      <w:r w:rsidR="004D1E2A" w:rsidRPr="00B20455">
        <w:rPr>
          <w:rFonts w:asciiTheme="minorHAnsi" w:hAnsiTheme="minorHAnsi"/>
          <w:b w:val="0"/>
        </w:rPr>
        <w:t>Policymakers should continue to monitor the use of health data to i</w:t>
      </w:r>
      <w:r w:rsidR="00D51A8D" w:rsidRPr="00B20455">
        <w:rPr>
          <w:rFonts w:asciiTheme="minorHAnsi" w:hAnsiTheme="minorHAnsi"/>
          <w:b w:val="0"/>
        </w:rPr>
        <w:t xml:space="preserve">dentify gaps in current </w:t>
      </w:r>
      <w:r w:rsidR="00A33D2F" w:rsidRPr="00B20455">
        <w:rPr>
          <w:rFonts w:asciiTheme="minorHAnsi" w:hAnsiTheme="minorHAnsi"/>
          <w:b w:val="0"/>
        </w:rPr>
        <w:t xml:space="preserve">legal </w:t>
      </w:r>
      <w:r w:rsidR="00D51A8D" w:rsidRPr="00B20455">
        <w:rPr>
          <w:rFonts w:asciiTheme="minorHAnsi" w:hAnsiTheme="minorHAnsi"/>
          <w:b w:val="0"/>
        </w:rPr>
        <w:t xml:space="preserve">protections and </w:t>
      </w:r>
      <w:r w:rsidR="00A33D2F" w:rsidRPr="00B20455">
        <w:rPr>
          <w:rFonts w:asciiTheme="minorHAnsi" w:hAnsiTheme="minorHAnsi"/>
          <w:b w:val="0"/>
        </w:rPr>
        <w:t>a</w:t>
      </w:r>
      <w:r w:rsidR="00050313" w:rsidRPr="00B20455">
        <w:rPr>
          <w:rFonts w:asciiTheme="minorHAnsi" w:hAnsiTheme="minorHAnsi"/>
          <w:b w:val="0"/>
        </w:rPr>
        <w:t>reas for further inquiry</w:t>
      </w:r>
      <w:r w:rsidR="00E83F0F">
        <w:rPr>
          <w:rFonts w:asciiTheme="minorHAnsi" w:hAnsiTheme="minorHAnsi"/>
          <w:b w:val="0"/>
        </w:rPr>
        <w:t>. T</w:t>
      </w:r>
      <w:r w:rsidR="00A175F9" w:rsidRPr="00B20455">
        <w:rPr>
          <w:rFonts w:asciiTheme="minorHAnsi" w:hAnsiTheme="minorHAnsi"/>
          <w:b w:val="0"/>
        </w:rPr>
        <w:t>ransparency about health data uses could illuminate which uses are harmful, and as a result advance a national consensus around harms</w:t>
      </w:r>
    </w:p>
    <w:p w14:paraId="5644F9B9" w14:textId="372C75BC" w:rsidR="00A175F9" w:rsidRPr="00B20455" w:rsidRDefault="007E75D0" w:rsidP="00C27228">
      <w:pPr>
        <w:pStyle w:val="Heading3"/>
        <w:numPr>
          <w:ilvl w:val="0"/>
          <w:numId w:val="0"/>
        </w:numPr>
        <w:ind w:left="720"/>
        <w:rPr>
          <w:rFonts w:asciiTheme="minorHAnsi" w:hAnsiTheme="minorHAnsi"/>
          <w:b w:val="0"/>
        </w:rPr>
      </w:pPr>
      <w:r w:rsidRPr="00B20455">
        <w:rPr>
          <w:rFonts w:asciiTheme="minorHAnsi" w:hAnsiTheme="minorHAnsi"/>
          <w:b w:val="0"/>
        </w:rPr>
        <w:t xml:space="preserve">To address </w:t>
      </w:r>
      <w:r w:rsidR="00D80424" w:rsidRPr="00B20455">
        <w:rPr>
          <w:rFonts w:asciiTheme="minorHAnsi" w:hAnsiTheme="minorHAnsi"/>
          <w:b w:val="0"/>
        </w:rPr>
        <w:t>distrust in big data algorithms</w:t>
      </w:r>
      <w:r w:rsidRPr="00B20455">
        <w:rPr>
          <w:rFonts w:asciiTheme="minorHAnsi" w:hAnsiTheme="minorHAnsi"/>
          <w:b w:val="0"/>
        </w:rPr>
        <w:t>: Improve</w:t>
      </w:r>
      <w:r w:rsidR="007126E8" w:rsidRPr="00B20455">
        <w:rPr>
          <w:rFonts w:asciiTheme="minorHAnsi" w:hAnsiTheme="minorHAnsi"/>
          <w:b w:val="0"/>
        </w:rPr>
        <w:t xml:space="preserve"> trust through algorithmic transparency</w:t>
      </w:r>
      <w:r w:rsidR="00E83F0F">
        <w:rPr>
          <w:rFonts w:asciiTheme="minorHAnsi" w:hAnsiTheme="minorHAnsi"/>
          <w:b w:val="0"/>
        </w:rPr>
        <w:t>.</w:t>
      </w:r>
      <w:r w:rsidR="00FC074C">
        <w:rPr>
          <w:rFonts w:asciiTheme="minorHAnsi" w:hAnsiTheme="minorHAnsi"/>
          <w:b w:val="0"/>
        </w:rPr>
        <w:t xml:space="preserve"> </w:t>
      </w:r>
      <w:r w:rsidR="00A175F9" w:rsidRPr="00B20455">
        <w:rPr>
          <w:rFonts w:asciiTheme="minorHAnsi" w:hAnsiTheme="minorHAnsi"/>
          <w:b w:val="0"/>
        </w:rPr>
        <w:t>Consider applying Fair Credit Reporting Act (FCRA)</w:t>
      </w:r>
      <w:r w:rsidR="004D1E2A" w:rsidRPr="00B20455">
        <w:rPr>
          <w:rFonts w:asciiTheme="minorHAnsi" w:hAnsiTheme="minorHAnsi"/>
          <w:b w:val="0"/>
        </w:rPr>
        <w:t xml:space="preserve"> </w:t>
      </w:r>
      <w:r w:rsidR="00A175F9" w:rsidRPr="00B20455">
        <w:rPr>
          <w:rFonts w:asciiTheme="minorHAnsi" w:hAnsiTheme="minorHAnsi"/>
          <w:b w:val="0"/>
        </w:rPr>
        <w:t xml:space="preserve">approaches to promote algorithmic transparency.  </w:t>
      </w:r>
      <w:r w:rsidR="00C77577">
        <w:rPr>
          <w:rFonts w:asciiTheme="minorHAnsi" w:hAnsiTheme="minorHAnsi"/>
          <w:b w:val="0"/>
        </w:rPr>
        <w:t xml:space="preserve">The </w:t>
      </w:r>
      <w:r w:rsidR="00A175F9" w:rsidRPr="00B20455">
        <w:rPr>
          <w:rFonts w:asciiTheme="minorHAnsi" w:hAnsiTheme="minorHAnsi"/>
          <w:b w:val="0"/>
        </w:rPr>
        <w:t xml:space="preserve">FCRA is a federal law that regulates consumer reporting agencies (CRAs) and empowers people by providing transparency about the use of consumer credit information. Regulations provide for how information is gathered, how it is used, and what CRAs must tell people. If information is used in a way that has an adverse impact on an individual, then certain disclosures must be made. </w:t>
      </w:r>
    </w:p>
    <w:p w14:paraId="2F2D148F" w14:textId="77777777" w:rsidR="00AE637A" w:rsidRPr="00B20455" w:rsidRDefault="00AE637A" w:rsidP="00AE637A"/>
    <w:p w14:paraId="6F7A906E" w14:textId="77777777" w:rsidR="00C27FD3" w:rsidRPr="00B20455" w:rsidRDefault="00595C0A" w:rsidP="00C27228">
      <w:pPr>
        <w:pStyle w:val="Heading2"/>
      </w:pPr>
      <w:r w:rsidRPr="00B20455">
        <w:lastRenderedPageBreak/>
        <w:t xml:space="preserve">Address Uneven Policy Environment </w:t>
      </w:r>
    </w:p>
    <w:p w14:paraId="4C03CE09" w14:textId="1FDEAAD7" w:rsidR="00651B9F" w:rsidRPr="00B20455" w:rsidRDefault="009F4BFB" w:rsidP="00C27228">
      <w:pPr>
        <w:pStyle w:val="Heading3"/>
        <w:numPr>
          <w:ilvl w:val="0"/>
          <w:numId w:val="0"/>
        </w:numPr>
        <w:ind w:left="720"/>
        <w:rPr>
          <w:rFonts w:asciiTheme="minorHAnsi" w:hAnsiTheme="minorHAnsi"/>
          <w:b w:val="0"/>
          <w:bCs w:val="0"/>
        </w:rPr>
      </w:pPr>
      <w:r w:rsidRPr="00B20455">
        <w:rPr>
          <w:rFonts w:asciiTheme="minorHAnsi" w:hAnsiTheme="minorHAnsi"/>
          <w:b w:val="0"/>
        </w:rPr>
        <w:t>To address a dearth of knowled</w:t>
      </w:r>
      <w:r w:rsidR="00F92252" w:rsidRPr="00B20455">
        <w:rPr>
          <w:rFonts w:asciiTheme="minorHAnsi" w:hAnsiTheme="minorHAnsi"/>
          <w:b w:val="0"/>
        </w:rPr>
        <w:t xml:space="preserve">ge about uses of data and privacy laws: </w:t>
      </w:r>
      <w:r w:rsidR="004477C9" w:rsidRPr="00B20455">
        <w:rPr>
          <w:rFonts w:asciiTheme="minorHAnsi" w:hAnsiTheme="minorHAnsi"/>
          <w:b w:val="0"/>
        </w:rPr>
        <w:t xml:space="preserve">Leverage </w:t>
      </w:r>
      <w:r w:rsidR="00AD006D">
        <w:rPr>
          <w:rFonts w:asciiTheme="minorHAnsi" w:hAnsiTheme="minorHAnsi"/>
          <w:b w:val="0"/>
        </w:rPr>
        <w:t xml:space="preserve">the </w:t>
      </w:r>
      <w:r w:rsidR="00651B9F" w:rsidRPr="00B20455">
        <w:rPr>
          <w:rFonts w:asciiTheme="minorHAnsi" w:hAnsiTheme="minorHAnsi"/>
          <w:b w:val="0"/>
        </w:rPr>
        <w:t xml:space="preserve">most recent </w:t>
      </w:r>
      <w:r w:rsidR="004477C9" w:rsidRPr="00B20455">
        <w:rPr>
          <w:rFonts w:asciiTheme="minorHAnsi" w:hAnsiTheme="minorHAnsi"/>
          <w:b w:val="0"/>
        </w:rPr>
        <w:t xml:space="preserve">recommendations </w:t>
      </w:r>
      <w:r w:rsidR="00957CFC" w:rsidRPr="00B20455">
        <w:rPr>
          <w:rFonts w:asciiTheme="minorHAnsi" w:hAnsiTheme="minorHAnsi"/>
          <w:b w:val="0"/>
        </w:rPr>
        <w:t xml:space="preserve">by the </w:t>
      </w:r>
      <w:r w:rsidR="004477C9" w:rsidRPr="00B20455">
        <w:rPr>
          <w:rFonts w:asciiTheme="minorHAnsi" w:hAnsiTheme="minorHAnsi"/>
          <w:b w:val="0"/>
        </w:rPr>
        <w:t xml:space="preserve">PSWG on better educating consumers about the current privacy and security laws, including how </w:t>
      </w:r>
      <w:r w:rsidR="00E327C8" w:rsidRPr="00B20455">
        <w:rPr>
          <w:rFonts w:asciiTheme="minorHAnsi" w:hAnsiTheme="minorHAnsi"/>
          <w:b w:val="0"/>
        </w:rPr>
        <w:t>data is used within and outside of the HIPAA environment</w:t>
      </w:r>
      <w:r w:rsidR="00AD006D">
        <w:rPr>
          <w:rFonts w:asciiTheme="minorHAnsi" w:hAnsiTheme="minorHAnsi"/>
          <w:b w:val="0"/>
          <w:bCs w:val="0"/>
        </w:rPr>
        <w:t>.</w:t>
      </w:r>
    </w:p>
    <w:p w14:paraId="490415B2" w14:textId="26CD83AC" w:rsidR="00B20455" w:rsidRDefault="00651B9F" w:rsidP="00B20455">
      <w:pPr>
        <w:pStyle w:val="Heading3"/>
        <w:numPr>
          <w:ilvl w:val="0"/>
          <w:numId w:val="0"/>
        </w:numPr>
        <w:ind w:left="720"/>
        <w:rPr>
          <w:rFonts w:asciiTheme="minorHAnsi" w:hAnsiTheme="minorHAnsi"/>
          <w:b w:val="0"/>
          <w:bCs w:val="0"/>
        </w:rPr>
      </w:pPr>
      <w:r w:rsidRPr="00B20455">
        <w:rPr>
          <w:rFonts w:asciiTheme="minorHAnsi" w:hAnsiTheme="minorHAnsi"/>
          <w:b w:val="0"/>
          <w:bCs w:val="0"/>
        </w:rPr>
        <w:t>We need comprehensive, FIPPs-based protections for health data not covered by HIPAA</w:t>
      </w:r>
      <w:r w:rsidR="00D76AEF" w:rsidRPr="00B20455">
        <w:rPr>
          <w:rFonts w:asciiTheme="minorHAnsi" w:hAnsiTheme="minorHAnsi"/>
          <w:b w:val="0"/>
          <w:bCs w:val="0"/>
        </w:rPr>
        <w:t>, which means</w:t>
      </w:r>
      <w:r w:rsidR="00274F1A" w:rsidRPr="00B20455">
        <w:rPr>
          <w:rFonts w:asciiTheme="minorHAnsi" w:hAnsiTheme="minorHAnsi"/>
          <w:b w:val="0"/>
          <w:bCs w:val="0"/>
        </w:rPr>
        <w:t xml:space="preserve"> not </w:t>
      </w:r>
      <w:r w:rsidR="00D76AEF" w:rsidRPr="00B20455">
        <w:rPr>
          <w:rFonts w:asciiTheme="minorHAnsi" w:hAnsiTheme="minorHAnsi"/>
          <w:b w:val="0"/>
          <w:bCs w:val="0"/>
        </w:rPr>
        <w:t>focusing on consent</w:t>
      </w:r>
      <w:r w:rsidR="00274F1A" w:rsidRPr="00B20455">
        <w:rPr>
          <w:rFonts w:asciiTheme="minorHAnsi" w:hAnsiTheme="minorHAnsi"/>
          <w:b w:val="0"/>
          <w:bCs w:val="0"/>
        </w:rPr>
        <w:t xml:space="preserve"> as the primary mechanism for such protections</w:t>
      </w:r>
      <w:r w:rsidRPr="00B20455">
        <w:rPr>
          <w:rFonts w:asciiTheme="minorHAnsi" w:hAnsiTheme="minorHAnsi"/>
          <w:b w:val="0"/>
          <w:bCs w:val="0"/>
        </w:rPr>
        <w:t>.  Congress could address</w:t>
      </w:r>
      <w:r w:rsidR="00AD006D">
        <w:rPr>
          <w:rFonts w:asciiTheme="minorHAnsi" w:hAnsiTheme="minorHAnsi"/>
          <w:b w:val="0"/>
          <w:bCs w:val="0"/>
        </w:rPr>
        <w:t xml:space="preserve"> this through legislation</w:t>
      </w:r>
      <w:r w:rsidR="009C6F2D">
        <w:rPr>
          <w:rFonts w:asciiTheme="minorHAnsi" w:hAnsiTheme="minorHAnsi"/>
          <w:b w:val="0"/>
          <w:bCs w:val="0"/>
        </w:rPr>
        <w:t>,</w:t>
      </w:r>
      <w:r w:rsidRPr="00B20455">
        <w:rPr>
          <w:rFonts w:asciiTheme="minorHAnsi" w:hAnsiTheme="minorHAnsi"/>
          <w:b w:val="0"/>
          <w:bCs w:val="0"/>
        </w:rPr>
        <w:t xml:space="preserve"> but voluntarily adopted codes of conduct can be enforced by the FTC for entities subject to their jurisdiction.  A number of efforts are under way to develop such codes – those efforts should be encouraged and </w:t>
      </w:r>
      <w:r w:rsidR="005C4E95">
        <w:rPr>
          <w:rFonts w:asciiTheme="minorHAnsi" w:hAnsiTheme="minorHAnsi"/>
          <w:b w:val="0"/>
          <w:bCs w:val="0"/>
        </w:rPr>
        <w:t>HHS, FTC and other relevant federal a</w:t>
      </w:r>
      <w:r w:rsidR="00274F1A" w:rsidRPr="00B20455">
        <w:rPr>
          <w:rFonts w:asciiTheme="minorHAnsi" w:hAnsiTheme="minorHAnsi"/>
          <w:b w:val="0"/>
          <w:bCs w:val="0"/>
        </w:rPr>
        <w:t xml:space="preserve">gencies should offer to review and provide suggestions for such efforts in order </w:t>
      </w:r>
      <w:r w:rsidRPr="00B20455">
        <w:rPr>
          <w:rFonts w:asciiTheme="minorHAnsi" w:hAnsiTheme="minorHAnsi"/>
          <w:b w:val="0"/>
          <w:bCs w:val="0"/>
        </w:rPr>
        <w:t xml:space="preserve">to </w:t>
      </w:r>
      <w:r w:rsidR="008A7AF3" w:rsidRPr="00B20455">
        <w:rPr>
          <w:rFonts w:asciiTheme="minorHAnsi" w:hAnsiTheme="minorHAnsi"/>
          <w:b w:val="0"/>
          <w:bCs w:val="0"/>
        </w:rPr>
        <w:t xml:space="preserve">more quickly establish dependable “rules of the road” that help build trust in health big data.  </w:t>
      </w:r>
      <w:r w:rsidR="00830BFE" w:rsidRPr="00B20455">
        <w:rPr>
          <w:rFonts w:asciiTheme="minorHAnsi" w:hAnsiTheme="minorHAnsi"/>
          <w:b w:val="0"/>
          <w:bCs w:val="0"/>
        </w:rPr>
        <w:t xml:space="preserve">[Note that we have already recommended that the Consumer workgroup consider an evaluation effort for consumer-facing apps.]  </w:t>
      </w:r>
      <w:r w:rsidR="008A7AF3" w:rsidRPr="00B20455">
        <w:rPr>
          <w:rFonts w:asciiTheme="minorHAnsi" w:hAnsiTheme="minorHAnsi"/>
          <w:b w:val="0"/>
          <w:bCs w:val="0"/>
        </w:rPr>
        <w:t>Such codes of conduct should emphasize transparency</w:t>
      </w:r>
      <w:r w:rsidR="00274F1A" w:rsidRPr="00B20455">
        <w:rPr>
          <w:rFonts w:asciiTheme="minorHAnsi" w:hAnsiTheme="minorHAnsi"/>
          <w:b w:val="0"/>
          <w:bCs w:val="0"/>
        </w:rPr>
        <w:t xml:space="preserve"> (regarding data collection, transfer and use)</w:t>
      </w:r>
      <w:r w:rsidR="008A7AF3" w:rsidRPr="00B20455">
        <w:rPr>
          <w:rFonts w:asciiTheme="minorHAnsi" w:hAnsiTheme="minorHAnsi"/>
          <w:b w:val="0"/>
          <w:bCs w:val="0"/>
        </w:rPr>
        <w:t xml:space="preserve">, individual access, accountability, and use limitations, at a minimum.   They should also reward/promote the use of privacy enhancing architectures for big data analytics, such as data enclaves.   </w:t>
      </w:r>
    </w:p>
    <w:p w14:paraId="3CC1331E" w14:textId="6EE4EFF5" w:rsidR="00B20455" w:rsidRPr="00B20455" w:rsidRDefault="008A7AF3" w:rsidP="00B20455">
      <w:pPr>
        <w:pStyle w:val="Heading3"/>
        <w:numPr>
          <w:ilvl w:val="0"/>
          <w:numId w:val="0"/>
        </w:numPr>
        <w:ind w:left="720"/>
        <w:rPr>
          <w:rFonts w:asciiTheme="minorHAnsi" w:hAnsiTheme="minorHAnsi"/>
          <w:b w:val="0"/>
        </w:rPr>
      </w:pPr>
      <w:r w:rsidRPr="00B20455">
        <w:rPr>
          <w:rFonts w:asciiTheme="minorHAnsi" w:hAnsiTheme="minorHAnsi"/>
          <w:b w:val="0"/>
        </w:rPr>
        <w:t>We need to re-evaluate existing rules governing uses of data that could contribute to a learning health system to assure those rules promote the responsible re-use of data to contrib</w:t>
      </w:r>
      <w:r w:rsidR="00B20455">
        <w:rPr>
          <w:rFonts w:asciiTheme="minorHAnsi" w:hAnsiTheme="minorHAnsi"/>
          <w:b w:val="0"/>
        </w:rPr>
        <w:t>ute to generalizable knowledge.</w:t>
      </w:r>
      <w:r w:rsidRPr="00B20455">
        <w:rPr>
          <w:rFonts w:asciiTheme="minorHAnsi" w:hAnsiTheme="minorHAnsi"/>
          <w:b w:val="0"/>
        </w:rPr>
        <w:t xml:space="preserve"> </w:t>
      </w:r>
      <w:r w:rsidR="00401F89">
        <w:rPr>
          <w:rFonts w:asciiTheme="minorHAnsi" w:hAnsiTheme="minorHAnsi"/>
          <w:b w:val="0"/>
        </w:rPr>
        <w:t>[Reference previous HIT</w:t>
      </w:r>
      <w:r w:rsidR="00830BFE" w:rsidRPr="00B20455">
        <w:rPr>
          <w:rFonts w:asciiTheme="minorHAnsi" w:hAnsiTheme="minorHAnsi"/>
          <w:b w:val="0"/>
        </w:rPr>
        <w:t>PC recommendations to treat certain types of research like operations when the covered entity remains in control of uses of the data]</w:t>
      </w:r>
    </w:p>
    <w:p w14:paraId="5AD2DD7D" w14:textId="77777777" w:rsidR="00B20455" w:rsidRPr="00B20455" w:rsidRDefault="00D644AA" w:rsidP="00B20455">
      <w:pPr>
        <w:pStyle w:val="Heading3"/>
        <w:numPr>
          <w:ilvl w:val="0"/>
          <w:numId w:val="0"/>
        </w:numPr>
        <w:ind w:left="720"/>
        <w:rPr>
          <w:rFonts w:asciiTheme="minorHAnsi" w:hAnsiTheme="minorHAnsi"/>
          <w:b w:val="0"/>
        </w:rPr>
      </w:pPr>
      <w:r w:rsidRPr="00B20455">
        <w:rPr>
          <w:rFonts w:asciiTheme="minorHAnsi" w:hAnsiTheme="minorHAnsi"/>
          <w:b w:val="0"/>
        </w:rPr>
        <w:t>We need to re-evaluate the existing rules governing disclosure of data that could improve and make more efficient research efforts, especially when such disclosures are to entities or environments that afford appropriate protection of health data (for example, data enclaves or research entities agreeing to comply with HIPAA or FIPPs protections).</w:t>
      </w:r>
    </w:p>
    <w:p w14:paraId="6687EB36" w14:textId="13D70EEC" w:rsidR="00830BFE" w:rsidRPr="00B20455" w:rsidRDefault="00D542B1" w:rsidP="00B20455">
      <w:pPr>
        <w:pStyle w:val="Heading3"/>
        <w:numPr>
          <w:ilvl w:val="0"/>
          <w:numId w:val="0"/>
        </w:numPr>
        <w:ind w:left="720"/>
        <w:rPr>
          <w:rFonts w:asciiTheme="minorHAnsi" w:hAnsiTheme="minorHAnsi"/>
          <w:b w:val="0"/>
        </w:rPr>
      </w:pPr>
      <w:r>
        <w:rPr>
          <w:rFonts w:asciiTheme="minorHAnsi" w:hAnsiTheme="minorHAnsi"/>
          <w:b w:val="0"/>
        </w:rPr>
        <w:t>We a</w:t>
      </w:r>
      <w:r w:rsidR="00830BFE" w:rsidRPr="00B20455">
        <w:rPr>
          <w:rFonts w:asciiTheme="minorHAnsi" w:hAnsiTheme="minorHAnsi"/>
          <w:b w:val="0"/>
        </w:rPr>
        <w:t>lso need to strengthen existing rules giving individuals access</w:t>
      </w:r>
      <w:r>
        <w:rPr>
          <w:rFonts w:asciiTheme="minorHAnsi" w:hAnsiTheme="minorHAnsi"/>
          <w:b w:val="0"/>
        </w:rPr>
        <w:t xml:space="preserve"> rights to</w:t>
      </w:r>
      <w:r w:rsidR="00830BFE" w:rsidRPr="00B20455">
        <w:rPr>
          <w:rFonts w:asciiTheme="minorHAnsi" w:hAnsiTheme="minorHAnsi"/>
          <w:b w:val="0"/>
        </w:rPr>
        <w:t xml:space="preserve"> health information to bring them into the digital age, so that individuals can access, download</w:t>
      </w:r>
      <w:r>
        <w:rPr>
          <w:rFonts w:asciiTheme="minorHAnsi" w:hAnsiTheme="minorHAnsi"/>
          <w:b w:val="0"/>
        </w:rPr>
        <w:t>,</w:t>
      </w:r>
      <w:r w:rsidR="00830BFE" w:rsidRPr="00B20455">
        <w:rPr>
          <w:rFonts w:asciiTheme="minorHAnsi" w:hAnsiTheme="minorHAnsi"/>
          <w:b w:val="0"/>
        </w:rPr>
        <w:t xml:space="preserve"> and transmit their health information as easily as they can acces</w:t>
      </w:r>
      <w:r w:rsidR="00FC074C">
        <w:rPr>
          <w:rFonts w:asciiTheme="minorHAnsi" w:hAnsiTheme="minorHAnsi"/>
          <w:b w:val="0"/>
        </w:rPr>
        <w:t xml:space="preserve">s their financial information. </w:t>
      </w:r>
      <w:r>
        <w:rPr>
          <w:rFonts w:asciiTheme="minorHAnsi" w:hAnsiTheme="minorHAnsi"/>
          <w:b w:val="0"/>
        </w:rPr>
        <w:t>[D</w:t>
      </w:r>
      <w:r w:rsidR="00830BFE" w:rsidRPr="00B20455">
        <w:rPr>
          <w:rFonts w:asciiTheme="minorHAnsi" w:hAnsiTheme="minorHAnsi"/>
          <w:b w:val="0"/>
        </w:rPr>
        <w:t>o we want to say more here?]</w:t>
      </w:r>
    </w:p>
    <w:p w14:paraId="0757588D" w14:textId="77777777" w:rsidR="00324D1C" w:rsidRPr="00B20455" w:rsidRDefault="00A41F20" w:rsidP="00D542B1">
      <w:pPr>
        <w:pStyle w:val="Heading2"/>
        <w:keepLines w:val="0"/>
      </w:pPr>
      <w:r w:rsidRPr="00B20455">
        <w:t>Prot</w:t>
      </w:r>
      <w:r w:rsidR="002B43AB" w:rsidRPr="00B20455">
        <w:t xml:space="preserve">ect Health Information by Improving Trust in De-identification Methodologies and </w:t>
      </w:r>
      <w:r w:rsidR="002C49AF" w:rsidRPr="00B20455">
        <w:t xml:space="preserve">Reducing the Risk of </w:t>
      </w:r>
      <w:r w:rsidR="002B43AB" w:rsidRPr="00B20455">
        <w:t xml:space="preserve">Re-identification </w:t>
      </w:r>
    </w:p>
    <w:p w14:paraId="3CECDC36" w14:textId="1868FBBB" w:rsidR="002C49AF" w:rsidRPr="00B20455" w:rsidRDefault="00830BFE" w:rsidP="00D542B1">
      <w:pPr>
        <w:pStyle w:val="Heading3"/>
        <w:keepLines w:val="0"/>
        <w:numPr>
          <w:ilvl w:val="0"/>
          <w:numId w:val="0"/>
        </w:numPr>
        <w:ind w:left="720"/>
        <w:rPr>
          <w:rFonts w:asciiTheme="minorHAnsi" w:hAnsiTheme="minorHAnsi"/>
          <w:b w:val="0"/>
        </w:rPr>
      </w:pPr>
      <w:r w:rsidRPr="00B20455">
        <w:rPr>
          <w:rFonts w:asciiTheme="minorHAnsi" w:hAnsiTheme="minorHAnsi"/>
          <w:b w:val="0"/>
        </w:rPr>
        <w:t xml:space="preserve">We ask OCR to be a more active </w:t>
      </w:r>
      <w:r w:rsidR="00324D1C" w:rsidRPr="00B20455">
        <w:rPr>
          <w:rFonts w:asciiTheme="minorHAnsi" w:hAnsiTheme="minorHAnsi"/>
          <w:b w:val="0"/>
        </w:rPr>
        <w:t xml:space="preserve">“steward” of HIPAA de-identification standards and conduct ongoing </w:t>
      </w:r>
      <w:r w:rsidR="00DA1177" w:rsidRPr="00B20455">
        <w:rPr>
          <w:rFonts w:asciiTheme="minorHAnsi" w:hAnsiTheme="minorHAnsi"/>
          <w:b w:val="0"/>
        </w:rPr>
        <w:t xml:space="preserve">review of </w:t>
      </w:r>
      <w:r w:rsidR="00324D1C" w:rsidRPr="00B20455">
        <w:rPr>
          <w:rFonts w:asciiTheme="minorHAnsi" w:hAnsiTheme="minorHAnsi"/>
          <w:b w:val="0"/>
        </w:rPr>
        <w:t xml:space="preserve">the </w:t>
      </w:r>
      <w:r w:rsidR="00DA1177" w:rsidRPr="00B20455">
        <w:rPr>
          <w:rFonts w:asciiTheme="minorHAnsi" w:hAnsiTheme="minorHAnsi"/>
          <w:b w:val="0"/>
        </w:rPr>
        <w:t xml:space="preserve">methodologies to determine robustness </w:t>
      </w:r>
      <w:r w:rsidR="00324D1C" w:rsidRPr="00B20455">
        <w:rPr>
          <w:rFonts w:asciiTheme="minorHAnsi" w:hAnsiTheme="minorHAnsi"/>
          <w:b w:val="0"/>
        </w:rPr>
        <w:t>and recommend updates to the methodologies and policies</w:t>
      </w:r>
      <w:r w:rsidR="00E57042">
        <w:rPr>
          <w:rFonts w:asciiTheme="minorHAnsi" w:hAnsiTheme="minorHAnsi"/>
          <w:b w:val="0"/>
        </w:rPr>
        <w:t>. The</w:t>
      </w:r>
      <w:r w:rsidR="002227A9" w:rsidRPr="00B20455">
        <w:rPr>
          <w:rFonts w:asciiTheme="minorHAnsi" w:hAnsiTheme="minorHAnsi"/>
          <w:b w:val="0"/>
        </w:rPr>
        <w:t xml:space="preserve"> </w:t>
      </w:r>
      <w:r w:rsidR="00A56518" w:rsidRPr="00B20455">
        <w:rPr>
          <w:rFonts w:asciiTheme="minorHAnsi" w:hAnsiTheme="minorHAnsi"/>
          <w:b w:val="0"/>
        </w:rPr>
        <w:t>analysis could be performed by an outside expert</w:t>
      </w:r>
      <w:r w:rsidR="00324D1C" w:rsidRPr="00B20455">
        <w:rPr>
          <w:rFonts w:asciiTheme="minorHAnsi" w:hAnsiTheme="minorHAnsi"/>
          <w:b w:val="0"/>
        </w:rPr>
        <w:t>, such as NIST,</w:t>
      </w:r>
      <w:r w:rsidR="00A56518" w:rsidRPr="00B20455">
        <w:rPr>
          <w:rFonts w:asciiTheme="minorHAnsi" w:hAnsiTheme="minorHAnsi"/>
          <w:b w:val="0"/>
        </w:rPr>
        <w:t xml:space="preserve"> but </w:t>
      </w:r>
      <w:r w:rsidR="00E57042">
        <w:rPr>
          <w:rFonts w:asciiTheme="minorHAnsi" w:hAnsiTheme="minorHAnsi"/>
          <w:b w:val="0"/>
        </w:rPr>
        <w:t xml:space="preserve">would be </w:t>
      </w:r>
      <w:r w:rsidR="00A56518" w:rsidRPr="00B20455">
        <w:rPr>
          <w:rFonts w:asciiTheme="minorHAnsi" w:hAnsiTheme="minorHAnsi"/>
          <w:b w:val="0"/>
        </w:rPr>
        <w:t>vetted</w:t>
      </w:r>
      <w:r w:rsidR="00E57042">
        <w:rPr>
          <w:rFonts w:asciiTheme="minorHAnsi" w:hAnsiTheme="minorHAnsi"/>
          <w:b w:val="0"/>
        </w:rPr>
        <w:t xml:space="preserve"> and ultimately </w:t>
      </w:r>
      <w:r w:rsidR="00A56518" w:rsidRPr="00B20455">
        <w:rPr>
          <w:rFonts w:asciiTheme="minorHAnsi" w:hAnsiTheme="minorHAnsi"/>
          <w:b w:val="0"/>
        </w:rPr>
        <w:t>endorsed by OCR.</w:t>
      </w:r>
      <w:r w:rsidR="00A56518" w:rsidRPr="00B20455">
        <w:rPr>
          <w:rStyle w:val="FootnoteReference"/>
          <w:rFonts w:asciiTheme="minorHAnsi" w:hAnsiTheme="minorHAnsi"/>
          <w:b w:val="0"/>
        </w:rPr>
        <w:footnoteReference w:id="1"/>
      </w:r>
      <w:r w:rsidR="00DA1177" w:rsidRPr="00B20455">
        <w:rPr>
          <w:rFonts w:asciiTheme="minorHAnsi" w:hAnsiTheme="minorHAnsi"/>
          <w:b w:val="0"/>
        </w:rPr>
        <w:t xml:space="preserve"> </w:t>
      </w:r>
      <w:r w:rsidR="009C4E79" w:rsidRPr="00B20455">
        <w:rPr>
          <w:rFonts w:asciiTheme="minorHAnsi" w:hAnsiTheme="minorHAnsi"/>
          <w:b w:val="0"/>
        </w:rPr>
        <w:t xml:space="preserve"> </w:t>
      </w:r>
    </w:p>
    <w:p w14:paraId="65C8C5ED" w14:textId="77777777" w:rsidR="009C4E79" w:rsidRPr="00B20455" w:rsidRDefault="009C4E79" w:rsidP="00444A42">
      <w:pPr>
        <w:pStyle w:val="Heading3"/>
        <w:numPr>
          <w:ilvl w:val="0"/>
          <w:numId w:val="0"/>
        </w:numPr>
        <w:ind w:left="720"/>
        <w:rPr>
          <w:rFonts w:asciiTheme="minorHAnsi" w:hAnsiTheme="minorHAnsi"/>
          <w:b w:val="0"/>
        </w:rPr>
      </w:pPr>
      <w:r w:rsidRPr="00B20455">
        <w:rPr>
          <w:rFonts w:asciiTheme="minorHAnsi" w:hAnsiTheme="minorHAnsi"/>
          <w:b w:val="0"/>
        </w:rPr>
        <w:lastRenderedPageBreak/>
        <w:t>Consider the following additional recommendations that came out of the hearing testimony:</w:t>
      </w:r>
    </w:p>
    <w:p w14:paraId="625E0BC8" w14:textId="6B8EDF40" w:rsidR="009C4E79" w:rsidRPr="00B20455" w:rsidRDefault="009C4E79" w:rsidP="00444A42">
      <w:pPr>
        <w:pStyle w:val="Heading3"/>
        <w:numPr>
          <w:ilvl w:val="0"/>
          <w:numId w:val="0"/>
        </w:numPr>
        <w:ind w:left="720"/>
        <w:rPr>
          <w:rFonts w:asciiTheme="minorHAnsi" w:hAnsiTheme="minorHAnsi"/>
          <w:b w:val="0"/>
        </w:rPr>
      </w:pPr>
      <w:r w:rsidRPr="00B20455">
        <w:rPr>
          <w:rFonts w:asciiTheme="minorHAnsi" w:hAnsiTheme="minorHAnsi"/>
          <w:b w:val="0"/>
        </w:rPr>
        <w:t>-</w:t>
      </w:r>
      <w:r w:rsidR="00234DE4">
        <w:rPr>
          <w:rFonts w:asciiTheme="minorHAnsi" w:hAnsiTheme="minorHAnsi"/>
          <w:b w:val="0"/>
        </w:rPr>
        <w:t xml:space="preserve"> </w:t>
      </w:r>
      <w:r w:rsidRPr="00B20455">
        <w:rPr>
          <w:rFonts w:asciiTheme="minorHAnsi" w:hAnsiTheme="minorHAnsi"/>
          <w:b w:val="0"/>
        </w:rPr>
        <w:t xml:space="preserve">Limit use of safe harbor only to circumstances where data represent a </w:t>
      </w:r>
      <w:r w:rsidR="00E57042">
        <w:rPr>
          <w:rFonts w:asciiTheme="minorHAnsi" w:hAnsiTheme="minorHAnsi"/>
          <w:b w:val="0"/>
        </w:rPr>
        <w:t>random sample of a population [L</w:t>
      </w:r>
      <w:r w:rsidRPr="00B20455">
        <w:rPr>
          <w:rFonts w:asciiTheme="minorHAnsi" w:hAnsiTheme="minorHAnsi"/>
          <w:b w:val="0"/>
        </w:rPr>
        <w:t xml:space="preserve">ook to Khaled El </w:t>
      </w:r>
      <w:proofErr w:type="spellStart"/>
      <w:r w:rsidRPr="00B20455">
        <w:rPr>
          <w:rFonts w:asciiTheme="minorHAnsi" w:hAnsiTheme="minorHAnsi"/>
          <w:b w:val="0"/>
        </w:rPr>
        <w:t>Emam’s</w:t>
      </w:r>
      <w:proofErr w:type="spellEnd"/>
      <w:r w:rsidRPr="00B20455">
        <w:rPr>
          <w:rFonts w:asciiTheme="minorHAnsi" w:hAnsiTheme="minorHAnsi"/>
          <w:b w:val="0"/>
        </w:rPr>
        <w:t xml:space="preserve"> recommendations]</w:t>
      </w:r>
    </w:p>
    <w:p w14:paraId="4CF6ED12" w14:textId="77777777" w:rsidR="009C4E79" w:rsidRPr="00B20455" w:rsidRDefault="009C4E79" w:rsidP="00444A42">
      <w:pPr>
        <w:pStyle w:val="Heading3"/>
        <w:numPr>
          <w:ilvl w:val="0"/>
          <w:numId w:val="0"/>
        </w:numPr>
        <w:ind w:left="720"/>
        <w:rPr>
          <w:rFonts w:asciiTheme="minorHAnsi" w:hAnsiTheme="minorHAnsi"/>
          <w:b w:val="0"/>
        </w:rPr>
      </w:pPr>
      <w:r w:rsidRPr="00B20455">
        <w:rPr>
          <w:rFonts w:asciiTheme="minorHAnsi" w:hAnsiTheme="minorHAnsi"/>
          <w:b w:val="0"/>
        </w:rPr>
        <w:t xml:space="preserve">- Consider whether de-identification status of a dataset should be required to be re-evaluated when context changes (such as when data set is combined with other data). </w:t>
      </w:r>
    </w:p>
    <w:p w14:paraId="37F19738" w14:textId="63178638" w:rsidR="000E5317" w:rsidRPr="00B20455" w:rsidRDefault="009C4E79" w:rsidP="00444A42">
      <w:pPr>
        <w:pStyle w:val="Heading3"/>
        <w:numPr>
          <w:ilvl w:val="0"/>
          <w:numId w:val="0"/>
        </w:numPr>
        <w:ind w:left="720"/>
        <w:rPr>
          <w:rFonts w:asciiTheme="minorHAnsi" w:hAnsiTheme="minorHAnsi"/>
          <w:b w:val="0"/>
        </w:rPr>
      </w:pPr>
      <w:r w:rsidRPr="00B20455">
        <w:rPr>
          <w:rFonts w:asciiTheme="minorHAnsi" w:hAnsiTheme="minorHAnsi"/>
          <w:b w:val="0"/>
        </w:rPr>
        <w:t>-</w:t>
      </w:r>
      <w:r w:rsidR="00234DE4">
        <w:rPr>
          <w:rFonts w:asciiTheme="minorHAnsi" w:hAnsiTheme="minorHAnsi"/>
          <w:b w:val="0"/>
        </w:rPr>
        <w:t xml:space="preserve"> </w:t>
      </w:r>
      <w:r w:rsidRPr="00B20455">
        <w:rPr>
          <w:rFonts w:asciiTheme="minorHAnsi" w:hAnsiTheme="minorHAnsi"/>
          <w:b w:val="0"/>
        </w:rPr>
        <w:t>Develop or encourage the development of programs to objectively evaluate statistical methodologies; consider granting safe harbor status to methodologies proven to be effective in particular contexts.</w:t>
      </w:r>
    </w:p>
    <w:p w14:paraId="4A43045A" w14:textId="188508CF" w:rsidR="00D644AA" w:rsidRPr="00B20455" w:rsidRDefault="000E5317" w:rsidP="00444A42">
      <w:pPr>
        <w:pStyle w:val="Heading3"/>
        <w:numPr>
          <w:ilvl w:val="0"/>
          <w:numId w:val="0"/>
        </w:numPr>
        <w:ind w:left="720"/>
        <w:rPr>
          <w:rFonts w:asciiTheme="minorHAnsi" w:hAnsiTheme="minorHAnsi"/>
          <w:b w:val="0"/>
        </w:rPr>
      </w:pPr>
      <w:r w:rsidRPr="00B20455">
        <w:rPr>
          <w:rFonts w:asciiTheme="minorHAnsi" w:hAnsiTheme="minorHAnsi"/>
          <w:b w:val="0"/>
        </w:rPr>
        <w:t>-</w:t>
      </w:r>
      <w:r w:rsidR="00234DE4">
        <w:rPr>
          <w:rFonts w:asciiTheme="minorHAnsi" w:hAnsiTheme="minorHAnsi"/>
          <w:b w:val="0"/>
        </w:rPr>
        <w:t xml:space="preserve"> </w:t>
      </w:r>
      <w:r w:rsidRPr="00B20455">
        <w:rPr>
          <w:rFonts w:asciiTheme="minorHAnsi" w:hAnsiTheme="minorHAnsi"/>
          <w:b w:val="0"/>
        </w:rPr>
        <w:t xml:space="preserve">Congress should act to address accountability for re-identification or negligent </w:t>
      </w:r>
      <w:proofErr w:type="spellStart"/>
      <w:r w:rsidRPr="00B20455">
        <w:rPr>
          <w:rFonts w:asciiTheme="minorHAnsi" w:hAnsiTheme="minorHAnsi"/>
          <w:b w:val="0"/>
        </w:rPr>
        <w:t>anonymization</w:t>
      </w:r>
      <w:proofErr w:type="spellEnd"/>
      <w:r w:rsidRPr="00B20455">
        <w:rPr>
          <w:rFonts w:asciiTheme="minorHAnsi" w:hAnsiTheme="minorHAnsi"/>
          <w:b w:val="0"/>
        </w:rPr>
        <w:t xml:space="preserve">/de-identification.  </w:t>
      </w:r>
    </w:p>
    <w:p w14:paraId="080AD5B4" w14:textId="77777777" w:rsidR="00185716" w:rsidRPr="00B20455" w:rsidRDefault="00D644AA" w:rsidP="00B20455">
      <w:pPr>
        <w:pStyle w:val="Heading3"/>
        <w:numPr>
          <w:ilvl w:val="0"/>
          <w:numId w:val="0"/>
        </w:numPr>
        <w:ind w:left="720"/>
        <w:rPr>
          <w:rFonts w:asciiTheme="minorHAnsi" w:hAnsiTheme="minorHAnsi"/>
          <w:b w:val="0"/>
        </w:rPr>
      </w:pPr>
      <w:r w:rsidRPr="00B20455">
        <w:rPr>
          <w:rFonts w:asciiTheme="minorHAnsi" w:hAnsiTheme="minorHAnsi"/>
          <w:b w:val="0"/>
        </w:rPr>
        <w:t>Consideration should be given to risk-based de-identification requirements and re-identification risk when data is held by entities or in environments where re-identification risk remains low (for example, data enclaves or data repositories voluntarily adopting HIPAA security rules).</w:t>
      </w:r>
      <w:r w:rsidR="009C4E79" w:rsidRPr="00B20455">
        <w:rPr>
          <w:rFonts w:asciiTheme="minorHAnsi" w:hAnsiTheme="minorHAnsi"/>
          <w:b w:val="0"/>
        </w:rPr>
        <w:t xml:space="preserve"> </w:t>
      </w:r>
      <w:r w:rsidR="00701C2F" w:rsidRPr="00B20455">
        <w:rPr>
          <w:rFonts w:asciiTheme="minorHAnsi" w:hAnsiTheme="minorHAnsi"/>
        </w:rPr>
        <w:tab/>
      </w:r>
    </w:p>
    <w:p w14:paraId="22B5082D" w14:textId="77777777" w:rsidR="00AE637A" w:rsidRPr="00B20455" w:rsidRDefault="00AE637A" w:rsidP="00701C2F">
      <w:pPr>
        <w:tabs>
          <w:tab w:val="left" w:pos="5292"/>
        </w:tabs>
      </w:pPr>
    </w:p>
    <w:p w14:paraId="16075927" w14:textId="77777777" w:rsidR="005D7C76" w:rsidRPr="00B20455" w:rsidRDefault="00D97E3D" w:rsidP="007C03EB">
      <w:pPr>
        <w:pStyle w:val="Heading2"/>
        <w:rPr>
          <w:sz w:val="22"/>
          <w:szCs w:val="22"/>
        </w:rPr>
      </w:pPr>
      <w:r w:rsidRPr="007C03EB">
        <w:t>Supp</w:t>
      </w:r>
      <w:r w:rsidRPr="00B20455">
        <w:t xml:space="preserve">orting Secure </w:t>
      </w:r>
      <w:r w:rsidR="00A9541D" w:rsidRPr="00B20455">
        <w:t xml:space="preserve">Use of </w:t>
      </w:r>
      <w:r w:rsidR="005D7C76" w:rsidRPr="00B20455">
        <w:t xml:space="preserve">Data for Learning </w:t>
      </w:r>
      <w:r w:rsidR="00226C63" w:rsidRPr="00B20455">
        <w:rPr>
          <w:sz w:val="22"/>
          <w:szCs w:val="22"/>
        </w:rPr>
        <w:t xml:space="preserve"> </w:t>
      </w:r>
    </w:p>
    <w:p w14:paraId="32F3E67D" w14:textId="77777777" w:rsidR="00B20455" w:rsidRPr="00B20455" w:rsidRDefault="00023BDA" w:rsidP="00B20455">
      <w:pPr>
        <w:pStyle w:val="Heading3"/>
        <w:numPr>
          <w:ilvl w:val="0"/>
          <w:numId w:val="0"/>
        </w:numPr>
        <w:ind w:left="720"/>
        <w:rPr>
          <w:rFonts w:asciiTheme="minorHAnsi" w:hAnsiTheme="minorHAnsi"/>
          <w:b w:val="0"/>
        </w:rPr>
      </w:pPr>
      <w:r w:rsidRPr="00B20455">
        <w:rPr>
          <w:rFonts w:asciiTheme="minorHAnsi" w:hAnsiTheme="minorHAnsi"/>
          <w:b w:val="0"/>
        </w:rPr>
        <w:t xml:space="preserve">To address the lack of a widely accepted security framework: </w:t>
      </w:r>
      <w:r w:rsidR="00324D1C" w:rsidRPr="00B20455">
        <w:rPr>
          <w:rFonts w:asciiTheme="minorHAnsi" w:hAnsiTheme="minorHAnsi"/>
          <w:b w:val="0"/>
        </w:rPr>
        <w:t xml:space="preserve">Call on policy makers to enact security requirements for non-HIPAA </w:t>
      </w:r>
      <w:r w:rsidR="00A175F9" w:rsidRPr="00B20455">
        <w:rPr>
          <w:rFonts w:asciiTheme="minorHAnsi" w:hAnsiTheme="minorHAnsi"/>
          <w:b w:val="0"/>
        </w:rPr>
        <w:t xml:space="preserve">covered </w:t>
      </w:r>
      <w:r w:rsidR="00324D1C" w:rsidRPr="00B20455">
        <w:rPr>
          <w:rFonts w:asciiTheme="minorHAnsi" w:hAnsiTheme="minorHAnsi"/>
          <w:b w:val="0"/>
        </w:rPr>
        <w:t xml:space="preserve">entities. </w:t>
      </w:r>
      <w:r w:rsidR="00A175F9" w:rsidRPr="00B20455">
        <w:rPr>
          <w:rFonts w:asciiTheme="minorHAnsi" w:hAnsiTheme="minorHAnsi"/>
          <w:b w:val="0"/>
        </w:rPr>
        <w:t>The FTC has previously recommended the enactment of strong, flexible, and technology-neutral legislation to strengthen the Commission’s existing data security enforcement tools.</w:t>
      </w:r>
      <w:r w:rsidR="00A175F9" w:rsidRPr="00B20455">
        <w:rPr>
          <w:rStyle w:val="FootnoteReference"/>
          <w:rFonts w:asciiTheme="minorHAnsi" w:hAnsiTheme="minorHAnsi"/>
          <w:b w:val="0"/>
        </w:rPr>
        <w:footnoteReference w:id="2"/>
      </w:r>
      <w:r w:rsidR="00A175F9" w:rsidRPr="00B20455">
        <w:rPr>
          <w:rFonts w:asciiTheme="minorHAnsi" w:hAnsiTheme="minorHAnsi"/>
          <w:b w:val="0"/>
        </w:rPr>
        <w:t xml:space="preserve">  </w:t>
      </w:r>
    </w:p>
    <w:p w14:paraId="51DE2186" w14:textId="2C2D2CF5" w:rsidR="00B20455" w:rsidRPr="00B20455" w:rsidRDefault="000E5317" w:rsidP="00B20455">
      <w:pPr>
        <w:pStyle w:val="Heading3"/>
        <w:numPr>
          <w:ilvl w:val="0"/>
          <w:numId w:val="0"/>
        </w:numPr>
        <w:ind w:left="720"/>
        <w:rPr>
          <w:rFonts w:asciiTheme="minorHAnsi" w:hAnsiTheme="minorHAnsi"/>
          <w:b w:val="0"/>
        </w:rPr>
      </w:pPr>
      <w:r w:rsidRPr="00B20455">
        <w:rPr>
          <w:rFonts w:asciiTheme="minorHAnsi" w:hAnsiTheme="minorHAnsi"/>
          <w:b w:val="0"/>
        </w:rPr>
        <w:t>Federal policymakers should provide incenti</w:t>
      </w:r>
      <w:r w:rsidR="00AF67B2">
        <w:rPr>
          <w:rFonts w:asciiTheme="minorHAnsi" w:hAnsiTheme="minorHAnsi"/>
          <w:b w:val="0"/>
        </w:rPr>
        <w:t>ves for entities to use privacy-</w:t>
      </w:r>
      <w:r w:rsidRPr="00B20455">
        <w:rPr>
          <w:rFonts w:asciiTheme="minorHAnsi" w:hAnsiTheme="minorHAnsi"/>
          <w:b w:val="0"/>
        </w:rPr>
        <w:t>enh</w:t>
      </w:r>
      <w:r w:rsidR="00AF67B2">
        <w:rPr>
          <w:rFonts w:asciiTheme="minorHAnsi" w:hAnsiTheme="minorHAnsi"/>
          <w:b w:val="0"/>
        </w:rPr>
        <w:t>ancing technologies and privacy-</w:t>
      </w:r>
      <w:r w:rsidRPr="00B20455">
        <w:rPr>
          <w:rFonts w:asciiTheme="minorHAnsi" w:hAnsiTheme="minorHAnsi"/>
          <w:b w:val="0"/>
        </w:rPr>
        <w:t>protecting technical architectures</w:t>
      </w:r>
      <w:r w:rsidR="00803B56" w:rsidRPr="00B20455">
        <w:rPr>
          <w:rFonts w:asciiTheme="minorHAnsi" w:hAnsiTheme="minorHAnsi"/>
          <w:b w:val="0"/>
        </w:rPr>
        <w:t>, such as secure data enclaves, secure distributed data systems, and distributed computation</w:t>
      </w:r>
      <w:r w:rsidRPr="00B20455">
        <w:rPr>
          <w:rFonts w:asciiTheme="minorHAnsi" w:hAnsiTheme="minorHAnsi"/>
          <w:b w:val="0"/>
        </w:rPr>
        <w:t>.</w:t>
      </w:r>
    </w:p>
    <w:p w14:paraId="51B902E5" w14:textId="77777777" w:rsidR="000E5317" w:rsidRPr="00B20455" w:rsidRDefault="000E5317" w:rsidP="00B20455">
      <w:pPr>
        <w:pStyle w:val="Heading3"/>
        <w:numPr>
          <w:ilvl w:val="0"/>
          <w:numId w:val="0"/>
        </w:numPr>
        <w:ind w:left="720"/>
        <w:rPr>
          <w:rFonts w:asciiTheme="minorHAnsi" w:hAnsiTheme="minorHAnsi"/>
          <w:b w:val="0"/>
        </w:rPr>
      </w:pPr>
      <w:r w:rsidRPr="00B20455">
        <w:rPr>
          <w:rFonts w:asciiTheme="minorHAnsi" w:hAnsiTheme="minorHAnsi"/>
          <w:b w:val="0"/>
        </w:rPr>
        <w:t>[Point again to previous recommendations about HIPAA Security Rule and keeping it up to date with other security frameworks]</w:t>
      </w:r>
    </w:p>
    <w:p w14:paraId="41B0F6A4" w14:textId="77777777" w:rsidR="00C27228" w:rsidRPr="00B20455" w:rsidRDefault="00C27228" w:rsidP="00C27228"/>
    <w:sectPr w:rsidR="00C27228" w:rsidRPr="00B204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14893" w14:textId="77777777" w:rsidR="007C03EB" w:rsidRDefault="007C03EB" w:rsidP="00300D92">
      <w:pPr>
        <w:spacing w:after="0" w:line="240" w:lineRule="auto"/>
      </w:pPr>
      <w:r>
        <w:separator/>
      </w:r>
    </w:p>
  </w:endnote>
  <w:endnote w:type="continuationSeparator" w:id="0">
    <w:p w14:paraId="6410FFC5" w14:textId="77777777" w:rsidR="007C03EB" w:rsidRDefault="007C03EB" w:rsidP="0030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2B730" w14:textId="77777777" w:rsidR="007C03EB" w:rsidRDefault="007C03EB" w:rsidP="00300D92">
      <w:pPr>
        <w:spacing w:after="0" w:line="240" w:lineRule="auto"/>
      </w:pPr>
      <w:r>
        <w:separator/>
      </w:r>
    </w:p>
  </w:footnote>
  <w:footnote w:type="continuationSeparator" w:id="0">
    <w:p w14:paraId="7E359467" w14:textId="77777777" w:rsidR="007C03EB" w:rsidRDefault="007C03EB" w:rsidP="00300D92">
      <w:pPr>
        <w:spacing w:after="0" w:line="240" w:lineRule="auto"/>
      </w:pPr>
      <w:r>
        <w:continuationSeparator/>
      </w:r>
    </w:p>
  </w:footnote>
  <w:footnote w:id="1">
    <w:p w14:paraId="3467548A" w14:textId="77777777" w:rsidR="007C03EB" w:rsidRDefault="007C03EB">
      <w:pPr>
        <w:pStyle w:val="FootnoteText"/>
      </w:pPr>
      <w:r w:rsidRPr="00AE637A">
        <w:rPr>
          <w:rStyle w:val="FootnoteReference"/>
          <w:sz w:val="20"/>
        </w:rPr>
        <w:footnoteRef/>
      </w:r>
      <w:r w:rsidRPr="00AE637A">
        <w:rPr>
          <w:sz w:val="20"/>
        </w:rPr>
        <w:t xml:space="preserve"> Reference NIST evaluation of efficacy of de-identification effort.</w:t>
      </w:r>
    </w:p>
  </w:footnote>
  <w:footnote w:id="2">
    <w:p w14:paraId="7B22FD22" w14:textId="77777777" w:rsidR="007C03EB" w:rsidRDefault="007C03EB" w:rsidP="00A175F9">
      <w:pPr>
        <w:pStyle w:val="FootnoteText"/>
      </w:pPr>
      <w:r w:rsidRPr="00AE637A">
        <w:rPr>
          <w:rStyle w:val="FootnoteReference"/>
          <w:sz w:val="20"/>
        </w:rPr>
        <w:footnoteRef/>
      </w:r>
      <w:r w:rsidRPr="00AE637A">
        <w:rPr>
          <w:sz w:val="20"/>
        </w:rPr>
        <w:t xml:space="preserve"> See FTC Internet of Things Report, January 2015, p.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61FF7205D94A89B7F5261368F80814"/>
      </w:placeholder>
      <w:dataBinding w:prefixMappings="xmlns:ns0='http://schemas.openxmlformats.org/package/2006/metadata/core-properties' xmlns:ns1='http://purl.org/dc/elements/1.1/'" w:xpath="/ns0:coreProperties[1]/ns1:title[1]" w:storeItemID="{6C3C8BC8-F283-45AE-878A-BAB7291924A1}"/>
      <w:text/>
    </w:sdtPr>
    <w:sdtEndPr/>
    <w:sdtContent>
      <w:p w14:paraId="26D94C0B" w14:textId="77777777" w:rsidR="007C03EB" w:rsidRDefault="007C03E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Draft PSWG Health Big Data Recommendations Outline</w:t>
        </w:r>
      </w:p>
    </w:sdtContent>
  </w:sdt>
  <w:sdt>
    <w:sdtPr>
      <w:id w:val="1071692450"/>
      <w:docPartObj>
        <w:docPartGallery w:val="Watermarks"/>
        <w:docPartUnique/>
      </w:docPartObj>
    </w:sdtPr>
    <w:sdtEndPr/>
    <w:sdtContent>
      <w:p w14:paraId="79470D72" w14:textId="77777777" w:rsidR="007C03EB" w:rsidRDefault="00F15C75">
        <w:pPr>
          <w:pStyle w:val="Header"/>
        </w:pPr>
        <w:r>
          <w:rPr>
            <w:noProof/>
            <w:lang w:eastAsia="zh-TW"/>
          </w:rPr>
          <w:pict w14:anchorId="06423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591"/>
    <w:multiLevelType w:val="multilevel"/>
    <w:tmpl w:val="FD94A7FC"/>
    <w:lvl w:ilvl="0">
      <w:start w:val="5"/>
      <w:numFmt w:val="decimal"/>
      <w:lvlText w:val="%1."/>
      <w:lvlJc w:val="left"/>
      <w:pPr>
        <w:ind w:left="360" w:hanging="360"/>
      </w:pPr>
      <w:rPr>
        <w:rFonts w:hint="default"/>
      </w:rPr>
    </w:lvl>
    <w:lvl w:ilvl="1">
      <w:start w:val="1"/>
      <w:numFmt w:val="decimal"/>
      <w:pStyle w:val="Heading2"/>
      <w:lvlText w:val="%1.%2"/>
      <w:lvlJc w:val="left"/>
      <w:pPr>
        <w:ind w:left="576" w:hanging="576"/>
      </w:pPr>
      <w:rPr>
        <w:rFonts w:hint="default"/>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6CD6757"/>
    <w:multiLevelType w:val="hybridMultilevel"/>
    <w:tmpl w:val="2264A256"/>
    <w:lvl w:ilvl="0" w:tplc="38FC8016">
      <w:start w:val="1"/>
      <w:numFmt w:val="upp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EC2503"/>
    <w:multiLevelType w:val="hybridMultilevel"/>
    <w:tmpl w:val="5ABC4B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2FEA683F"/>
    <w:multiLevelType w:val="hybridMultilevel"/>
    <w:tmpl w:val="17767052"/>
    <w:lvl w:ilvl="0" w:tplc="0409000F">
      <w:start w:val="1"/>
      <w:numFmt w:val="decimal"/>
      <w:lvlText w:val="%1."/>
      <w:lvlJc w:val="left"/>
      <w:pPr>
        <w:ind w:left="1080" w:hanging="360"/>
      </w:pPr>
    </w:lvl>
    <w:lvl w:ilvl="1" w:tplc="A99C771C">
      <w:start w:val="1"/>
      <w:numFmt w:val="decimal"/>
      <w:lvlText w:val="%2."/>
      <w:lvlJc w:val="left"/>
      <w:pPr>
        <w:ind w:left="1800" w:hanging="360"/>
      </w:pPr>
      <w:rPr>
        <w:rFonts w:asciiTheme="minorHAnsi" w:eastAsiaTheme="minorHAnsi" w:hAnsiTheme="minorHAnsi" w:cstheme="minorBidi"/>
      </w:rPr>
    </w:lvl>
    <w:lvl w:ilvl="2" w:tplc="A0C05C46">
      <w:start w:val="1"/>
      <w:numFmt w:val="decimal"/>
      <w:lvlText w:val="(%3)"/>
      <w:lvlJc w:val="left"/>
      <w:pPr>
        <w:ind w:left="2700" w:hanging="360"/>
      </w:pPr>
      <w:rPr>
        <w:rFonts w:hint="default"/>
      </w:rPr>
    </w:lvl>
    <w:lvl w:ilvl="3" w:tplc="6728FAE4">
      <w:start w:val="1"/>
      <w:numFmt w:val="upperLetter"/>
      <w:lvlText w:val="%4."/>
      <w:lvlJc w:val="left"/>
      <w:pPr>
        <w:ind w:left="3240" w:hanging="360"/>
      </w:pPr>
      <w:rPr>
        <w:rFonts w:hint="default"/>
      </w:rPr>
    </w:lvl>
    <w:lvl w:ilvl="4" w:tplc="231E8E4E">
      <w:start w:val="1"/>
      <w:numFmt w:val="upperLetter"/>
      <w:lvlText w:val="%5&gt;"/>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0C76B0"/>
    <w:multiLevelType w:val="multilevel"/>
    <w:tmpl w:val="83A6E3D4"/>
    <w:lvl w:ilvl="0">
      <w:start w:val="1"/>
      <w:numFmt w:val="upperRoman"/>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594271C"/>
    <w:multiLevelType w:val="hybridMultilevel"/>
    <w:tmpl w:val="297CE5C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CBB079D"/>
    <w:multiLevelType w:val="hybridMultilevel"/>
    <w:tmpl w:val="93B2BF6C"/>
    <w:lvl w:ilvl="0" w:tplc="67B287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FC94460"/>
    <w:multiLevelType w:val="hybridMultilevel"/>
    <w:tmpl w:val="BE369618"/>
    <w:lvl w:ilvl="0" w:tplc="A3B87AD2">
      <w:start w:val="1"/>
      <w:numFmt w:val="bullet"/>
      <w:lvlText w:val="•"/>
      <w:lvlJc w:val="left"/>
      <w:pPr>
        <w:tabs>
          <w:tab w:val="num" w:pos="720"/>
        </w:tabs>
        <w:ind w:left="720" w:hanging="360"/>
      </w:pPr>
      <w:rPr>
        <w:rFonts w:ascii="Arial" w:hAnsi="Arial" w:hint="default"/>
      </w:rPr>
    </w:lvl>
    <w:lvl w:ilvl="1" w:tplc="5E94C672">
      <w:start w:val="3217"/>
      <w:numFmt w:val="bullet"/>
      <w:lvlText w:val="–"/>
      <w:lvlJc w:val="left"/>
      <w:pPr>
        <w:tabs>
          <w:tab w:val="num" w:pos="1440"/>
        </w:tabs>
        <w:ind w:left="1440" w:hanging="360"/>
      </w:pPr>
      <w:rPr>
        <w:rFonts w:ascii="Arial" w:hAnsi="Arial" w:hint="default"/>
      </w:rPr>
    </w:lvl>
    <w:lvl w:ilvl="2" w:tplc="88301A5E" w:tentative="1">
      <w:start w:val="1"/>
      <w:numFmt w:val="bullet"/>
      <w:lvlText w:val="•"/>
      <w:lvlJc w:val="left"/>
      <w:pPr>
        <w:tabs>
          <w:tab w:val="num" w:pos="2160"/>
        </w:tabs>
        <w:ind w:left="2160" w:hanging="360"/>
      </w:pPr>
      <w:rPr>
        <w:rFonts w:ascii="Arial" w:hAnsi="Arial" w:hint="default"/>
      </w:rPr>
    </w:lvl>
    <w:lvl w:ilvl="3" w:tplc="D3DA11E6" w:tentative="1">
      <w:start w:val="1"/>
      <w:numFmt w:val="bullet"/>
      <w:lvlText w:val="•"/>
      <w:lvlJc w:val="left"/>
      <w:pPr>
        <w:tabs>
          <w:tab w:val="num" w:pos="2880"/>
        </w:tabs>
        <w:ind w:left="2880" w:hanging="360"/>
      </w:pPr>
      <w:rPr>
        <w:rFonts w:ascii="Arial" w:hAnsi="Arial" w:hint="default"/>
      </w:rPr>
    </w:lvl>
    <w:lvl w:ilvl="4" w:tplc="288CFE64" w:tentative="1">
      <w:start w:val="1"/>
      <w:numFmt w:val="bullet"/>
      <w:lvlText w:val="•"/>
      <w:lvlJc w:val="left"/>
      <w:pPr>
        <w:tabs>
          <w:tab w:val="num" w:pos="3600"/>
        </w:tabs>
        <w:ind w:left="3600" w:hanging="360"/>
      </w:pPr>
      <w:rPr>
        <w:rFonts w:ascii="Arial" w:hAnsi="Arial" w:hint="default"/>
      </w:rPr>
    </w:lvl>
    <w:lvl w:ilvl="5" w:tplc="EBB2CFA4" w:tentative="1">
      <w:start w:val="1"/>
      <w:numFmt w:val="bullet"/>
      <w:lvlText w:val="•"/>
      <w:lvlJc w:val="left"/>
      <w:pPr>
        <w:tabs>
          <w:tab w:val="num" w:pos="4320"/>
        </w:tabs>
        <w:ind w:left="4320" w:hanging="360"/>
      </w:pPr>
      <w:rPr>
        <w:rFonts w:ascii="Arial" w:hAnsi="Arial" w:hint="default"/>
      </w:rPr>
    </w:lvl>
    <w:lvl w:ilvl="6" w:tplc="6CCADF14" w:tentative="1">
      <w:start w:val="1"/>
      <w:numFmt w:val="bullet"/>
      <w:lvlText w:val="•"/>
      <w:lvlJc w:val="left"/>
      <w:pPr>
        <w:tabs>
          <w:tab w:val="num" w:pos="5040"/>
        </w:tabs>
        <w:ind w:left="5040" w:hanging="360"/>
      </w:pPr>
      <w:rPr>
        <w:rFonts w:ascii="Arial" w:hAnsi="Arial" w:hint="default"/>
      </w:rPr>
    </w:lvl>
    <w:lvl w:ilvl="7" w:tplc="B9F69384" w:tentative="1">
      <w:start w:val="1"/>
      <w:numFmt w:val="bullet"/>
      <w:lvlText w:val="•"/>
      <w:lvlJc w:val="left"/>
      <w:pPr>
        <w:tabs>
          <w:tab w:val="num" w:pos="5760"/>
        </w:tabs>
        <w:ind w:left="5760" w:hanging="360"/>
      </w:pPr>
      <w:rPr>
        <w:rFonts w:ascii="Arial" w:hAnsi="Arial" w:hint="default"/>
      </w:rPr>
    </w:lvl>
    <w:lvl w:ilvl="8" w:tplc="A760B3F8" w:tentative="1">
      <w:start w:val="1"/>
      <w:numFmt w:val="bullet"/>
      <w:lvlText w:val="•"/>
      <w:lvlJc w:val="left"/>
      <w:pPr>
        <w:tabs>
          <w:tab w:val="num" w:pos="6480"/>
        </w:tabs>
        <w:ind w:left="6480" w:hanging="360"/>
      </w:pPr>
      <w:rPr>
        <w:rFonts w:ascii="Arial" w:hAnsi="Arial" w:hint="default"/>
      </w:rPr>
    </w:lvl>
  </w:abstractNum>
  <w:abstractNum w:abstractNumId="8">
    <w:nsid w:val="491E54DE"/>
    <w:multiLevelType w:val="hybridMultilevel"/>
    <w:tmpl w:val="A13048A6"/>
    <w:lvl w:ilvl="0" w:tplc="6B5AEDAE">
      <w:start w:val="1"/>
      <w:numFmt w:val="upperLetter"/>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6E2411"/>
    <w:multiLevelType w:val="hybridMultilevel"/>
    <w:tmpl w:val="92DC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977FDE"/>
    <w:multiLevelType w:val="hybridMultilevel"/>
    <w:tmpl w:val="840C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AB61E6"/>
    <w:multiLevelType w:val="multilevel"/>
    <w:tmpl w:val="B8A891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BED5F35"/>
    <w:multiLevelType w:val="hybridMultilevel"/>
    <w:tmpl w:val="F6327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C74525"/>
    <w:multiLevelType w:val="multilevel"/>
    <w:tmpl w:val="B8A891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4"/>
  </w:num>
  <w:num w:numId="3">
    <w:abstractNumId w:val="1"/>
  </w:num>
  <w:num w:numId="4">
    <w:abstractNumId w:val="3"/>
  </w:num>
  <w:num w:numId="5">
    <w:abstractNumId w:val="8"/>
  </w:num>
  <w:num w:numId="6">
    <w:abstractNumId w:val="6"/>
  </w:num>
  <w:num w:numId="7">
    <w:abstractNumId w:val="0"/>
  </w:num>
  <w:num w:numId="8">
    <w:abstractNumId w:val="13"/>
  </w:num>
  <w:num w:numId="9">
    <w:abstractNumId w:val="4"/>
    <w:lvlOverride w:ilvl="0">
      <w:lvl w:ilvl="0">
        <w:start w:val="1"/>
        <w:numFmt w:val="upperRoman"/>
        <w:lvlText w:val="%1."/>
        <w:lvlJc w:val="righ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2"/>
  </w:num>
  <w:num w:numId="11">
    <w:abstractNumId w:val="5"/>
  </w:num>
  <w:num w:numId="12">
    <w:abstractNumId w:val="7"/>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LTFontsClean" w:val="True"/>
    <w:docVar w:name="zzmpnSession" w:val="0.5719263"/>
  </w:docVars>
  <w:rsids>
    <w:rsidRoot w:val="007D3CA7"/>
    <w:rsid w:val="0000477E"/>
    <w:rsid w:val="00023BDA"/>
    <w:rsid w:val="00042C9B"/>
    <w:rsid w:val="00050313"/>
    <w:rsid w:val="00052AFC"/>
    <w:rsid w:val="00053CA1"/>
    <w:rsid w:val="00055A5F"/>
    <w:rsid w:val="000674ED"/>
    <w:rsid w:val="00070635"/>
    <w:rsid w:val="0008028F"/>
    <w:rsid w:val="00083144"/>
    <w:rsid w:val="000E37AE"/>
    <w:rsid w:val="000E526B"/>
    <w:rsid w:val="000E5317"/>
    <w:rsid w:val="00110B09"/>
    <w:rsid w:val="00157138"/>
    <w:rsid w:val="00160C45"/>
    <w:rsid w:val="001639CE"/>
    <w:rsid w:val="00172367"/>
    <w:rsid w:val="001737BA"/>
    <w:rsid w:val="00185716"/>
    <w:rsid w:val="00194196"/>
    <w:rsid w:val="0019716B"/>
    <w:rsid w:val="001B5781"/>
    <w:rsid w:val="001F7C25"/>
    <w:rsid w:val="002014E1"/>
    <w:rsid w:val="0021334B"/>
    <w:rsid w:val="002227A9"/>
    <w:rsid w:val="00226C63"/>
    <w:rsid w:val="00234DE4"/>
    <w:rsid w:val="00261E39"/>
    <w:rsid w:val="00274F1A"/>
    <w:rsid w:val="00282444"/>
    <w:rsid w:val="002939AE"/>
    <w:rsid w:val="002A1D81"/>
    <w:rsid w:val="002A5CB5"/>
    <w:rsid w:val="002B22BC"/>
    <w:rsid w:val="002B43AB"/>
    <w:rsid w:val="002C49AF"/>
    <w:rsid w:val="002C5F23"/>
    <w:rsid w:val="002E13E0"/>
    <w:rsid w:val="002F3C0B"/>
    <w:rsid w:val="002F5945"/>
    <w:rsid w:val="00300D92"/>
    <w:rsid w:val="00310C7D"/>
    <w:rsid w:val="00313E42"/>
    <w:rsid w:val="00320F80"/>
    <w:rsid w:val="0032378A"/>
    <w:rsid w:val="00324D1C"/>
    <w:rsid w:val="00326DF9"/>
    <w:rsid w:val="00331464"/>
    <w:rsid w:val="00335227"/>
    <w:rsid w:val="00366D52"/>
    <w:rsid w:val="00373550"/>
    <w:rsid w:val="00374855"/>
    <w:rsid w:val="003977F1"/>
    <w:rsid w:val="003A5E74"/>
    <w:rsid w:val="003A66B2"/>
    <w:rsid w:val="003B440D"/>
    <w:rsid w:val="003B50FA"/>
    <w:rsid w:val="003C765C"/>
    <w:rsid w:val="003D04E5"/>
    <w:rsid w:val="003D6B98"/>
    <w:rsid w:val="00401F89"/>
    <w:rsid w:val="00423839"/>
    <w:rsid w:val="00424965"/>
    <w:rsid w:val="00444A42"/>
    <w:rsid w:val="00446174"/>
    <w:rsid w:val="004477C9"/>
    <w:rsid w:val="004544B0"/>
    <w:rsid w:val="00462FBB"/>
    <w:rsid w:val="00474CB2"/>
    <w:rsid w:val="00493D9A"/>
    <w:rsid w:val="004D1E2A"/>
    <w:rsid w:val="004F54F5"/>
    <w:rsid w:val="004F5C10"/>
    <w:rsid w:val="004F7B7C"/>
    <w:rsid w:val="00531601"/>
    <w:rsid w:val="005330C2"/>
    <w:rsid w:val="00546488"/>
    <w:rsid w:val="00547810"/>
    <w:rsid w:val="0055064D"/>
    <w:rsid w:val="005511DA"/>
    <w:rsid w:val="005755EE"/>
    <w:rsid w:val="005913CA"/>
    <w:rsid w:val="0059180C"/>
    <w:rsid w:val="00595C0A"/>
    <w:rsid w:val="005B0EC6"/>
    <w:rsid w:val="005B517F"/>
    <w:rsid w:val="005C19AD"/>
    <w:rsid w:val="005C4E95"/>
    <w:rsid w:val="005D4691"/>
    <w:rsid w:val="005D7C76"/>
    <w:rsid w:val="005E3261"/>
    <w:rsid w:val="006001D6"/>
    <w:rsid w:val="006055AE"/>
    <w:rsid w:val="00616E79"/>
    <w:rsid w:val="00636462"/>
    <w:rsid w:val="00651B9F"/>
    <w:rsid w:val="00654C3E"/>
    <w:rsid w:val="0066653C"/>
    <w:rsid w:val="006A6EB6"/>
    <w:rsid w:val="006B2AD8"/>
    <w:rsid w:val="006C64AE"/>
    <w:rsid w:val="006C677A"/>
    <w:rsid w:val="006F1194"/>
    <w:rsid w:val="006F2B60"/>
    <w:rsid w:val="00701C2F"/>
    <w:rsid w:val="00711136"/>
    <w:rsid w:val="007126E8"/>
    <w:rsid w:val="0072175A"/>
    <w:rsid w:val="007529CB"/>
    <w:rsid w:val="00762649"/>
    <w:rsid w:val="00787359"/>
    <w:rsid w:val="0078740B"/>
    <w:rsid w:val="0079266A"/>
    <w:rsid w:val="0079329D"/>
    <w:rsid w:val="007B651F"/>
    <w:rsid w:val="007C03EB"/>
    <w:rsid w:val="007C5AE6"/>
    <w:rsid w:val="007C7341"/>
    <w:rsid w:val="007D1668"/>
    <w:rsid w:val="007D3CA7"/>
    <w:rsid w:val="007E6A9C"/>
    <w:rsid w:val="007E75D0"/>
    <w:rsid w:val="00801283"/>
    <w:rsid w:val="00803B56"/>
    <w:rsid w:val="008219B1"/>
    <w:rsid w:val="00822120"/>
    <w:rsid w:val="00830BFE"/>
    <w:rsid w:val="008876F6"/>
    <w:rsid w:val="008A7AF3"/>
    <w:rsid w:val="008D7E78"/>
    <w:rsid w:val="008E24AE"/>
    <w:rsid w:val="00907B0F"/>
    <w:rsid w:val="00913EEC"/>
    <w:rsid w:val="00925736"/>
    <w:rsid w:val="00943216"/>
    <w:rsid w:val="00943E72"/>
    <w:rsid w:val="00957CFC"/>
    <w:rsid w:val="009809E9"/>
    <w:rsid w:val="00981386"/>
    <w:rsid w:val="009A2A9A"/>
    <w:rsid w:val="009C4E79"/>
    <w:rsid w:val="009C6F2D"/>
    <w:rsid w:val="009D7B01"/>
    <w:rsid w:val="009F4BFB"/>
    <w:rsid w:val="00A0368D"/>
    <w:rsid w:val="00A175F9"/>
    <w:rsid w:val="00A255F0"/>
    <w:rsid w:val="00A30FE2"/>
    <w:rsid w:val="00A33D2F"/>
    <w:rsid w:val="00A41F20"/>
    <w:rsid w:val="00A56518"/>
    <w:rsid w:val="00A76C0F"/>
    <w:rsid w:val="00A9541D"/>
    <w:rsid w:val="00A957E9"/>
    <w:rsid w:val="00AA374A"/>
    <w:rsid w:val="00AB02EF"/>
    <w:rsid w:val="00AC1A09"/>
    <w:rsid w:val="00AC7CD4"/>
    <w:rsid w:val="00AD006D"/>
    <w:rsid w:val="00AE37A2"/>
    <w:rsid w:val="00AE4FFD"/>
    <w:rsid w:val="00AE637A"/>
    <w:rsid w:val="00AE6692"/>
    <w:rsid w:val="00AF67B2"/>
    <w:rsid w:val="00B1493F"/>
    <w:rsid w:val="00B1600A"/>
    <w:rsid w:val="00B20455"/>
    <w:rsid w:val="00B22C0F"/>
    <w:rsid w:val="00B250B9"/>
    <w:rsid w:val="00B43CFC"/>
    <w:rsid w:val="00B6691E"/>
    <w:rsid w:val="00B97EAF"/>
    <w:rsid w:val="00BB2AE9"/>
    <w:rsid w:val="00BB64CF"/>
    <w:rsid w:val="00BC76B7"/>
    <w:rsid w:val="00BD30A4"/>
    <w:rsid w:val="00BE1308"/>
    <w:rsid w:val="00BF1069"/>
    <w:rsid w:val="00BF4F7A"/>
    <w:rsid w:val="00C06FCB"/>
    <w:rsid w:val="00C15513"/>
    <w:rsid w:val="00C27228"/>
    <w:rsid w:val="00C27FD3"/>
    <w:rsid w:val="00C353A3"/>
    <w:rsid w:val="00C355AE"/>
    <w:rsid w:val="00C361D4"/>
    <w:rsid w:val="00C47917"/>
    <w:rsid w:val="00C52A0C"/>
    <w:rsid w:val="00C54590"/>
    <w:rsid w:val="00C60F6B"/>
    <w:rsid w:val="00C659B5"/>
    <w:rsid w:val="00C738DF"/>
    <w:rsid w:val="00C77577"/>
    <w:rsid w:val="00C871EF"/>
    <w:rsid w:val="00C957C2"/>
    <w:rsid w:val="00CC40CA"/>
    <w:rsid w:val="00CE53D3"/>
    <w:rsid w:val="00D06093"/>
    <w:rsid w:val="00D1406C"/>
    <w:rsid w:val="00D317EB"/>
    <w:rsid w:val="00D320F4"/>
    <w:rsid w:val="00D356DA"/>
    <w:rsid w:val="00D35873"/>
    <w:rsid w:val="00D366CB"/>
    <w:rsid w:val="00D45338"/>
    <w:rsid w:val="00D46D75"/>
    <w:rsid w:val="00D47FB1"/>
    <w:rsid w:val="00D5109A"/>
    <w:rsid w:val="00D51A8D"/>
    <w:rsid w:val="00D542B1"/>
    <w:rsid w:val="00D644AA"/>
    <w:rsid w:val="00D6521F"/>
    <w:rsid w:val="00D67125"/>
    <w:rsid w:val="00D76AEF"/>
    <w:rsid w:val="00D80424"/>
    <w:rsid w:val="00D8739B"/>
    <w:rsid w:val="00D93F4B"/>
    <w:rsid w:val="00D96316"/>
    <w:rsid w:val="00D97E3D"/>
    <w:rsid w:val="00DA1177"/>
    <w:rsid w:val="00DA43E6"/>
    <w:rsid w:val="00DA7B36"/>
    <w:rsid w:val="00DB1BA3"/>
    <w:rsid w:val="00DB52F1"/>
    <w:rsid w:val="00DC4004"/>
    <w:rsid w:val="00DC4CA1"/>
    <w:rsid w:val="00DC730D"/>
    <w:rsid w:val="00DE5794"/>
    <w:rsid w:val="00DF3DFF"/>
    <w:rsid w:val="00E027EF"/>
    <w:rsid w:val="00E05CBB"/>
    <w:rsid w:val="00E12CED"/>
    <w:rsid w:val="00E26093"/>
    <w:rsid w:val="00E27533"/>
    <w:rsid w:val="00E27B26"/>
    <w:rsid w:val="00E30176"/>
    <w:rsid w:val="00E31CB7"/>
    <w:rsid w:val="00E324A7"/>
    <w:rsid w:val="00E327C8"/>
    <w:rsid w:val="00E37107"/>
    <w:rsid w:val="00E57042"/>
    <w:rsid w:val="00E75099"/>
    <w:rsid w:val="00E76D67"/>
    <w:rsid w:val="00E81438"/>
    <w:rsid w:val="00E835E9"/>
    <w:rsid w:val="00E83F0F"/>
    <w:rsid w:val="00E844D3"/>
    <w:rsid w:val="00EA711E"/>
    <w:rsid w:val="00EB24B9"/>
    <w:rsid w:val="00EB7788"/>
    <w:rsid w:val="00EC0A35"/>
    <w:rsid w:val="00EC1A2B"/>
    <w:rsid w:val="00EF3249"/>
    <w:rsid w:val="00EF56C6"/>
    <w:rsid w:val="00F03461"/>
    <w:rsid w:val="00F07B3A"/>
    <w:rsid w:val="00F15C75"/>
    <w:rsid w:val="00F23CD7"/>
    <w:rsid w:val="00F26E65"/>
    <w:rsid w:val="00F35A28"/>
    <w:rsid w:val="00F41F70"/>
    <w:rsid w:val="00F42E85"/>
    <w:rsid w:val="00F54BFB"/>
    <w:rsid w:val="00F62D34"/>
    <w:rsid w:val="00F6629C"/>
    <w:rsid w:val="00F803E5"/>
    <w:rsid w:val="00F92252"/>
    <w:rsid w:val="00FA6615"/>
    <w:rsid w:val="00FB7145"/>
    <w:rsid w:val="00FC074C"/>
    <w:rsid w:val="00FE3645"/>
    <w:rsid w:val="00FF1FA7"/>
    <w:rsid w:val="00FF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6B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3EB"/>
    <w:pPr>
      <w:keepNext/>
      <w:keepLines/>
      <w:numPr>
        <w:ilvl w:val="1"/>
        <w:numId w:val="7"/>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D3CA7"/>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3CA7"/>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3CA7"/>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3CA7"/>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3CA7"/>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3CA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3CA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03EB"/>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7D3C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D3C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3C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3C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3C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3C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3CA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3CA7"/>
    <w:pPr>
      <w:ind w:left="720"/>
      <w:contextualSpacing/>
    </w:pPr>
  </w:style>
  <w:style w:type="character" w:styleId="CommentReference">
    <w:name w:val="annotation reference"/>
    <w:basedOn w:val="DefaultParagraphFont"/>
    <w:uiPriority w:val="99"/>
    <w:semiHidden/>
    <w:unhideWhenUsed/>
    <w:rsid w:val="007D3CA7"/>
    <w:rPr>
      <w:sz w:val="16"/>
      <w:szCs w:val="16"/>
    </w:rPr>
  </w:style>
  <w:style w:type="paragraph" w:styleId="CommentText">
    <w:name w:val="annotation text"/>
    <w:basedOn w:val="Normal"/>
    <w:link w:val="CommentTextChar"/>
    <w:uiPriority w:val="99"/>
    <w:semiHidden/>
    <w:unhideWhenUsed/>
    <w:rsid w:val="007D3CA7"/>
    <w:pPr>
      <w:spacing w:line="240" w:lineRule="auto"/>
    </w:pPr>
    <w:rPr>
      <w:sz w:val="20"/>
      <w:szCs w:val="20"/>
    </w:rPr>
  </w:style>
  <w:style w:type="character" w:customStyle="1" w:styleId="CommentTextChar">
    <w:name w:val="Comment Text Char"/>
    <w:basedOn w:val="DefaultParagraphFont"/>
    <w:link w:val="CommentText"/>
    <w:uiPriority w:val="99"/>
    <w:semiHidden/>
    <w:rsid w:val="007D3CA7"/>
    <w:rPr>
      <w:sz w:val="20"/>
      <w:szCs w:val="20"/>
    </w:rPr>
  </w:style>
  <w:style w:type="paragraph" w:styleId="BalloonText">
    <w:name w:val="Balloon Text"/>
    <w:basedOn w:val="Normal"/>
    <w:link w:val="BalloonTextChar"/>
    <w:uiPriority w:val="99"/>
    <w:semiHidden/>
    <w:unhideWhenUsed/>
    <w:rsid w:val="007D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7"/>
    <w:rPr>
      <w:rFonts w:ascii="Tahoma" w:hAnsi="Tahoma" w:cs="Tahoma"/>
      <w:sz w:val="16"/>
      <w:szCs w:val="16"/>
    </w:rPr>
  </w:style>
  <w:style w:type="paragraph" w:styleId="Header">
    <w:name w:val="header"/>
    <w:basedOn w:val="Normal"/>
    <w:link w:val="HeaderChar"/>
    <w:uiPriority w:val="99"/>
    <w:unhideWhenUsed/>
    <w:rsid w:val="00300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92"/>
  </w:style>
  <w:style w:type="paragraph" w:styleId="Footer">
    <w:name w:val="footer"/>
    <w:basedOn w:val="Normal"/>
    <w:link w:val="FooterChar"/>
    <w:uiPriority w:val="99"/>
    <w:unhideWhenUsed/>
    <w:rsid w:val="00300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92"/>
  </w:style>
  <w:style w:type="paragraph" w:styleId="CommentSubject">
    <w:name w:val="annotation subject"/>
    <w:basedOn w:val="CommentText"/>
    <w:next w:val="CommentText"/>
    <w:link w:val="CommentSubjectChar"/>
    <w:uiPriority w:val="99"/>
    <w:semiHidden/>
    <w:unhideWhenUsed/>
    <w:rsid w:val="00300D92"/>
    <w:rPr>
      <w:b/>
      <w:bCs/>
    </w:rPr>
  </w:style>
  <w:style w:type="character" w:customStyle="1" w:styleId="CommentSubjectChar">
    <w:name w:val="Comment Subject Char"/>
    <w:basedOn w:val="CommentTextChar"/>
    <w:link w:val="CommentSubject"/>
    <w:uiPriority w:val="99"/>
    <w:semiHidden/>
    <w:rsid w:val="00300D92"/>
    <w:rPr>
      <w:b/>
      <w:bCs/>
      <w:sz w:val="20"/>
      <w:szCs w:val="20"/>
    </w:rPr>
  </w:style>
  <w:style w:type="paragraph" w:styleId="Revision">
    <w:name w:val="Revision"/>
    <w:hidden/>
    <w:uiPriority w:val="99"/>
    <w:semiHidden/>
    <w:rsid w:val="00D317EB"/>
    <w:pPr>
      <w:spacing w:after="0" w:line="240" w:lineRule="auto"/>
    </w:pPr>
  </w:style>
  <w:style w:type="paragraph" w:styleId="FootnoteText">
    <w:name w:val="footnote text"/>
    <w:basedOn w:val="Normal"/>
    <w:link w:val="FootnoteTextChar"/>
    <w:uiPriority w:val="99"/>
    <w:unhideWhenUsed/>
    <w:rsid w:val="00A56518"/>
    <w:pPr>
      <w:spacing w:after="0" w:line="240" w:lineRule="auto"/>
    </w:pPr>
    <w:rPr>
      <w:sz w:val="24"/>
      <w:szCs w:val="24"/>
    </w:rPr>
  </w:style>
  <w:style w:type="character" w:customStyle="1" w:styleId="FootnoteTextChar">
    <w:name w:val="Footnote Text Char"/>
    <w:basedOn w:val="DefaultParagraphFont"/>
    <w:link w:val="FootnoteText"/>
    <w:uiPriority w:val="99"/>
    <w:rsid w:val="00A56518"/>
    <w:rPr>
      <w:sz w:val="24"/>
      <w:szCs w:val="24"/>
    </w:rPr>
  </w:style>
  <w:style w:type="character" w:styleId="FootnoteReference">
    <w:name w:val="footnote reference"/>
    <w:basedOn w:val="DefaultParagraphFont"/>
    <w:uiPriority w:val="99"/>
    <w:unhideWhenUsed/>
    <w:rsid w:val="00A56518"/>
    <w:rPr>
      <w:vertAlign w:val="superscript"/>
    </w:rPr>
  </w:style>
  <w:style w:type="character" w:styleId="Hyperlink">
    <w:name w:val="Hyperlink"/>
    <w:basedOn w:val="DefaultParagraphFont"/>
    <w:uiPriority w:val="99"/>
    <w:unhideWhenUsed/>
    <w:rsid w:val="00C27FD3"/>
    <w:rPr>
      <w:color w:val="0000FF" w:themeColor="hyperlink"/>
      <w:u w:val="single"/>
    </w:rPr>
  </w:style>
  <w:style w:type="paragraph" w:styleId="NoSpacing">
    <w:name w:val="No Spacing"/>
    <w:uiPriority w:val="1"/>
    <w:qFormat/>
    <w:rsid w:val="00053C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3EB"/>
    <w:pPr>
      <w:keepNext/>
      <w:keepLines/>
      <w:numPr>
        <w:ilvl w:val="1"/>
        <w:numId w:val="7"/>
      </w:numPr>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D3CA7"/>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3CA7"/>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3CA7"/>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3CA7"/>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3CA7"/>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3CA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3CA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03EB"/>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7D3C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D3C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3C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3C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3C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3C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3CA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3CA7"/>
    <w:pPr>
      <w:ind w:left="720"/>
      <w:contextualSpacing/>
    </w:pPr>
  </w:style>
  <w:style w:type="character" w:styleId="CommentReference">
    <w:name w:val="annotation reference"/>
    <w:basedOn w:val="DefaultParagraphFont"/>
    <w:uiPriority w:val="99"/>
    <w:semiHidden/>
    <w:unhideWhenUsed/>
    <w:rsid w:val="007D3CA7"/>
    <w:rPr>
      <w:sz w:val="16"/>
      <w:szCs w:val="16"/>
    </w:rPr>
  </w:style>
  <w:style w:type="paragraph" w:styleId="CommentText">
    <w:name w:val="annotation text"/>
    <w:basedOn w:val="Normal"/>
    <w:link w:val="CommentTextChar"/>
    <w:uiPriority w:val="99"/>
    <w:semiHidden/>
    <w:unhideWhenUsed/>
    <w:rsid w:val="007D3CA7"/>
    <w:pPr>
      <w:spacing w:line="240" w:lineRule="auto"/>
    </w:pPr>
    <w:rPr>
      <w:sz w:val="20"/>
      <w:szCs w:val="20"/>
    </w:rPr>
  </w:style>
  <w:style w:type="character" w:customStyle="1" w:styleId="CommentTextChar">
    <w:name w:val="Comment Text Char"/>
    <w:basedOn w:val="DefaultParagraphFont"/>
    <w:link w:val="CommentText"/>
    <w:uiPriority w:val="99"/>
    <w:semiHidden/>
    <w:rsid w:val="007D3CA7"/>
    <w:rPr>
      <w:sz w:val="20"/>
      <w:szCs w:val="20"/>
    </w:rPr>
  </w:style>
  <w:style w:type="paragraph" w:styleId="BalloonText">
    <w:name w:val="Balloon Text"/>
    <w:basedOn w:val="Normal"/>
    <w:link w:val="BalloonTextChar"/>
    <w:uiPriority w:val="99"/>
    <w:semiHidden/>
    <w:unhideWhenUsed/>
    <w:rsid w:val="007D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7"/>
    <w:rPr>
      <w:rFonts w:ascii="Tahoma" w:hAnsi="Tahoma" w:cs="Tahoma"/>
      <w:sz w:val="16"/>
      <w:szCs w:val="16"/>
    </w:rPr>
  </w:style>
  <w:style w:type="paragraph" w:styleId="Header">
    <w:name w:val="header"/>
    <w:basedOn w:val="Normal"/>
    <w:link w:val="HeaderChar"/>
    <w:uiPriority w:val="99"/>
    <w:unhideWhenUsed/>
    <w:rsid w:val="00300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92"/>
  </w:style>
  <w:style w:type="paragraph" w:styleId="Footer">
    <w:name w:val="footer"/>
    <w:basedOn w:val="Normal"/>
    <w:link w:val="FooterChar"/>
    <w:uiPriority w:val="99"/>
    <w:unhideWhenUsed/>
    <w:rsid w:val="00300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92"/>
  </w:style>
  <w:style w:type="paragraph" w:styleId="CommentSubject">
    <w:name w:val="annotation subject"/>
    <w:basedOn w:val="CommentText"/>
    <w:next w:val="CommentText"/>
    <w:link w:val="CommentSubjectChar"/>
    <w:uiPriority w:val="99"/>
    <w:semiHidden/>
    <w:unhideWhenUsed/>
    <w:rsid w:val="00300D92"/>
    <w:rPr>
      <w:b/>
      <w:bCs/>
    </w:rPr>
  </w:style>
  <w:style w:type="character" w:customStyle="1" w:styleId="CommentSubjectChar">
    <w:name w:val="Comment Subject Char"/>
    <w:basedOn w:val="CommentTextChar"/>
    <w:link w:val="CommentSubject"/>
    <w:uiPriority w:val="99"/>
    <w:semiHidden/>
    <w:rsid w:val="00300D92"/>
    <w:rPr>
      <w:b/>
      <w:bCs/>
      <w:sz w:val="20"/>
      <w:szCs w:val="20"/>
    </w:rPr>
  </w:style>
  <w:style w:type="paragraph" w:styleId="Revision">
    <w:name w:val="Revision"/>
    <w:hidden/>
    <w:uiPriority w:val="99"/>
    <w:semiHidden/>
    <w:rsid w:val="00D317EB"/>
    <w:pPr>
      <w:spacing w:after="0" w:line="240" w:lineRule="auto"/>
    </w:pPr>
  </w:style>
  <w:style w:type="paragraph" w:styleId="FootnoteText">
    <w:name w:val="footnote text"/>
    <w:basedOn w:val="Normal"/>
    <w:link w:val="FootnoteTextChar"/>
    <w:uiPriority w:val="99"/>
    <w:unhideWhenUsed/>
    <w:rsid w:val="00A56518"/>
    <w:pPr>
      <w:spacing w:after="0" w:line="240" w:lineRule="auto"/>
    </w:pPr>
    <w:rPr>
      <w:sz w:val="24"/>
      <w:szCs w:val="24"/>
    </w:rPr>
  </w:style>
  <w:style w:type="character" w:customStyle="1" w:styleId="FootnoteTextChar">
    <w:name w:val="Footnote Text Char"/>
    <w:basedOn w:val="DefaultParagraphFont"/>
    <w:link w:val="FootnoteText"/>
    <w:uiPriority w:val="99"/>
    <w:rsid w:val="00A56518"/>
    <w:rPr>
      <w:sz w:val="24"/>
      <w:szCs w:val="24"/>
    </w:rPr>
  </w:style>
  <w:style w:type="character" w:styleId="FootnoteReference">
    <w:name w:val="footnote reference"/>
    <w:basedOn w:val="DefaultParagraphFont"/>
    <w:uiPriority w:val="99"/>
    <w:unhideWhenUsed/>
    <w:rsid w:val="00A56518"/>
    <w:rPr>
      <w:vertAlign w:val="superscript"/>
    </w:rPr>
  </w:style>
  <w:style w:type="character" w:styleId="Hyperlink">
    <w:name w:val="Hyperlink"/>
    <w:basedOn w:val="DefaultParagraphFont"/>
    <w:uiPriority w:val="99"/>
    <w:unhideWhenUsed/>
    <w:rsid w:val="00C27FD3"/>
    <w:rPr>
      <w:color w:val="0000FF" w:themeColor="hyperlink"/>
      <w:u w:val="single"/>
    </w:rPr>
  </w:style>
  <w:style w:type="paragraph" w:styleId="NoSpacing">
    <w:name w:val="No Spacing"/>
    <w:uiPriority w:val="1"/>
    <w:qFormat/>
    <w:rsid w:val="00053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273213">
      <w:bodyDiv w:val="1"/>
      <w:marLeft w:val="0"/>
      <w:marRight w:val="0"/>
      <w:marTop w:val="0"/>
      <w:marBottom w:val="0"/>
      <w:divBdr>
        <w:top w:val="none" w:sz="0" w:space="0" w:color="auto"/>
        <w:left w:val="none" w:sz="0" w:space="0" w:color="auto"/>
        <w:bottom w:val="none" w:sz="0" w:space="0" w:color="auto"/>
        <w:right w:val="none" w:sz="0" w:space="0" w:color="auto"/>
      </w:divBdr>
      <w:divsChild>
        <w:div w:id="321349853">
          <w:marLeft w:val="547"/>
          <w:marRight w:val="0"/>
          <w:marTop w:val="144"/>
          <w:marBottom w:val="0"/>
          <w:divBdr>
            <w:top w:val="none" w:sz="0" w:space="0" w:color="auto"/>
            <w:left w:val="none" w:sz="0" w:space="0" w:color="auto"/>
            <w:bottom w:val="none" w:sz="0" w:space="0" w:color="auto"/>
            <w:right w:val="none" w:sz="0" w:space="0" w:color="auto"/>
          </w:divBdr>
        </w:div>
        <w:div w:id="1057163128">
          <w:marLeft w:val="1440"/>
          <w:marRight w:val="0"/>
          <w:marTop w:val="125"/>
          <w:marBottom w:val="0"/>
          <w:divBdr>
            <w:top w:val="none" w:sz="0" w:space="0" w:color="auto"/>
            <w:left w:val="none" w:sz="0" w:space="0" w:color="auto"/>
            <w:bottom w:val="none" w:sz="0" w:space="0" w:color="auto"/>
            <w:right w:val="none" w:sz="0" w:space="0" w:color="auto"/>
          </w:divBdr>
        </w:div>
        <w:div w:id="50078090">
          <w:marLeft w:val="1440"/>
          <w:marRight w:val="0"/>
          <w:marTop w:val="125"/>
          <w:marBottom w:val="0"/>
          <w:divBdr>
            <w:top w:val="none" w:sz="0" w:space="0" w:color="auto"/>
            <w:left w:val="none" w:sz="0" w:space="0" w:color="auto"/>
            <w:bottom w:val="none" w:sz="0" w:space="0" w:color="auto"/>
            <w:right w:val="none" w:sz="0" w:space="0" w:color="auto"/>
          </w:divBdr>
        </w:div>
        <w:div w:id="1189484488">
          <w:marLeft w:val="1440"/>
          <w:marRight w:val="0"/>
          <w:marTop w:val="125"/>
          <w:marBottom w:val="0"/>
          <w:divBdr>
            <w:top w:val="none" w:sz="0" w:space="0" w:color="auto"/>
            <w:left w:val="none" w:sz="0" w:space="0" w:color="auto"/>
            <w:bottom w:val="none" w:sz="0" w:space="0" w:color="auto"/>
            <w:right w:val="none" w:sz="0" w:space="0" w:color="auto"/>
          </w:divBdr>
        </w:div>
        <w:div w:id="542402667">
          <w:marLeft w:val="1440"/>
          <w:marRight w:val="0"/>
          <w:marTop w:val="125"/>
          <w:marBottom w:val="0"/>
          <w:divBdr>
            <w:top w:val="none" w:sz="0" w:space="0" w:color="auto"/>
            <w:left w:val="none" w:sz="0" w:space="0" w:color="auto"/>
            <w:bottom w:val="none" w:sz="0" w:space="0" w:color="auto"/>
            <w:right w:val="none" w:sz="0" w:space="0" w:color="auto"/>
          </w:divBdr>
        </w:div>
        <w:div w:id="825046977">
          <w:marLeft w:val="1440"/>
          <w:marRight w:val="0"/>
          <w:marTop w:val="125"/>
          <w:marBottom w:val="0"/>
          <w:divBdr>
            <w:top w:val="none" w:sz="0" w:space="0" w:color="auto"/>
            <w:left w:val="none" w:sz="0" w:space="0" w:color="auto"/>
            <w:bottom w:val="none" w:sz="0" w:space="0" w:color="auto"/>
            <w:right w:val="none" w:sz="0" w:space="0" w:color="auto"/>
          </w:divBdr>
        </w:div>
        <w:div w:id="1615868602">
          <w:marLeft w:val="547"/>
          <w:marRight w:val="0"/>
          <w:marTop w:val="144"/>
          <w:marBottom w:val="0"/>
          <w:divBdr>
            <w:top w:val="none" w:sz="0" w:space="0" w:color="auto"/>
            <w:left w:val="none" w:sz="0" w:space="0" w:color="auto"/>
            <w:bottom w:val="none" w:sz="0" w:space="0" w:color="auto"/>
            <w:right w:val="none" w:sz="0" w:space="0" w:color="auto"/>
          </w:divBdr>
        </w:div>
        <w:div w:id="1737582863">
          <w:marLeft w:val="547"/>
          <w:marRight w:val="0"/>
          <w:marTop w:val="144"/>
          <w:marBottom w:val="0"/>
          <w:divBdr>
            <w:top w:val="none" w:sz="0" w:space="0" w:color="auto"/>
            <w:left w:val="none" w:sz="0" w:space="0" w:color="auto"/>
            <w:bottom w:val="none" w:sz="0" w:space="0" w:color="auto"/>
            <w:right w:val="none" w:sz="0" w:space="0" w:color="auto"/>
          </w:divBdr>
        </w:div>
        <w:div w:id="1117799200">
          <w:marLeft w:val="1440"/>
          <w:marRight w:val="0"/>
          <w:marTop w:val="125"/>
          <w:marBottom w:val="0"/>
          <w:divBdr>
            <w:top w:val="none" w:sz="0" w:space="0" w:color="auto"/>
            <w:left w:val="none" w:sz="0" w:space="0" w:color="auto"/>
            <w:bottom w:val="none" w:sz="0" w:space="0" w:color="auto"/>
            <w:right w:val="none" w:sz="0" w:space="0" w:color="auto"/>
          </w:divBdr>
        </w:div>
        <w:div w:id="1488588901">
          <w:marLeft w:val="144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1FF7205D94A89B7F5261368F80814"/>
        <w:category>
          <w:name w:val="General"/>
          <w:gallery w:val="placeholder"/>
        </w:category>
        <w:types>
          <w:type w:val="bbPlcHdr"/>
        </w:types>
        <w:behaviors>
          <w:behavior w:val="content"/>
        </w:behaviors>
        <w:guid w:val="{0C222087-E1BC-4E07-90D8-AE2A02A4DA10}"/>
      </w:docPartPr>
      <w:docPartBody>
        <w:p w:rsidR="002E7CE0" w:rsidRDefault="00FC6479" w:rsidP="00FC6479">
          <w:pPr>
            <w:pStyle w:val="1E61FF7205D94A89B7F5261368F808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79"/>
    <w:rsid w:val="000E687D"/>
    <w:rsid w:val="002E7CE0"/>
    <w:rsid w:val="00351FDB"/>
    <w:rsid w:val="00405AC1"/>
    <w:rsid w:val="00416E14"/>
    <w:rsid w:val="00533983"/>
    <w:rsid w:val="00573891"/>
    <w:rsid w:val="00A023A0"/>
    <w:rsid w:val="00AA0AE3"/>
    <w:rsid w:val="00BF2CD8"/>
    <w:rsid w:val="00C1006D"/>
    <w:rsid w:val="00D46FEF"/>
    <w:rsid w:val="00FC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61FF7205D94A89B7F5261368F80814">
    <w:name w:val="1E61FF7205D94A89B7F5261368F80814"/>
    <w:rsid w:val="00FC6479"/>
  </w:style>
  <w:style w:type="paragraph" w:customStyle="1" w:styleId="F969F5096C964D15AB4F1647E503A122">
    <w:name w:val="F969F5096C964D15AB4F1647E503A122"/>
    <w:rsid w:val="005738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61FF7205D94A89B7F5261368F80814">
    <w:name w:val="1E61FF7205D94A89B7F5261368F80814"/>
    <w:rsid w:val="00FC6479"/>
  </w:style>
  <w:style w:type="paragraph" w:customStyle="1" w:styleId="F969F5096C964D15AB4F1647E503A122">
    <w:name w:val="F969F5096C964D15AB4F1647E503A122"/>
    <w:rsid w:val="00573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F2F3-DB02-4F17-ABC8-1C01D884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10085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Draft PSWG Health Big Data Recommendations Outline</vt:lpstr>
    </vt:vector>
  </TitlesOfParts>
  <Company>DHHS</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PSWG Health Big Data Recommendations Outline</dc:title>
  <dc:creator>Helen Caton-Peters</dc:creator>
  <cp:lastModifiedBy>Lonnie Moore</cp:lastModifiedBy>
  <cp:revision>2</cp:revision>
  <cp:lastPrinted>2015-06-03T21:20:00Z</cp:lastPrinted>
  <dcterms:created xsi:type="dcterms:W3CDTF">2015-06-05T21:18:00Z</dcterms:created>
  <dcterms:modified xsi:type="dcterms:W3CDTF">2015-06-05T21:18:00Z</dcterms:modified>
</cp:coreProperties>
</file>