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C6" w:rsidRDefault="003E5DC6" w:rsidP="003E5DC6">
      <w:pPr>
        <w:pStyle w:val="Title"/>
      </w:pPr>
      <w:bookmarkStart w:id="0" w:name="_GoBack"/>
      <w:bookmarkEnd w:id="0"/>
      <w:r>
        <w:t>Precision Medicine Task Force Speakers</w:t>
      </w:r>
    </w:p>
    <w:p w:rsidR="00785084" w:rsidRDefault="00785084" w:rsidP="00785084">
      <w:r>
        <w:t>August 19</w:t>
      </w:r>
      <w:r w:rsidR="004F0954">
        <w:t>,</w:t>
      </w:r>
      <w:r>
        <w:t xml:space="preserve"> 2015</w:t>
      </w:r>
    </w:p>
    <w:p w:rsidR="00785084" w:rsidRDefault="00785084" w:rsidP="00785084">
      <w:pPr>
        <w:pStyle w:val="Subtitle"/>
      </w:pPr>
      <w:r>
        <w:t>Office of the National Coordinator for Health IT</w:t>
      </w:r>
    </w:p>
    <w:p w:rsidR="00785084" w:rsidRDefault="00785084" w:rsidP="003E5DC6">
      <w:pPr>
        <w:pStyle w:val="Heading1"/>
      </w:pPr>
      <w:bookmarkStart w:id="1" w:name="_Toc427663606"/>
      <w:r w:rsidRPr="00785084">
        <w:t>Duke University School of Medicine</w:t>
      </w:r>
      <w:bookmarkEnd w:id="1"/>
    </w:p>
    <w:p w:rsidR="007A6127" w:rsidRDefault="007A6127" w:rsidP="007A6127">
      <w:pPr>
        <w:pStyle w:val="Heading2"/>
      </w:pPr>
      <w:bookmarkStart w:id="2" w:name="_Toc427663608"/>
      <w:r>
        <w:t>Richard A. Bloomfield Jr, MD</w:t>
      </w:r>
      <w:bookmarkEnd w:id="2"/>
    </w:p>
    <w:p w:rsidR="007A6127" w:rsidRDefault="007A6127" w:rsidP="007A6127">
      <w:pPr>
        <w:rPr>
          <w:b/>
        </w:rPr>
      </w:pPr>
      <w:r w:rsidRPr="007A6127">
        <w:rPr>
          <w:b/>
        </w:rPr>
        <w:t>Assistant Professor of Pediatrics, Assistant Professor of Medicine</w:t>
      </w:r>
    </w:p>
    <w:p w:rsidR="000F07B4" w:rsidRDefault="007A6127" w:rsidP="000F07B4">
      <w:r>
        <w:rPr>
          <w:noProof/>
        </w:rPr>
        <w:drawing>
          <wp:anchor distT="0" distB="0" distL="114300" distR="114300" simplePos="0" relativeHeight="251666432" behindDoc="1" locked="0" layoutInCell="1" allowOverlap="1" wp14:anchorId="7E21CD9F" wp14:editId="71DA4325">
            <wp:simplePos x="0" y="0"/>
            <wp:positionH relativeFrom="column">
              <wp:posOffset>0</wp:posOffset>
            </wp:positionH>
            <wp:positionV relativeFrom="paragraph">
              <wp:posOffset>-2540</wp:posOffset>
            </wp:positionV>
            <wp:extent cx="914400" cy="1371600"/>
            <wp:effectExtent l="0" t="0" r="0" b="0"/>
            <wp:wrapTight wrapText="bothSides">
              <wp:wrapPolygon edited="0">
                <wp:start x="0" y="0"/>
                <wp:lineTo x="0" y="21300"/>
                <wp:lineTo x="21150" y="21300"/>
                <wp:lineTo x="21150" y="0"/>
                <wp:lineTo x="0" y="0"/>
              </wp:wrapPolygon>
            </wp:wrapTight>
            <wp:docPr id="7" name="Picture 7" descr="http://www.dukehealth.org/physicians/richard-alan-bloomfield-jr/photo_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ukehealth.org/physicians/richard-alan-bloomfield-jr/photo_thumbn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7B4">
        <w:t xml:space="preserve">Dr. Bloomfield joined Duke in 2013 to oversee mobile technology initiatives within the healthcare system. In addition to rolling out mobile applications associated with the Epic EHR, he is collaborating with multiple entities both inside and outside Duke to establish an open technology platform for mobile health innovation. During his residency, Dr. Bloomfield founded a successful software company creating health and social networking apps for iOS devices that has enjoyed over 13 million downloads to date. </w:t>
      </w:r>
    </w:p>
    <w:p w:rsidR="007A6127" w:rsidRPr="007A6127" w:rsidRDefault="000F07B4" w:rsidP="000F07B4">
      <w:r>
        <w:t xml:space="preserve">Dr. Bloomfield led the integration of </w:t>
      </w:r>
      <w:proofErr w:type="spellStart"/>
      <w:r>
        <w:t>HealthKit</w:t>
      </w:r>
      <w:proofErr w:type="spellEnd"/>
      <w:r>
        <w:t xml:space="preserve"> at Duke in August 2014 and is helping facilitate its use among interested faculty for both clinical and research purposes. He also provides guidance to other key initiatives across the health system, including telemedicine, a health accelerator, secure messaging, custom apps, clinical decision support, </w:t>
      </w:r>
      <w:proofErr w:type="spellStart"/>
      <w:r>
        <w:t>ResearchKit</w:t>
      </w:r>
      <w:proofErr w:type="spellEnd"/>
      <w:r>
        <w:t xml:space="preserve">, and integration of the open SMART on FHIR platform. Duke is the first Epic-based hospital system to incorporate SMART. He still practices clinically as a Pediatric and Internal Medicine hospitalist.    </w:t>
      </w:r>
    </w:p>
    <w:p w:rsidR="007A6127" w:rsidRDefault="007A6127" w:rsidP="007A6127">
      <w:pPr>
        <w:pStyle w:val="Heading2"/>
      </w:pPr>
      <w:bookmarkStart w:id="3" w:name="_Toc427663609"/>
      <w:r>
        <w:t>Lori Orlando, MD</w:t>
      </w:r>
      <w:bookmarkEnd w:id="3"/>
    </w:p>
    <w:p w:rsidR="007A6127" w:rsidRPr="007A6127" w:rsidRDefault="007A6127" w:rsidP="007A6127">
      <w:pPr>
        <w:spacing w:after="0" w:line="240" w:lineRule="auto"/>
        <w:rPr>
          <w:b/>
        </w:rPr>
      </w:pPr>
      <w:r w:rsidRPr="007A6127">
        <w:rPr>
          <w:b/>
        </w:rPr>
        <w:t>Professor of Medicine and Associate Director of Duke Center for Applied Genomics &amp; Precision Medicine</w:t>
      </w:r>
    </w:p>
    <w:p w:rsidR="007A6127" w:rsidRDefault="007A6127" w:rsidP="000F07B4">
      <w:pPr>
        <w:spacing w:after="0"/>
        <w:rPr>
          <w:rFonts w:asciiTheme="majorHAnsi" w:eastAsiaTheme="majorEastAsia" w:hAnsiTheme="majorHAnsi" w:cstheme="majorBidi"/>
          <w:b/>
          <w:bCs/>
          <w:color w:val="365F91" w:themeColor="accent1" w:themeShade="BF"/>
          <w:sz w:val="28"/>
          <w:szCs w:val="28"/>
        </w:rPr>
      </w:pPr>
      <w:r>
        <w:rPr>
          <w:noProof/>
        </w:rPr>
        <w:drawing>
          <wp:anchor distT="0" distB="0" distL="114300" distR="114300" simplePos="0" relativeHeight="251665408" behindDoc="1" locked="0" layoutInCell="1" allowOverlap="1" wp14:anchorId="51F1A503" wp14:editId="3E543324">
            <wp:simplePos x="0" y="0"/>
            <wp:positionH relativeFrom="column">
              <wp:posOffset>13335</wp:posOffset>
            </wp:positionH>
            <wp:positionV relativeFrom="paragraph">
              <wp:posOffset>85090</wp:posOffset>
            </wp:positionV>
            <wp:extent cx="1076325" cy="1371600"/>
            <wp:effectExtent l="0" t="0" r="9525" b="0"/>
            <wp:wrapTight wrapText="bothSides">
              <wp:wrapPolygon edited="0">
                <wp:start x="0" y="0"/>
                <wp:lineTo x="0" y="21300"/>
                <wp:lineTo x="21409" y="21300"/>
                <wp:lineTo x="21409" y="0"/>
                <wp:lineTo x="0" y="0"/>
              </wp:wrapPolygon>
            </wp:wrapTight>
            <wp:docPr id="6" name="Picture 6" descr="https://medicine.duke.edu/sites/medicine.duke.edu/files/styles/profile/public/i4312062?itok=6Yjkw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cine.duke.edu/sites/medicine.duke.edu/files/styles/profile/public/i4312062?itok=6Yjkw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127">
        <w:t xml:space="preserve">Dr. Orlando is a practicing internist and health services researcher.  She completed her residency and chief residency at Tulane University in 2002 and a Health Services Research Fellowship at Duke University in 2004. After joining the faculty at Duke in 2004, she worked in the Duke Center for Clinical Heath Policy Research and then the Duke Center for Applied Genomics and Precision Medicine (CAGPM) with Dr. Ginsburg. In 2014 she became the Director of the CAGPM’s Precision Medicine Program. Her major research interests are decision making and patient preferences, implementation research, risk stratification for targeting preventive health services, and decision modeling. Since joining the CAGPM she has been leading the development and implementation of </w:t>
      </w:r>
      <w:proofErr w:type="spellStart"/>
      <w:r w:rsidRPr="007A6127">
        <w:t>MeTree</w:t>
      </w:r>
      <w:proofErr w:type="spellEnd"/>
      <w:r w:rsidRPr="007A6127">
        <w:t xml:space="preserve">, a patient-facing family health history based risk assessment and clinical decision support program designed to facilitate the uptake of risk stratified evidence-based guidelines </w:t>
      </w:r>
      <w:r w:rsidRPr="007A6127">
        <w:lastRenderedPageBreak/>
        <w:t>which is currently funded as part of NHGRI’s IGNITE (Implementing Genomics in Clinical Practice) network.</w:t>
      </w:r>
    </w:p>
    <w:p w:rsidR="003E5DC6" w:rsidRDefault="00785084" w:rsidP="003E5DC6">
      <w:pPr>
        <w:pStyle w:val="Heading1"/>
      </w:pPr>
      <w:bookmarkStart w:id="4" w:name="_Toc427663610"/>
      <w:proofErr w:type="spellStart"/>
      <w:proofErr w:type="gramStart"/>
      <w:r>
        <w:t>eMerge</w:t>
      </w:r>
      <w:proofErr w:type="spellEnd"/>
      <w:proofErr w:type="gramEnd"/>
      <w:r>
        <w:t xml:space="preserve"> Network</w:t>
      </w:r>
      <w:bookmarkEnd w:id="4"/>
    </w:p>
    <w:p w:rsidR="00A83C3F" w:rsidRDefault="00A83C3F" w:rsidP="003E5DC6">
      <w:pPr>
        <w:pStyle w:val="Heading2"/>
      </w:pPr>
      <w:bookmarkStart w:id="5" w:name="_Toc427663611"/>
      <w:r>
        <w:t>Joshua C. Denny, MD, MS</w:t>
      </w:r>
      <w:bookmarkEnd w:id="5"/>
    </w:p>
    <w:p w:rsidR="003E5DC6" w:rsidRPr="003E5DC6" w:rsidRDefault="003E5DC6" w:rsidP="003E5DC6">
      <w:pPr>
        <w:spacing w:after="0"/>
        <w:rPr>
          <w:b/>
        </w:rPr>
      </w:pPr>
      <w:r w:rsidRPr="003E5DC6">
        <w:rPr>
          <w:b/>
        </w:rPr>
        <w:t>Associate Professor of Biomedical Informatics, Associate Professor of Medicine</w:t>
      </w:r>
    </w:p>
    <w:p w:rsidR="00A83C3F" w:rsidRDefault="003E5DC6" w:rsidP="003E5DC6">
      <w:pPr>
        <w:spacing w:after="0"/>
      </w:pPr>
      <w:r>
        <w:rPr>
          <w:noProof/>
        </w:rPr>
        <w:drawing>
          <wp:anchor distT="0" distB="0" distL="114300" distR="114300" simplePos="0" relativeHeight="251658240" behindDoc="0" locked="0" layoutInCell="1" allowOverlap="1" wp14:anchorId="5FA5C32E" wp14:editId="753D9745">
            <wp:simplePos x="0" y="0"/>
            <wp:positionH relativeFrom="column">
              <wp:posOffset>23495</wp:posOffset>
            </wp:positionH>
            <wp:positionV relativeFrom="paragraph">
              <wp:posOffset>57785</wp:posOffset>
            </wp:positionV>
            <wp:extent cx="1198571" cy="1600200"/>
            <wp:effectExtent l="19050" t="19050" r="20955" b="19050"/>
            <wp:wrapSquare wrapText="bothSides"/>
            <wp:docPr id="1" name="Picture 1" descr="Joshua C. Denny, MD,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hua C. Denny, MD, 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8571" cy="16002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A83C3F">
        <w:t>Josh Denny, M.D., M.S., FACMI is an Associate Professor of Biomedical Informatics and Medicine. He completed an internal medicine residency as a Tinsley Harrison Scholar at Vanderbilt. His interest in medical informatics began while in medical school with the development of a concept-based curriculum database to improve medical education. Other interests include natural language processing, accurate phenotype identification from electronic medical record data, and using the electronic medical record to discover genome-phenome associations to better understand disease and drug response, including the development of the EMR-based phenome-wide association (</w:t>
      </w:r>
      <w:proofErr w:type="spellStart"/>
      <w:r w:rsidR="00A83C3F">
        <w:t>PheWAS</w:t>
      </w:r>
      <w:proofErr w:type="spellEnd"/>
      <w:r w:rsidR="00A83C3F">
        <w:t>).  Nationally, he is part of the Electronic Medical Records and Genomics (</w:t>
      </w:r>
      <w:proofErr w:type="spellStart"/>
      <w:r w:rsidR="00A83C3F">
        <w:t>eMERGE</w:t>
      </w:r>
      <w:proofErr w:type="spellEnd"/>
      <w:r w:rsidR="00A83C3F">
        <w:t xml:space="preserve">) Network and </w:t>
      </w:r>
      <w:proofErr w:type="spellStart"/>
      <w:r w:rsidR="00A83C3F">
        <w:t>eMERGE</w:t>
      </w:r>
      <w:proofErr w:type="spellEnd"/>
      <w:r w:rsidR="00A83C3F">
        <w:t xml:space="preserve"> Coordinating Center, Pharmacogenomics Research Network (PGRN), and the Pharmacogenomics of very large populations (</w:t>
      </w:r>
      <w:proofErr w:type="spellStart"/>
      <w:r w:rsidR="00A83C3F">
        <w:t>PGPop</w:t>
      </w:r>
      <w:proofErr w:type="spellEnd"/>
      <w:r w:rsidR="00A83C3F">
        <w:t>) network.  At Vanderbilt, he is also part of the PREDICT (</w:t>
      </w:r>
      <w:proofErr w:type="spellStart"/>
      <w:r w:rsidR="00A83C3F">
        <w:t>Pharmacogenomic</w:t>
      </w:r>
      <w:proofErr w:type="spellEnd"/>
      <w:r w:rsidR="00A83C3F">
        <w:t xml:space="preserve"> Resource for Enhanced Decisions in Care and Treatment) program, which prospectively genotypes patients to tailor drug response.</w:t>
      </w:r>
    </w:p>
    <w:p w:rsidR="003E5DC6" w:rsidRDefault="003E5DC6" w:rsidP="003E5DC6">
      <w:pPr>
        <w:spacing w:after="0"/>
      </w:pPr>
    </w:p>
    <w:p w:rsidR="00A83C3F" w:rsidRDefault="00A83C3F" w:rsidP="003E5DC6">
      <w:pPr>
        <w:spacing w:after="0"/>
      </w:pPr>
      <w:r>
        <w:t>Dr. Denny serves on several local committees and remains active in teaching medical students and clinical roles.  He received the Homer Warner award from the American Medical Informatics Association (AMIA) in 2008 and 2009.  He received the AMIA New Investigator Award in 2012 and was elected into the American College of Medical Informatics in 2013.</w:t>
      </w:r>
    </w:p>
    <w:p w:rsidR="00785084" w:rsidRDefault="00785084" w:rsidP="00785084">
      <w:pPr>
        <w:pStyle w:val="Heading1"/>
      </w:pPr>
      <w:bookmarkStart w:id="6" w:name="_Toc427663613"/>
      <w:r>
        <w:t>Sage Bionetworks</w:t>
      </w:r>
      <w:bookmarkEnd w:id="6"/>
    </w:p>
    <w:p w:rsidR="00785084" w:rsidRDefault="00785084" w:rsidP="00785084">
      <w:pPr>
        <w:pStyle w:val="Heading2"/>
      </w:pPr>
      <w:bookmarkStart w:id="7" w:name="_Toc427663614"/>
      <w:r>
        <w:t>John Wilbanks</w:t>
      </w:r>
      <w:bookmarkEnd w:id="7"/>
    </w:p>
    <w:p w:rsidR="00785084" w:rsidRPr="003E5DC6" w:rsidRDefault="00785084" w:rsidP="00785084">
      <w:pPr>
        <w:spacing w:after="0"/>
        <w:rPr>
          <w:b/>
        </w:rPr>
      </w:pPr>
      <w:r w:rsidRPr="003E5DC6">
        <w:rPr>
          <w:b/>
        </w:rPr>
        <w:t>Chief Commons Officer</w:t>
      </w:r>
    </w:p>
    <w:p w:rsidR="00785084" w:rsidRDefault="00785084" w:rsidP="00785084">
      <w:pPr>
        <w:spacing w:after="0"/>
      </w:pPr>
      <w:r>
        <w:rPr>
          <w:noProof/>
        </w:rPr>
        <w:drawing>
          <wp:anchor distT="0" distB="0" distL="114300" distR="114300" simplePos="0" relativeHeight="251663360" behindDoc="0" locked="0" layoutInCell="1" allowOverlap="1" wp14:anchorId="52AECEFE" wp14:editId="1747CB48">
            <wp:simplePos x="0" y="0"/>
            <wp:positionH relativeFrom="column">
              <wp:posOffset>0</wp:posOffset>
            </wp:positionH>
            <wp:positionV relativeFrom="paragraph">
              <wp:posOffset>71755</wp:posOffset>
            </wp:positionV>
            <wp:extent cx="1600200" cy="1600200"/>
            <wp:effectExtent l="19050" t="19050" r="19050" b="19050"/>
            <wp:wrapSquare wrapText="bothSides"/>
            <wp:docPr id="4" name="Picture 4" descr="John Wilb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hn Wilban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9C4F4C">
        <w:t xml:space="preserve">John Wilbanks is the Chief Commons Officer at Sage Bionetworks. He has spent his career working to advance open content, open data and open innovation systems. Wilbanks also serves as a senior fellow at </w:t>
      </w:r>
      <w:proofErr w:type="spellStart"/>
      <w:r w:rsidRPr="009C4F4C">
        <w:t>FasterCures</w:t>
      </w:r>
      <w:proofErr w:type="spellEnd"/>
      <w:r w:rsidRPr="009C4F4C">
        <w:t xml:space="preserve">, and as a senior advisor for big data to the National Coordination Office. Previously, Wilbanks worked as a legislative aide to Congressman Fortney “Pete” Stark, served as the first assistant director at Harvard’s Berkman Center for Internet &amp; Society, founded and led to acquisition the bioinformatics company </w:t>
      </w:r>
      <w:proofErr w:type="spellStart"/>
      <w:r w:rsidRPr="009C4F4C">
        <w:t>Incellico</w:t>
      </w:r>
      <w:proofErr w:type="spellEnd"/>
      <w:r w:rsidRPr="009C4F4C">
        <w:t xml:space="preserve">, Inc., and was executive director of the Science Commons project at Creative Commons. In </w:t>
      </w:r>
      <w:r w:rsidRPr="009C4F4C">
        <w:lastRenderedPageBreak/>
        <w:t xml:space="preserve">February 2013, in response to a We the People petition that was spearheaded by Wilbanks and signed by 65,000 people, the U.S. government announced a plan to open up taxpayer-funded research data and make it available for free. Wilbanks holds a B.A. in philosophy from Tulane University and also </w:t>
      </w:r>
      <w:r w:rsidR="008909BF">
        <w:t>s</w:t>
      </w:r>
      <w:r w:rsidRPr="009C4F4C">
        <w:t>tudied modern letters at the Sorbonne.</w:t>
      </w:r>
      <w:r>
        <w:t xml:space="preserve"> </w:t>
      </w:r>
    </w:p>
    <w:p w:rsidR="00A83C3F" w:rsidRDefault="00A83C3F" w:rsidP="00AB19EA">
      <w:pPr>
        <w:pStyle w:val="Heading1"/>
      </w:pPr>
      <w:bookmarkStart w:id="8" w:name="_Toc427663615"/>
      <w:r w:rsidRPr="00A83C3F">
        <w:t>Global Alliance for Genomics and Health (GA4GH) Security Workgroup</w:t>
      </w:r>
      <w:bookmarkEnd w:id="8"/>
    </w:p>
    <w:p w:rsidR="00A83C3F" w:rsidRDefault="00A83C3F" w:rsidP="003E5DC6">
      <w:pPr>
        <w:pStyle w:val="Heading2"/>
      </w:pPr>
      <w:bookmarkStart w:id="9" w:name="_Toc427663616"/>
      <w:r w:rsidRPr="00A83C3F">
        <w:t>Yaniv Erlich</w:t>
      </w:r>
      <w:bookmarkEnd w:id="9"/>
    </w:p>
    <w:p w:rsidR="00A83C3F" w:rsidRPr="003E5DC6" w:rsidRDefault="003E5DC6" w:rsidP="003E5DC6">
      <w:pPr>
        <w:spacing w:after="0"/>
        <w:rPr>
          <w:b/>
        </w:rPr>
      </w:pPr>
      <w:r w:rsidRPr="003E5DC6">
        <w:rPr>
          <w:b/>
        </w:rPr>
        <w:t xml:space="preserve">Professor of Computer Science </w:t>
      </w:r>
      <w:r w:rsidR="00A83C3F" w:rsidRPr="003E5DC6">
        <w:rPr>
          <w:b/>
        </w:rPr>
        <w:t>Columbia University</w:t>
      </w:r>
    </w:p>
    <w:p w:rsidR="00A83C3F" w:rsidRDefault="003E5DC6" w:rsidP="003E5DC6">
      <w:pPr>
        <w:spacing w:after="0"/>
      </w:pPr>
      <w:r>
        <w:rPr>
          <w:noProof/>
        </w:rPr>
        <w:drawing>
          <wp:anchor distT="0" distB="0" distL="114300" distR="114300" simplePos="0" relativeHeight="251661312" behindDoc="0" locked="0" layoutInCell="1" allowOverlap="1" wp14:anchorId="5454D2D3" wp14:editId="5528D359">
            <wp:simplePos x="0" y="0"/>
            <wp:positionH relativeFrom="column">
              <wp:posOffset>-36195</wp:posOffset>
            </wp:positionH>
            <wp:positionV relativeFrom="paragraph">
              <wp:posOffset>93980</wp:posOffset>
            </wp:positionV>
            <wp:extent cx="1369060" cy="1828800"/>
            <wp:effectExtent l="19050" t="19050" r="21590" b="19050"/>
            <wp:wrapSquare wrapText="bothSides"/>
            <wp:docPr id="3" name="Picture 3" descr="http://www.cs.columbia.edu/2015/erlich-new-prof/images/Erlich_200x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s.columbia.edu/2015/erlich-new-prof/images/Erlich_200x26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9060" cy="18288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A83C3F">
        <w:t>Yaniv Erlich is assistant professor of computer science at Columbia University and a Core Member of the New York Genome Center.</w:t>
      </w:r>
    </w:p>
    <w:p w:rsidR="003E5DC6" w:rsidRDefault="003E5DC6" w:rsidP="003E5DC6">
      <w:pPr>
        <w:spacing w:after="0"/>
      </w:pPr>
    </w:p>
    <w:p w:rsidR="00A83C3F" w:rsidRDefault="00A83C3F" w:rsidP="003E5DC6">
      <w:pPr>
        <w:spacing w:after="0"/>
      </w:pPr>
      <w:r>
        <w:t xml:space="preserve">Prior to joining Columbia, he was a Fellow at MIT's Whitehead Institute where his research lab created DNA Sudoku, a sequencing strategy to find rare genetic variations, and </w:t>
      </w:r>
      <w:proofErr w:type="spellStart"/>
      <w:r>
        <w:t>lobSTR</w:t>
      </w:r>
      <w:proofErr w:type="spellEnd"/>
      <w:r>
        <w:t>, a short tandem repeat profiler for personal genomes, while also constructing a genealogy tree linking 13 million people.</w:t>
      </w:r>
    </w:p>
    <w:p w:rsidR="003E5DC6" w:rsidRDefault="003E5DC6" w:rsidP="003E5DC6">
      <w:pPr>
        <w:spacing w:after="0"/>
      </w:pPr>
    </w:p>
    <w:p w:rsidR="003E5DC6" w:rsidRDefault="00A83C3F" w:rsidP="003E5DC6">
      <w:pPr>
        <w:spacing w:after="0"/>
      </w:pPr>
      <w:r>
        <w:t>Erlich received his PhD in genomics and bioinformatics from Watson School of Biological Sciences at the Cold Spring Harbor Laboratory in New York. He received his B.Sc. in computational neuroscience from Tel-Aviv University.</w:t>
      </w:r>
      <w:r w:rsidR="003E5DC6">
        <w:t xml:space="preserve"> </w:t>
      </w:r>
    </w:p>
    <w:p w:rsidR="009C4F4C" w:rsidRDefault="009C4F4C" w:rsidP="00785084"/>
    <w:sectPr w:rsidR="009C4F4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964" w:rsidRDefault="00E62964" w:rsidP="00785084">
      <w:pPr>
        <w:spacing w:after="0" w:line="240" w:lineRule="auto"/>
      </w:pPr>
      <w:r>
        <w:separator/>
      </w:r>
    </w:p>
  </w:endnote>
  <w:endnote w:type="continuationSeparator" w:id="0">
    <w:p w:rsidR="00E62964" w:rsidRDefault="00E62964" w:rsidP="0078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84" w:rsidRDefault="00785084">
    <w:pPr>
      <w:pStyle w:val="Footer"/>
      <w:jc w:val="right"/>
    </w:pPr>
  </w:p>
  <w:p w:rsidR="00785084" w:rsidRDefault="00785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964" w:rsidRDefault="00E62964" w:rsidP="00785084">
      <w:pPr>
        <w:spacing w:after="0" w:line="240" w:lineRule="auto"/>
      </w:pPr>
      <w:r>
        <w:separator/>
      </w:r>
    </w:p>
  </w:footnote>
  <w:footnote w:type="continuationSeparator" w:id="0">
    <w:p w:rsidR="00E62964" w:rsidRDefault="00E62964" w:rsidP="007850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3F"/>
    <w:rsid w:val="000F07B4"/>
    <w:rsid w:val="001754EF"/>
    <w:rsid w:val="001C06BD"/>
    <w:rsid w:val="003E5DC6"/>
    <w:rsid w:val="00496239"/>
    <w:rsid w:val="004F0954"/>
    <w:rsid w:val="00541362"/>
    <w:rsid w:val="005D716E"/>
    <w:rsid w:val="006761ED"/>
    <w:rsid w:val="006F2FA8"/>
    <w:rsid w:val="007068C9"/>
    <w:rsid w:val="00785084"/>
    <w:rsid w:val="007A6127"/>
    <w:rsid w:val="008909BF"/>
    <w:rsid w:val="009C4F4C"/>
    <w:rsid w:val="009D7C44"/>
    <w:rsid w:val="00A83C3F"/>
    <w:rsid w:val="00AB19EA"/>
    <w:rsid w:val="00B25732"/>
    <w:rsid w:val="00E6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D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3C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C3F"/>
    <w:rPr>
      <w:color w:val="0000FF" w:themeColor="hyperlink"/>
      <w:u w:val="single"/>
    </w:rPr>
  </w:style>
  <w:style w:type="paragraph" w:styleId="BalloonText">
    <w:name w:val="Balloon Text"/>
    <w:basedOn w:val="Normal"/>
    <w:link w:val="BalloonTextChar"/>
    <w:uiPriority w:val="99"/>
    <w:semiHidden/>
    <w:unhideWhenUsed/>
    <w:rsid w:val="00A83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C3F"/>
    <w:rPr>
      <w:rFonts w:ascii="Tahoma" w:hAnsi="Tahoma" w:cs="Tahoma"/>
      <w:sz w:val="16"/>
      <w:szCs w:val="16"/>
    </w:rPr>
  </w:style>
  <w:style w:type="character" w:customStyle="1" w:styleId="Heading2Char">
    <w:name w:val="Heading 2 Char"/>
    <w:basedOn w:val="DefaultParagraphFont"/>
    <w:link w:val="Heading2"/>
    <w:uiPriority w:val="9"/>
    <w:rsid w:val="00A83C3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6761ED"/>
    <w:rPr>
      <w:color w:val="800080" w:themeColor="followedHyperlink"/>
      <w:u w:val="single"/>
    </w:rPr>
  </w:style>
  <w:style w:type="character" w:customStyle="1" w:styleId="Heading1Char">
    <w:name w:val="Heading 1 Char"/>
    <w:basedOn w:val="DefaultParagraphFont"/>
    <w:link w:val="Heading1"/>
    <w:uiPriority w:val="9"/>
    <w:rsid w:val="003E5DC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E5D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5DC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850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5084"/>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785084"/>
    <w:pPr>
      <w:outlineLvl w:val="9"/>
    </w:pPr>
    <w:rPr>
      <w:lang w:eastAsia="ja-JP"/>
    </w:rPr>
  </w:style>
  <w:style w:type="paragraph" w:styleId="TOC1">
    <w:name w:val="toc 1"/>
    <w:basedOn w:val="Normal"/>
    <w:next w:val="Normal"/>
    <w:autoRedefine/>
    <w:uiPriority w:val="39"/>
    <w:unhideWhenUsed/>
    <w:rsid w:val="00785084"/>
    <w:pPr>
      <w:spacing w:after="100"/>
    </w:pPr>
  </w:style>
  <w:style w:type="paragraph" w:styleId="TOC2">
    <w:name w:val="toc 2"/>
    <w:basedOn w:val="Normal"/>
    <w:next w:val="Normal"/>
    <w:autoRedefine/>
    <w:uiPriority w:val="39"/>
    <w:unhideWhenUsed/>
    <w:rsid w:val="00785084"/>
    <w:pPr>
      <w:spacing w:after="100"/>
      <w:ind w:left="220"/>
    </w:pPr>
  </w:style>
  <w:style w:type="paragraph" w:styleId="Header">
    <w:name w:val="header"/>
    <w:basedOn w:val="Normal"/>
    <w:link w:val="HeaderChar"/>
    <w:uiPriority w:val="99"/>
    <w:unhideWhenUsed/>
    <w:rsid w:val="0078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084"/>
  </w:style>
  <w:style w:type="paragraph" w:styleId="Footer">
    <w:name w:val="footer"/>
    <w:basedOn w:val="Normal"/>
    <w:link w:val="FooterChar"/>
    <w:uiPriority w:val="99"/>
    <w:unhideWhenUsed/>
    <w:rsid w:val="0078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D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3C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C3F"/>
    <w:rPr>
      <w:color w:val="0000FF" w:themeColor="hyperlink"/>
      <w:u w:val="single"/>
    </w:rPr>
  </w:style>
  <w:style w:type="paragraph" w:styleId="BalloonText">
    <w:name w:val="Balloon Text"/>
    <w:basedOn w:val="Normal"/>
    <w:link w:val="BalloonTextChar"/>
    <w:uiPriority w:val="99"/>
    <w:semiHidden/>
    <w:unhideWhenUsed/>
    <w:rsid w:val="00A83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C3F"/>
    <w:rPr>
      <w:rFonts w:ascii="Tahoma" w:hAnsi="Tahoma" w:cs="Tahoma"/>
      <w:sz w:val="16"/>
      <w:szCs w:val="16"/>
    </w:rPr>
  </w:style>
  <w:style w:type="character" w:customStyle="1" w:styleId="Heading2Char">
    <w:name w:val="Heading 2 Char"/>
    <w:basedOn w:val="DefaultParagraphFont"/>
    <w:link w:val="Heading2"/>
    <w:uiPriority w:val="9"/>
    <w:rsid w:val="00A83C3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6761ED"/>
    <w:rPr>
      <w:color w:val="800080" w:themeColor="followedHyperlink"/>
      <w:u w:val="single"/>
    </w:rPr>
  </w:style>
  <w:style w:type="character" w:customStyle="1" w:styleId="Heading1Char">
    <w:name w:val="Heading 1 Char"/>
    <w:basedOn w:val="DefaultParagraphFont"/>
    <w:link w:val="Heading1"/>
    <w:uiPriority w:val="9"/>
    <w:rsid w:val="003E5DC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E5D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5DC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850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5084"/>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785084"/>
    <w:pPr>
      <w:outlineLvl w:val="9"/>
    </w:pPr>
    <w:rPr>
      <w:lang w:eastAsia="ja-JP"/>
    </w:rPr>
  </w:style>
  <w:style w:type="paragraph" w:styleId="TOC1">
    <w:name w:val="toc 1"/>
    <w:basedOn w:val="Normal"/>
    <w:next w:val="Normal"/>
    <w:autoRedefine/>
    <w:uiPriority w:val="39"/>
    <w:unhideWhenUsed/>
    <w:rsid w:val="00785084"/>
    <w:pPr>
      <w:spacing w:after="100"/>
    </w:pPr>
  </w:style>
  <w:style w:type="paragraph" w:styleId="TOC2">
    <w:name w:val="toc 2"/>
    <w:basedOn w:val="Normal"/>
    <w:next w:val="Normal"/>
    <w:autoRedefine/>
    <w:uiPriority w:val="39"/>
    <w:unhideWhenUsed/>
    <w:rsid w:val="00785084"/>
    <w:pPr>
      <w:spacing w:after="100"/>
      <w:ind w:left="220"/>
    </w:pPr>
  </w:style>
  <w:style w:type="paragraph" w:styleId="Header">
    <w:name w:val="header"/>
    <w:basedOn w:val="Normal"/>
    <w:link w:val="HeaderChar"/>
    <w:uiPriority w:val="99"/>
    <w:unhideWhenUsed/>
    <w:rsid w:val="0078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084"/>
  </w:style>
  <w:style w:type="paragraph" w:styleId="Footer">
    <w:name w:val="footer"/>
    <w:basedOn w:val="Normal"/>
    <w:link w:val="FooterChar"/>
    <w:uiPriority w:val="99"/>
    <w:unhideWhenUsed/>
    <w:rsid w:val="0078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6E52-10B8-4FBB-99B9-D398F9F2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Mazen Yacoub</dc:creator>
  <cp:lastModifiedBy>Lonnie Moore</cp:lastModifiedBy>
  <cp:revision>2</cp:revision>
  <dcterms:created xsi:type="dcterms:W3CDTF">2015-08-19T12:37:00Z</dcterms:created>
  <dcterms:modified xsi:type="dcterms:W3CDTF">2015-08-19T12:37:00Z</dcterms:modified>
</cp:coreProperties>
</file>