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66749" w14:textId="77777777" w:rsidR="002A5565" w:rsidRDefault="00DD23E6">
      <w:bookmarkStart w:id="0" w:name="_GoBack"/>
      <w:bookmarkEnd w:id="0"/>
      <w:r w:rsidRPr="00466CB5">
        <w:rPr>
          <w:rFonts w:asciiTheme="minorHAnsi" w:hAnsiTheme="minorHAnsi"/>
          <w:noProof/>
          <w:sz w:val="52"/>
        </w:rPr>
        <w:drawing>
          <wp:anchor distT="0" distB="0" distL="114300" distR="114300" simplePos="0" relativeHeight="251663360" behindDoc="1" locked="0" layoutInCell="1" allowOverlap="1" wp14:anchorId="6AF67E8C" wp14:editId="0D61BC58">
            <wp:simplePos x="0" y="0"/>
            <wp:positionH relativeFrom="column">
              <wp:posOffset>-464820</wp:posOffset>
            </wp:positionH>
            <wp:positionV relativeFrom="paragraph">
              <wp:posOffset>-465826</wp:posOffset>
            </wp:positionV>
            <wp:extent cx="7845425" cy="1530985"/>
            <wp:effectExtent l="0" t="0" r="3175" b="0"/>
            <wp:wrapNone/>
            <wp:docPr id="5" name="Picture 4"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9" cstate="print"/>
                    <a:stretch>
                      <a:fillRect/>
                    </a:stretch>
                  </pic:blipFill>
                  <pic:spPr>
                    <a:xfrm>
                      <a:off x="0" y="0"/>
                      <a:ext cx="7845425" cy="1530985"/>
                    </a:xfrm>
                    <a:prstGeom prst="rect">
                      <a:avLst/>
                    </a:prstGeom>
                  </pic:spPr>
                </pic:pic>
              </a:graphicData>
            </a:graphic>
          </wp:anchor>
        </w:drawing>
      </w:r>
    </w:p>
    <w:p w14:paraId="0C652FF8" w14:textId="77777777" w:rsidR="00082F32" w:rsidRDefault="00082F32"/>
    <w:p w14:paraId="20EDE568" w14:textId="77777777" w:rsidR="00082F32" w:rsidRDefault="00082F32"/>
    <w:p w14:paraId="618695FB" w14:textId="77777777" w:rsidR="00082F32" w:rsidRDefault="001A05FD">
      <w:r>
        <w:rPr>
          <w:noProof/>
        </w:rPr>
        <mc:AlternateContent>
          <mc:Choice Requires="wps">
            <w:drawing>
              <wp:anchor distT="0" distB="0" distL="114300" distR="114300" simplePos="0" relativeHeight="251659264" behindDoc="0" locked="0" layoutInCell="1" allowOverlap="1" wp14:anchorId="79833CA1" wp14:editId="3AB9E353">
                <wp:simplePos x="0" y="0"/>
                <wp:positionH relativeFrom="column">
                  <wp:posOffset>-448945</wp:posOffset>
                </wp:positionH>
                <wp:positionV relativeFrom="paragraph">
                  <wp:posOffset>73660</wp:posOffset>
                </wp:positionV>
                <wp:extent cx="7772400" cy="680720"/>
                <wp:effectExtent l="0" t="0" r="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68072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7BCE6C9" id="Rectangle 4" o:spid="_x0000_s1026" style="position:absolute;margin-left:-35.35pt;margin-top:5.8pt;width:612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" fillcolor="#dbe5f1 [660]" stroked="f" strokeweight="2pt">
                <v:path arrowok="t"/>
              </v:rect>
            </w:pict>
          </mc:Fallback>
        </mc:AlternateContent>
      </w:r>
      <w:r>
        <w:rPr>
          <w:noProof/>
        </w:rPr>
        <mc:AlternateContent>
          <mc:Choice Requires="wps">
            <w:drawing>
              <wp:anchor distT="0" distB="0" distL="114300" distR="114300" simplePos="0" relativeHeight="251661312" behindDoc="0" locked="0" layoutInCell="1" allowOverlap="1" wp14:anchorId="0852C44B" wp14:editId="6A411C41">
                <wp:simplePos x="0" y="0"/>
                <wp:positionH relativeFrom="column">
                  <wp:posOffset>-345440</wp:posOffset>
                </wp:positionH>
                <wp:positionV relativeFrom="paragraph">
                  <wp:posOffset>82550</wp:posOffset>
                </wp:positionV>
                <wp:extent cx="7059930" cy="6724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672465"/>
                        </a:xfrm>
                        <a:prstGeom prst="rect">
                          <a:avLst/>
                        </a:prstGeom>
                        <a:noFill/>
                        <a:ln w="9525">
                          <a:noFill/>
                          <a:miter lim="800000"/>
                          <a:headEnd/>
                          <a:tailEnd/>
                        </a:ln>
                      </wps:spPr>
                      <wps:txbx>
                        <w:txbxContent>
                          <w:p w14:paraId="6B6599D5" w14:textId="77777777" w:rsidR="00011C20" w:rsidRDefault="00011C20" w:rsidP="00D360DC">
                            <w:pPr>
                              <w:spacing w:after="0"/>
                              <w:rPr>
                                <w:b/>
                                <w:color w:val="0F243E" w:themeColor="text2" w:themeShade="80"/>
                                <w:sz w:val="40"/>
                                <w:szCs w:val="40"/>
                              </w:rPr>
                            </w:pPr>
                            <w:r>
                              <w:rPr>
                                <w:b/>
                                <w:color w:val="0F243E" w:themeColor="text2" w:themeShade="80"/>
                                <w:sz w:val="40"/>
                                <w:szCs w:val="40"/>
                              </w:rPr>
                              <w:t>Health IT Implementation, Usability, and Safety (IUS</w:t>
                            </w:r>
                            <w:r w:rsidRPr="00E15487">
                              <w:rPr>
                                <w:b/>
                                <w:color w:val="0F243E" w:themeColor="text2" w:themeShade="80"/>
                                <w:sz w:val="40"/>
                                <w:szCs w:val="40"/>
                              </w:rPr>
                              <w:t>) Workgroup</w:t>
                            </w:r>
                          </w:p>
                          <w:p w14:paraId="33CB7F4F" w14:textId="77777777" w:rsidR="00D360DC" w:rsidRPr="00D360DC" w:rsidRDefault="00D360DC"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w:t>
                            </w:r>
                            <w:r w:rsidR="00CC4C1A">
                              <w:rPr>
                                <w:b/>
                                <w:color w:val="0F243E" w:themeColor="text2" w:themeShade="80"/>
                                <w:sz w:val="28"/>
                                <w:szCs w:val="28"/>
                              </w:rPr>
                              <w:t xml:space="preserve"> (</w:t>
                            </w:r>
                            <w:r w:rsidR="001D6C4D">
                              <w:rPr>
                                <w:b/>
                                <w:color w:val="0F243E" w:themeColor="text2" w:themeShade="80"/>
                                <w:sz w:val="28"/>
                                <w:szCs w:val="28"/>
                              </w:rPr>
                              <w:t>Group #3</w:t>
                            </w:r>
                            <w:r w:rsidR="00CC4C1A">
                              <w:rPr>
                                <w:b/>
                                <w:color w:val="0F243E" w:themeColor="text2" w:themeShade="8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52C44B" id="_x0000_t202" coordsize="21600,21600" o:spt="202" path="m,l,21600r21600,l21600,xe">
                <v:stroke joinstyle="miter"/>
                <v:path gradientshapeok="t" o:connecttype="rect"/>
              </v:shapetype>
              <v:shape id="Text Box 2" o:spid="_x0000_s1026" type="#_x0000_t202" style="position:absolute;margin-left:-27.2pt;margin-top:6.5pt;width:555.9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47DAIAAPQ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" filled="f" stroked="f">
                <v:textbox>
                  <w:txbxContent>
                    <w:p w14:paraId="6B6599D5" w14:textId="77777777" w:rsidR="00011C20" w:rsidRDefault="00011C20" w:rsidP="00D360DC">
                      <w:pPr>
                        <w:spacing w:after="0"/>
                        <w:rPr>
                          <w:b/>
                          <w:color w:val="0F243E" w:themeColor="text2" w:themeShade="80"/>
                          <w:sz w:val="40"/>
                          <w:szCs w:val="40"/>
                        </w:rPr>
                      </w:pPr>
                      <w:r>
                        <w:rPr>
                          <w:b/>
                          <w:color w:val="0F243E" w:themeColor="text2" w:themeShade="80"/>
                          <w:sz w:val="40"/>
                          <w:szCs w:val="40"/>
                        </w:rPr>
                        <w:t>Health IT Implementation, Usability, and Safety (IUS</w:t>
                      </w:r>
                      <w:r w:rsidRPr="00E15487">
                        <w:rPr>
                          <w:b/>
                          <w:color w:val="0F243E" w:themeColor="text2" w:themeShade="80"/>
                          <w:sz w:val="40"/>
                          <w:szCs w:val="40"/>
                        </w:rPr>
                        <w:t>) Workgroup</w:t>
                      </w:r>
                    </w:p>
                    <w:p w14:paraId="33CB7F4F" w14:textId="77777777" w:rsidR="00D360DC" w:rsidRPr="00D360DC" w:rsidRDefault="00D360DC"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w:t>
                      </w:r>
                      <w:r w:rsidR="00CC4C1A">
                        <w:rPr>
                          <w:b/>
                          <w:color w:val="0F243E" w:themeColor="text2" w:themeShade="80"/>
                          <w:sz w:val="28"/>
                          <w:szCs w:val="28"/>
                        </w:rPr>
                        <w:t xml:space="preserve"> (</w:t>
                      </w:r>
                      <w:r w:rsidR="001D6C4D">
                        <w:rPr>
                          <w:b/>
                          <w:color w:val="0F243E" w:themeColor="text2" w:themeShade="80"/>
                          <w:sz w:val="28"/>
                          <w:szCs w:val="28"/>
                        </w:rPr>
                        <w:t>Group #3</w:t>
                      </w:r>
                      <w:r w:rsidR="00CC4C1A">
                        <w:rPr>
                          <w:b/>
                          <w:color w:val="0F243E" w:themeColor="text2" w:themeShade="80"/>
                          <w:sz w:val="28"/>
                          <w:szCs w:val="28"/>
                        </w:rPr>
                        <w:t>)</w:t>
                      </w:r>
                    </w:p>
                  </w:txbxContent>
                </v:textbox>
              </v:shape>
            </w:pict>
          </mc:Fallback>
        </mc:AlternateContent>
      </w:r>
    </w:p>
    <w:p w14:paraId="033497CD" w14:textId="77777777" w:rsidR="00082F32" w:rsidRDefault="00082F32"/>
    <w:p w14:paraId="13B0503E" w14:textId="77777777" w:rsidR="00011C20" w:rsidRDefault="00011C20"/>
    <w:p w14:paraId="0A6F76F9" w14:textId="751E650E" w:rsidR="000325B0" w:rsidRDefault="000325B0" w:rsidP="000325B0">
      <w:pPr>
        <w:spacing w:line="240" w:lineRule="auto"/>
        <w:rPr>
          <w:rStyle w:val="Strong"/>
        </w:rPr>
      </w:pPr>
      <w:r w:rsidRPr="00B2375D">
        <w:rPr>
          <w:rStyle w:val="Strong"/>
        </w:rPr>
        <w:t>Group 3</w:t>
      </w:r>
      <w:r w:rsidR="00F61CEA" w:rsidRPr="00B2375D">
        <w:rPr>
          <w:rStyle w:val="Strong"/>
        </w:rPr>
        <w:t xml:space="preserve"> Members</w:t>
      </w:r>
    </w:p>
    <w:p w14:paraId="7AC9B343" w14:textId="77777777" w:rsidR="006734FF" w:rsidRDefault="006734FF" w:rsidP="006734FF">
      <w:pPr>
        <w:pStyle w:val="ListParagraph"/>
        <w:numPr>
          <w:ilvl w:val="0"/>
          <w:numId w:val="18"/>
        </w:numPr>
        <w:spacing w:line="240" w:lineRule="auto"/>
        <w:rPr>
          <w:rStyle w:val="Strong"/>
          <w:b w:val="0"/>
        </w:rPr>
      </w:pPr>
      <w:r>
        <w:rPr>
          <w:rStyle w:val="Strong"/>
          <w:b w:val="0"/>
        </w:rPr>
        <w:t>Michelle Dougherty</w:t>
      </w:r>
    </w:p>
    <w:p w14:paraId="553A6D2A" w14:textId="77777777" w:rsidR="006734FF" w:rsidRDefault="006734FF" w:rsidP="006734FF">
      <w:pPr>
        <w:pStyle w:val="ListParagraph"/>
        <w:numPr>
          <w:ilvl w:val="0"/>
          <w:numId w:val="18"/>
        </w:numPr>
        <w:spacing w:line="240" w:lineRule="auto"/>
        <w:rPr>
          <w:rStyle w:val="Strong"/>
          <w:b w:val="0"/>
        </w:rPr>
      </w:pPr>
      <w:r>
        <w:rPr>
          <w:rStyle w:val="Strong"/>
          <w:b w:val="0"/>
        </w:rPr>
        <w:t>Larry Wolf</w:t>
      </w:r>
    </w:p>
    <w:p w14:paraId="2AD8A798" w14:textId="77777777" w:rsidR="006734FF" w:rsidRDefault="006734FF" w:rsidP="006734FF">
      <w:pPr>
        <w:pStyle w:val="ListParagraph"/>
        <w:numPr>
          <w:ilvl w:val="0"/>
          <w:numId w:val="18"/>
        </w:numPr>
        <w:spacing w:line="240" w:lineRule="auto"/>
        <w:rPr>
          <w:rStyle w:val="Strong"/>
          <w:b w:val="0"/>
        </w:rPr>
      </w:pPr>
      <w:r>
        <w:rPr>
          <w:rStyle w:val="Strong"/>
          <w:b w:val="0"/>
        </w:rPr>
        <w:t>Mike Lardieri</w:t>
      </w:r>
    </w:p>
    <w:p w14:paraId="0C06F713" w14:textId="77777777" w:rsidR="006734FF" w:rsidRDefault="006734FF" w:rsidP="006734FF">
      <w:pPr>
        <w:pStyle w:val="ListParagraph"/>
        <w:numPr>
          <w:ilvl w:val="0"/>
          <w:numId w:val="18"/>
        </w:numPr>
        <w:spacing w:line="240" w:lineRule="auto"/>
        <w:rPr>
          <w:rStyle w:val="Strong"/>
          <w:b w:val="0"/>
        </w:rPr>
      </w:pPr>
      <w:r>
        <w:rPr>
          <w:rStyle w:val="Strong"/>
          <w:b w:val="0"/>
        </w:rPr>
        <w:t>Bernadette Capili</w:t>
      </w:r>
    </w:p>
    <w:p w14:paraId="3B77FD1C" w14:textId="77777777" w:rsidR="006734FF" w:rsidRDefault="00F42B38" w:rsidP="006734FF">
      <w:pPr>
        <w:pStyle w:val="ListParagraph"/>
        <w:numPr>
          <w:ilvl w:val="0"/>
          <w:numId w:val="18"/>
        </w:numPr>
        <w:spacing w:line="240" w:lineRule="auto"/>
        <w:rPr>
          <w:rStyle w:val="Strong"/>
          <w:b w:val="0"/>
        </w:rPr>
      </w:pPr>
      <w:r w:rsidRPr="006734FF">
        <w:rPr>
          <w:rStyle w:val="Strong"/>
          <w:b w:val="0"/>
        </w:rPr>
        <w:t>Ed</w:t>
      </w:r>
      <w:r w:rsidR="006734FF">
        <w:rPr>
          <w:rStyle w:val="Strong"/>
          <w:b w:val="0"/>
        </w:rPr>
        <w:t xml:space="preserve"> Lomotan</w:t>
      </w:r>
    </w:p>
    <w:p w14:paraId="5C3992EB" w14:textId="77777777" w:rsidR="006734FF" w:rsidRDefault="00F42B38" w:rsidP="006734FF">
      <w:pPr>
        <w:pStyle w:val="ListParagraph"/>
        <w:numPr>
          <w:ilvl w:val="0"/>
          <w:numId w:val="18"/>
        </w:numPr>
        <w:spacing w:line="240" w:lineRule="auto"/>
        <w:rPr>
          <w:rStyle w:val="Strong"/>
          <w:b w:val="0"/>
        </w:rPr>
      </w:pPr>
      <w:r w:rsidRPr="006734FF">
        <w:rPr>
          <w:rStyle w:val="Strong"/>
          <w:b w:val="0"/>
        </w:rPr>
        <w:t>Jean</w:t>
      </w:r>
      <w:r w:rsidR="006734FF">
        <w:rPr>
          <w:rStyle w:val="Strong"/>
          <w:b w:val="0"/>
        </w:rPr>
        <w:t>ie Scott</w:t>
      </w:r>
    </w:p>
    <w:p w14:paraId="3E87DD78" w14:textId="27C62C13" w:rsidR="000A0606" w:rsidRDefault="00C862D0" w:rsidP="006734FF">
      <w:pPr>
        <w:pStyle w:val="ListParagraph"/>
        <w:numPr>
          <w:ilvl w:val="0"/>
          <w:numId w:val="18"/>
        </w:numPr>
        <w:spacing w:line="240" w:lineRule="auto"/>
        <w:rPr>
          <w:rStyle w:val="Strong"/>
          <w:b w:val="0"/>
        </w:rPr>
      </w:pPr>
      <w:r w:rsidRPr="006734FF">
        <w:rPr>
          <w:rStyle w:val="Strong"/>
          <w:b w:val="0"/>
        </w:rPr>
        <w:t>Betty</w:t>
      </w:r>
      <w:r w:rsidR="00B2375D" w:rsidRPr="006734FF">
        <w:rPr>
          <w:rStyle w:val="Strong"/>
          <w:b w:val="0"/>
        </w:rPr>
        <w:t xml:space="preserve"> Mims</w:t>
      </w:r>
      <w:r w:rsidRPr="006734FF">
        <w:rPr>
          <w:rStyle w:val="Strong"/>
          <w:b w:val="0"/>
        </w:rPr>
        <w:t xml:space="preserve"> Johnson</w:t>
      </w:r>
      <w:r w:rsidR="00F42B38" w:rsidRPr="006734FF">
        <w:rPr>
          <w:rStyle w:val="Strong"/>
          <w:b w:val="0"/>
        </w:rPr>
        <w:t xml:space="preserve"> </w:t>
      </w:r>
    </w:p>
    <w:p w14:paraId="73508B61" w14:textId="2AC879D3" w:rsidR="008A1BA3" w:rsidRDefault="00BD6EC1" w:rsidP="006734FF">
      <w:pPr>
        <w:pStyle w:val="ListParagraph"/>
        <w:numPr>
          <w:ilvl w:val="0"/>
          <w:numId w:val="18"/>
        </w:numPr>
        <w:spacing w:line="240" w:lineRule="auto"/>
        <w:rPr>
          <w:rStyle w:val="Strong"/>
          <w:b w:val="0"/>
        </w:rPr>
      </w:pPr>
      <w:r>
        <w:rPr>
          <w:rStyle w:val="Strong"/>
          <w:b w:val="0"/>
        </w:rPr>
        <w:t>Kim Wilson (ONC)</w:t>
      </w:r>
    </w:p>
    <w:p w14:paraId="3834F11A" w14:textId="77777777" w:rsidR="007440AF" w:rsidRPr="006734FF" w:rsidRDefault="007440AF" w:rsidP="007440AF">
      <w:pPr>
        <w:pStyle w:val="ListParagraph"/>
        <w:spacing w:line="240" w:lineRule="auto"/>
        <w:ind w:left="1440"/>
        <w:rPr>
          <w:bCs/>
        </w:rPr>
      </w:pPr>
    </w:p>
    <w:p w14:paraId="5F3377FE" w14:textId="5E272C89" w:rsidR="000325B0" w:rsidRDefault="000325B0" w:rsidP="000325B0">
      <w:pPr>
        <w:rPr>
          <w:rStyle w:val="Strong"/>
        </w:rPr>
      </w:pPr>
      <w:r w:rsidRPr="00B2375D">
        <w:rPr>
          <w:rStyle w:val="Strong"/>
        </w:rPr>
        <w:t>IUS Group 3 Assignment:</w:t>
      </w:r>
    </w:p>
    <w:p w14:paraId="711134B1" w14:textId="1A6E3DD2" w:rsidR="007440AF" w:rsidRPr="007440AF" w:rsidRDefault="007440AF" w:rsidP="007440AF">
      <w:pPr>
        <w:spacing w:after="60" w:line="240" w:lineRule="auto"/>
        <w:ind w:left="720"/>
        <w:rPr>
          <w:rStyle w:val="Strong"/>
          <w:i/>
        </w:rPr>
      </w:pPr>
      <w:r w:rsidRPr="00D14203">
        <w:rPr>
          <w:b/>
          <w:bCs/>
          <w:i/>
        </w:rPr>
        <w:t>Broadening the Scope of the Certification Program</w:t>
      </w:r>
      <w:r>
        <w:rPr>
          <w:b/>
          <w:bCs/>
          <w:i/>
        </w:rPr>
        <w:t xml:space="preserve"> beyond the EHR Incentive Program</w:t>
      </w:r>
      <w:r w:rsidRPr="00D14203">
        <w:rPr>
          <w:b/>
          <w:bCs/>
          <w:i/>
        </w:rPr>
        <w:t>:</w:t>
      </w:r>
    </w:p>
    <w:p w14:paraId="57EBECBD" w14:textId="6A9581C5" w:rsidR="001C401A" w:rsidRPr="008E6A19" w:rsidRDefault="001C401A" w:rsidP="00084FB1">
      <w:pPr>
        <w:pStyle w:val="ListParagraph"/>
        <w:numPr>
          <w:ilvl w:val="0"/>
          <w:numId w:val="13"/>
        </w:numPr>
        <w:spacing w:line="240" w:lineRule="auto"/>
        <w:ind w:left="1440"/>
        <w:rPr>
          <w:bCs/>
        </w:rPr>
      </w:pPr>
      <w:r w:rsidRPr="008E6A19">
        <w:rPr>
          <w:bCs/>
        </w:rPr>
        <w:t>Subpart E – ONC Health IT Certification Program</w:t>
      </w:r>
      <w:r w:rsidR="00082DE4" w:rsidRPr="008E6A19">
        <w:rPr>
          <w:bCs/>
        </w:rPr>
        <w:t xml:space="preserve"> - </w:t>
      </w:r>
      <w:r w:rsidRPr="008E6A19">
        <w:rPr>
          <w:bCs/>
        </w:rPr>
        <w:t>250</w:t>
      </w:r>
    </w:p>
    <w:p w14:paraId="14A12558" w14:textId="1ABC3239" w:rsidR="001C401A" w:rsidRPr="008E6A19" w:rsidRDefault="001C401A" w:rsidP="00084FB1">
      <w:pPr>
        <w:pStyle w:val="ListParagraph"/>
        <w:numPr>
          <w:ilvl w:val="0"/>
          <w:numId w:val="13"/>
        </w:numPr>
        <w:spacing w:line="240" w:lineRule="auto"/>
        <w:ind w:left="1440"/>
        <w:rPr>
          <w:bCs/>
        </w:rPr>
      </w:pPr>
      <w:r w:rsidRPr="008E6A19">
        <w:rPr>
          <w:bCs/>
        </w:rPr>
        <w:t xml:space="preserve">The ONC Health IT Certification Program and Health IT Module </w:t>
      </w:r>
      <w:r w:rsidR="00082DE4" w:rsidRPr="008E6A19">
        <w:rPr>
          <w:bCs/>
        </w:rPr>
        <w:t xml:space="preserve">- </w:t>
      </w:r>
      <w:r w:rsidRPr="008E6A19">
        <w:rPr>
          <w:bCs/>
        </w:rPr>
        <w:t>12</w:t>
      </w:r>
    </w:p>
    <w:p w14:paraId="444D39FB" w14:textId="1CBE7A25" w:rsidR="001C401A" w:rsidRPr="008E6A19" w:rsidRDefault="001C401A" w:rsidP="00084FB1">
      <w:pPr>
        <w:pStyle w:val="ListParagraph"/>
        <w:numPr>
          <w:ilvl w:val="0"/>
          <w:numId w:val="13"/>
        </w:numPr>
        <w:spacing w:line="240" w:lineRule="auto"/>
        <w:ind w:left="1440"/>
        <w:rPr>
          <w:bCs/>
        </w:rPr>
      </w:pPr>
      <w:r w:rsidRPr="008E6A19">
        <w:rPr>
          <w:bCs/>
        </w:rPr>
        <w:t>Modifications to the ONC Health IT Certification Program</w:t>
      </w:r>
      <w:r w:rsidR="00082DE4" w:rsidRPr="008E6A19">
        <w:rPr>
          <w:bCs/>
        </w:rPr>
        <w:t xml:space="preserve"> - </w:t>
      </w:r>
      <w:r w:rsidRPr="008E6A19">
        <w:rPr>
          <w:bCs/>
        </w:rPr>
        <w:t>251</w:t>
      </w:r>
    </w:p>
    <w:p w14:paraId="5340E813" w14:textId="608FD551" w:rsidR="001C401A" w:rsidRPr="008E6A19" w:rsidRDefault="001C401A" w:rsidP="00084FB1">
      <w:pPr>
        <w:pStyle w:val="ListParagraph"/>
        <w:numPr>
          <w:ilvl w:val="0"/>
          <w:numId w:val="13"/>
        </w:numPr>
        <w:spacing w:line="240" w:lineRule="auto"/>
        <w:ind w:left="1440"/>
        <w:rPr>
          <w:bCs/>
        </w:rPr>
      </w:pPr>
      <w:r w:rsidRPr="008E6A19">
        <w:rPr>
          <w:bCs/>
        </w:rPr>
        <w:t xml:space="preserve">CEHRT Definition </w:t>
      </w:r>
      <w:r w:rsidR="00082DE4" w:rsidRPr="008E6A19">
        <w:rPr>
          <w:bCs/>
        </w:rPr>
        <w:t xml:space="preserve">- 10, </w:t>
      </w:r>
      <w:r w:rsidRPr="008E6A19">
        <w:rPr>
          <w:bCs/>
        </w:rPr>
        <w:t>244</w:t>
      </w:r>
    </w:p>
    <w:p w14:paraId="2053BDA3" w14:textId="12C21117" w:rsidR="004D044F" w:rsidRPr="008E6A19" w:rsidRDefault="004D044F" w:rsidP="004D044F">
      <w:pPr>
        <w:pStyle w:val="ListParagraph"/>
        <w:numPr>
          <w:ilvl w:val="0"/>
          <w:numId w:val="13"/>
        </w:numPr>
        <w:spacing w:line="240" w:lineRule="auto"/>
        <w:ind w:left="1440"/>
        <w:rPr>
          <w:bCs/>
        </w:rPr>
      </w:pPr>
      <w:r w:rsidRPr="008E6A19">
        <w:rPr>
          <w:bCs/>
        </w:rPr>
        <w:t>Referencing the ONC Health IT Certification Program - 256</w:t>
      </w:r>
    </w:p>
    <w:p w14:paraId="2D445495" w14:textId="24BC115B" w:rsidR="001C401A" w:rsidRPr="008E6A19" w:rsidRDefault="001C401A" w:rsidP="00084FB1">
      <w:pPr>
        <w:pStyle w:val="ListParagraph"/>
        <w:numPr>
          <w:ilvl w:val="0"/>
          <w:numId w:val="13"/>
        </w:numPr>
        <w:spacing w:line="240" w:lineRule="auto"/>
        <w:ind w:left="1440"/>
        <w:rPr>
          <w:bCs/>
        </w:rPr>
      </w:pPr>
      <w:r w:rsidRPr="008E6A19">
        <w:rPr>
          <w:bCs/>
        </w:rPr>
        <w:t>Types of Care and Practice Settings</w:t>
      </w:r>
      <w:r w:rsidR="00082DE4" w:rsidRPr="008E6A19">
        <w:rPr>
          <w:bCs/>
        </w:rPr>
        <w:t xml:space="preserve"> </w:t>
      </w:r>
      <w:r w:rsidR="00A46A61" w:rsidRPr="008E6A19">
        <w:rPr>
          <w:bCs/>
        </w:rPr>
        <w:t>–</w:t>
      </w:r>
      <w:r w:rsidR="00082DE4" w:rsidRPr="008E6A19">
        <w:rPr>
          <w:bCs/>
        </w:rPr>
        <w:t xml:space="preserve"> </w:t>
      </w:r>
      <w:r w:rsidRPr="008E6A19">
        <w:rPr>
          <w:bCs/>
        </w:rPr>
        <w:t>254</w:t>
      </w:r>
    </w:p>
    <w:p w14:paraId="124672F7" w14:textId="7D8AD57E" w:rsidR="007440AF" w:rsidRPr="008E6A19" w:rsidRDefault="007440AF" w:rsidP="007440AF">
      <w:pPr>
        <w:spacing w:line="240" w:lineRule="auto"/>
        <w:ind w:firstLine="720"/>
        <w:rPr>
          <w:bCs/>
        </w:rPr>
      </w:pPr>
      <w:r w:rsidRPr="008E6A19">
        <w:rPr>
          <w:b/>
          <w:bCs/>
          <w:i/>
        </w:rPr>
        <w:t>Specific Certification Program Elements</w:t>
      </w:r>
    </w:p>
    <w:p w14:paraId="1F722F13" w14:textId="77777777" w:rsidR="00C35952" w:rsidRPr="008E6A19" w:rsidRDefault="00C35952" w:rsidP="00C35952">
      <w:pPr>
        <w:pStyle w:val="ListParagraph"/>
        <w:numPr>
          <w:ilvl w:val="0"/>
          <w:numId w:val="13"/>
        </w:numPr>
        <w:spacing w:line="240" w:lineRule="auto"/>
        <w:ind w:left="1440"/>
        <w:rPr>
          <w:bCs/>
        </w:rPr>
      </w:pPr>
      <w:r w:rsidRPr="008E6A19">
        <w:rPr>
          <w:bCs/>
        </w:rPr>
        <w:t>“Removal” of Meaningful Use Measurement Certification Requirements - 253</w:t>
      </w:r>
    </w:p>
    <w:p w14:paraId="0E23A2B8" w14:textId="5C51F2C7" w:rsidR="001C401A" w:rsidRPr="008E6A19" w:rsidRDefault="001C401A" w:rsidP="00084FB1">
      <w:pPr>
        <w:pStyle w:val="ListParagraph"/>
        <w:numPr>
          <w:ilvl w:val="0"/>
          <w:numId w:val="13"/>
        </w:numPr>
        <w:spacing w:line="240" w:lineRule="auto"/>
        <w:ind w:left="1440"/>
        <w:rPr>
          <w:bCs/>
        </w:rPr>
      </w:pPr>
      <w:r w:rsidRPr="008E6A19">
        <w:rPr>
          <w:bCs/>
        </w:rPr>
        <w:t xml:space="preserve">Base EHR Definition and Certified EHR Technology Definition - </w:t>
      </w:r>
      <w:r w:rsidR="00912124" w:rsidRPr="008E6A19">
        <w:rPr>
          <w:bCs/>
        </w:rPr>
        <w:t xml:space="preserve">8, </w:t>
      </w:r>
      <w:r w:rsidRPr="008E6A19">
        <w:rPr>
          <w:bCs/>
        </w:rPr>
        <w:t>240</w:t>
      </w:r>
    </w:p>
    <w:p w14:paraId="4B77AAB4" w14:textId="77777777" w:rsidR="00082DE4" w:rsidRPr="008E6A19" w:rsidRDefault="00FF39B8" w:rsidP="00084FB1">
      <w:pPr>
        <w:pStyle w:val="ListParagraph"/>
        <w:numPr>
          <w:ilvl w:val="0"/>
          <w:numId w:val="13"/>
        </w:numPr>
        <w:spacing w:line="240" w:lineRule="auto"/>
        <w:ind w:left="1440"/>
        <w:rPr>
          <w:bCs/>
        </w:rPr>
      </w:pPr>
      <w:r w:rsidRPr="008E6A19">
        <w:rPr>
          <w:bCs/>
        </w:rPr>
        <w:t xml:space="preserve">Pharmacogenomics Data – Request for Comment - 236 </w:t>
      </w:r>
    </w:p>
    <w:p w14:paraId="26F17B04" w14:textId="35F8A280" w:rsidR="00B2375D" w:rsidRPr="008E6A19" w:rsidRDefault="00082DE4" w:rsidP="000325B0">
      <w:pPr>
        <w:pStyle w:val="ListParagraph"/>
        <w:numPr>
          <w:ilvl w:val="0"/>
          <w:numId w:val="13"/>
        </w:numPr>
        <w:spacing w:line="240" w:lineRule="auto"/>
        <w:ind w:left="1440"/>
        <w:rPr>
          <w:bCs/>
        </w:rPr>
      </w:pPr>
      <w:r w:rsidRPr="008E6A19">
        <w:rPr>
          <w:bCs/>
        </w:rPr>
        <w:t>Design and Performance (§ 170.315(g))</w:t>
      </w:r>
      <w:r w:rsidR="00912124" w:rsidRPr="008E6A19">
        <w:rPr>
          <w:bCs/>
        </w:rPr>
        <w:t xml:space="preserve"> </w:t>
      </w:r>
      <w:r w:rsidR="00084FB1" w:rsidRPr="008E6A19">
        <w:rPr>
          <w:bCs/>
        </w:rPr>
        <w:t>–</w:t>
      </w:r>
      <w:r w:rsidR="00912124" w:rsidRPr="008E6A19">
        <w:rPr>
          <w:bCs/>
        </w:rPr>
        <w:t xml:space="preserve"> </w:t>
      </w:r>
      <w:r w:rsidRPr="008E6A19">
        <w:rPr>
          <w:bCs/>
        </w:rPr>
        <w:t>261</w:t>
      </w:r>
      <w:r w:rsidR="009B1F45" w:rsidRPr="008E6A19">
        <w:rPr>
          <w:bCs/>
        </w:rPr>
        <w:t xml:space="preserve"> </w:t>
      </w:r>
      <w:r w:rsidR="009B1F45" w:rsidRPr="008E6A19">
        <w:rPr>
          <w:bCs/>
          <w:i/>
        </w:rPr>
        <w:t>(needs full IUS WG input)</w:t>
      </w:r>
    </w:p>
    <w:p w14:paraId="529B4309" w14:textId="77777777" w:rsidR="008C6AE1" w:rsidRDefault="008C6AE1">
      <w:pPr>
        <w:rPr>
          <w:rStyle w:val="Strong"/>
        </w:rPr>
      </w:pPr>
      <w:r>
        <w:rPr>
          <w:rStyle w:val="Strong"/>
        </w:rPr>
        <w:br w:type="page"/>
      </w:r>
    </w:p>
    <w:p w14:paraId="296794C0" w14:textId="77777777" w:rsidR="008C6AE1" w:rsidRDefault="008C6AE1" w:rsidP="000325B0">
      <w:pPr>
        <w:spacing w:line="240" w:lineRule="auto"/>
        <w:rPr>
          <w:rStyle w:val="Strong"/>
        </w:rPr>
      </w:pPr>
    </w:p>
    <w:p w14:paraId="7D95887B" w14:textId="412C112A" w:rsidR="000325B0" w:rsidRPr="00B2375D" w:rsidRDefault="000325B0" w:rsidP="000325B0">
      <w:pPr>
        <w:spacing w:line="240" w:lineRule="auto"/>
        <w:rPr>
          <w:rStyle w:val="Strong"/>
        </w:rPr>
      </w:pPr>
      <w:r w:rsidRPr="00B2375D">
        <w:rPr>
          <w:rStyle w:val="Strong"/>
        </w:rPr>
        <w:t>IUS Group 3 Overarching Comments:</w:t>
      </w:r>
    </w:p>
    <w:p w14:paraId="404E86D3" w14:textId="622C6748" w:rsidR="00D735E2" w:rsidRPr="00B067C1" w:rsidRDefault="00C2018A" w:rsidP="00361E66">
      <w:pPr>
        <w:spacing w:after="120" w:line="240" w:lineRule="atLeast"/>
        <w:rPr>
          <w:rFonts w:asciiTheme="minorHAnsi" w:hAnsiTheme="minorHAnsi"/>
          <w:bCs/>
        </w:rPr>
      </w:pPr>
      <w:r w:rsidRPr="00790671">
        <w:rPr>
          <w:rFonts w:asciiTheme="minorHAnsi" w:hAnsiTheme="minorHAnsi"/>
          <w:bCs/>
        </w:rPr>
        <w:t>The approach outlined in the NPRM creates a Certification Program with significantly broader scope and applicability across the healthcare eco-system to be inclusi</w:t>
      </w:r>
      <w:r w:rsidR="00F0390A" w:rsidRPr="00790671">
        <w:rPr>
          <w:rFonts w:asciiTheme="minorHAnsi" w:hAnsiTheme="minorHAnsi"/>
          <w:bCs/>
        </w:rPr>
        <w:t>ve of any stakeholder that</w:t>
      </w:r>
      <w:r w:rsidRPr="00790671">
        <w:rPr>
          <w:rFonts w:asciiTheme="minorHAnsi" w:hAnsiTheme="minorHAnsi"/>
          <w:bCs/>
        </w:rPr>
        <w:t xml:space="preserve"> </w:t>
      </w:r>
      <w:r w:rsidR="00AA6A7C" w:rsidRPr="00790671">
        <w:rPr>
          <w:rFonts w:asciiTheme="minorHAnsi" w:hAnsiTheme="minorHAnsi"/>
          <w:bCs/>
        </w:rPr>
        <w:t>send</w:t>
      </w:r>
      <w:r w:rsidR="00F0390A" w:rsidRPr="00790671">
        <w:rPr>
          <w:rFonts w:asciiTheme="minorHAnsi" w:hAnsiTheme="minorHAnsi"/>
          <w:bCs/>
        </w:rPr>
        <w:t>s</w:t>
      </w:r>
      <w:r w:rsidR="00AA6A7C" w:rsidRPr="00790671">
        <w:rPr>
          <w:rFonts w:asciiTheme="minorHAnsi" w:hAnsiTheme="minorHAnsi"/>
          <w:bCs/>
        </w:rPr>
        <w:t xml:space="preserve"> and receive</w:t>
      </w:r>
      <w:r w:rsidR="00F0390A" w:rsidRPr="00790671">
        <w:rPr>
          <w:rFonts w:asciiTheme="minorHAnsi" w:hAnsiTheme="minorHAnsi"/>
          <w:bCs/>
        </w:rPr>
        <w:t>s</w:t>
      </w:r>
      <w:r w:rsidR="00AA6A7C" w:rsidRPr="00790671">
        <w:rPr>
          <w:rFonts w:asciiTheme="minorHAnsi" w:hAnsiTheme="minorHAnsi"/>
          <w:bCs/>
        </w:rPr>
        <w:t xml:space="preserve"> health information.  </w:t>
      </w:r>
      <w:r w:rsidR="009C5F16" w:rsidRPr="00790671">
        <w:rPr>
          <w:rFonts w:asciiTheme="minorHAnsi" w:hAnsiTheme="minorHAnsi"/>
          <w:bCs/>
        </w:rPr>
        <w:t>While the</w:t>
      </w:r>
      <w:r w:rsidR="00AA6A7C" w:rsidRPr="00790671">
        <w:rPr>
          <w:rFonts w:asciiTheme="minorHAnsi" w:hAnsiTheme="minorHAnsi"/>
          <w:bCs/>
        </w:rPr>
        <w:t xml:space="preserve"> EHR Incentive Program</w:t>
      </w:r>
      <w:r w:rsidR="00617A76" w:rsidRPr="00790671">
        <w:rPr>
          <w:rFonts w:asciiTheme="minorHAnsi" w:hAnsiTheme="minorHAnsi"/>
          <w:bCs/>
        </w:rPr>
        <w:t xml:space="preserve"> targeted </w:t>
      </w:r>
      <w:r w:rsidR="009C5F16" w:rsidRPr="00790671">
        <w:rPr>
          <w:rFonts w:asciiTheme="minorHAnsi" w:hAnsiTheme="minorHAnsi"/>
          <w:bCs/>
        </w:rPr>
        <w:t>specific</w:t>
      </w:r>
      <w:r w:rsidR="00617A76" w:rsidRPr="00790671">
        <w:rPr>
          <w:rFonts w:asciiTheme="minorHAnsi" w:hAnsiTheme="minorHAnsi"/>
          <w:bCs/>
        </w:rPr>
        <w:t xml:space="preserve"> </w:t>
      </w:r>
      <w:r w:rsidR="009C5F16" w:rsidRPr="00790671">
        <w:rPr>
          <w:rFonts w:asciiTheme="minorHAnsi" w:hAnsiTheme="minorHAnsi"/>
          <w:bCs/>
        </w:rPr>
        <w:t>professionals and providers</w:t>
      </w:r>
      <w:r w:rsidR="009C5F16" w:rsidRPr="00790671">
        <w:rPr>
          <w:rFonts w:asciiTheme="minorHAnsi" w:hAnsiTheme="minorHAnsi"/>
        </w:rPr>
        <w:t xml:space="preserve">, the Affordable Care Act and goals of healthcare reform requires the broader healthcare community to </w:t>
      </w:r>
      <w:r w:rsidR="00F0390A" w:rsidRPr="00790671">
        <w:rPr>
          <w:rFonts w:asciiTheme="minorHAnsi" w:hAnsiTheme="minorHAnsi"/>
        </w:rPr>
        <w:t xml:space="preserve">use and exchange electronic health information to reduce care fragmentation and improve coordination.  </w:t>
      </w:r>
      <w:r w:rsidR="00BD6C3E" w:rsidRPr="00790671">
        <w:rPr>
          <w:rFonts w:asciiTheme="minorHAnsi" w:hAnsiTheme="minorHAnsi"/>
          <w:bCs/>
        </w:rPr>
        <w:t xml:space="preserve">We see potential for </w:t>
      </w:r>
      <w:r w:rsidR="00AA6A7C" w:rsidRPr="00790671">
        <w:rPr>
          <w:rFonts w:asciiTheme="minorHAnsi" w:hAnsiTheme="minorHAnsi"/>
          <w:bCs/>
        </w:rPr>
        <w:t>the modular</w:t>
      </w:r>
      <w:r w:rsidR="00BD6C3E" w:rsidRPr="00790671">
        <w:rPr>
          <w:rFonts w:asciiTheme="minorHAnsi" w:hAnsiTheme="minorHAnsi"/>
          <w:bCs/>
        </w:rPr>
        <w:t xml:space="preserve"> approach </w:t>
      </w:r>
      <w:r w:rsidR="00F0390A" w:rsidRPr="00790671">
        <w:rPr>
          <w:rFonts w:asciiTheme="minorHAnsi" w:hAnsiTheme="minorHAnsi"/>
          <w:bCs/>
        </w:rPr>
        <w:t xml:space="preserve">to health IT certification </w:t>
      </w:r>
      <w:r w:rsidR="00AA6A7C" w:rsidRPr="00790671">
        <w:rPr>
          <w:rFonts w:asciiTheme="minorHAnsi" w:hAnsiTheme="minorHAnsi"/>
          <w:bCs/>
        </w:rPr>
        <w:t xml:space="preserve">described </w:t>
      </w:r>
      <w:r w:rsidR="00F0390A" w:rsidRPr="00790671">
        <w:rPr>
          <w:rFonts w:asciiTheme="minorHAnsi" w:hAnsiTheme="minorHAnsi"/>
          <w:bCs/>
        </w:rPr>
        <w:t xml:space="preserve">in the NPRM </w:t>
      </w:r>
      <w:r w:rsidR="00BD6C3E" w:rsidRPr="00790671">
        <w:rPr>
          <w:rFonts w:asciiTheme="minorHAnsi" w:hAnsiTheme="minorHAnsi"/>
          <w:bCs/>
        </w:rPr>
        <w:t>to engage a</w:t>
      </w:r>
      <w:r w:rsidR="00AA6A7C" w:rsidRPr="00790671">
        <w:rPr>
          <w:rFonts w:asciiTheme="minorHAnsi" w:hAnsiTheme="minorHAnsi"/>
          <w:bCs/>
        </w:rPr>
        <w:t xml:space="preserve"> much broader set of stakeholders and </w:t>
      </w:r>
      <w:r w:rsidR="00F0390A" w:rsidRPr="00790671">
        <w:rPr>
          <w:rFonts w:asciiTheme="minorHAnsi" w:hAnsiTheme="minorHAnsi"/>
          <w:bCs/>
        </w:rPr>
        <w:t xml:space="preserve">set foundational </w:t>
      </w:r>
      <w:r w:rsidR="007C0AF7">
        <w:rPr>
          <w:rFonts w:asciiTheme="minorHAnsi" w:hAnsiTheme="minorHAnsi"/>
          <w:bCs/>
        </w:rPr>
        <w:t>interoperability requirements for</w:t>
      </w:r>
      <w:r w:rsidR="00F0390A" w:rsidRPr="00790671">
        <w:rPr>
          <w:rFonts w:asciiTheme="minorHAnsi" w:hAnsiTheme="minorHAnsi"/>
          <w:bCs/>
        </w:rPr>
        <w:t xml:space="preserve"> send</w:t>
      </w:r>
      <w:r w:rsidR="007C0AF7">
        <w:rPr>
          <w:rFonts w:asciiTheme="minorHAnsi" w:hAnsiTheme="minorHAnsi"/>
          <w:bCs/>
        </w:rPr>
        <w:t>ing and receiving</w:t>
      </w:r>
      <w:r w:rsidR="00F0390A" w:rsidRPr="00790671">
        <w:rPr>
          <w:rFonts w:asciiTheme="minorHAnsi" w:hAnsiTheme="minorHAnsi"/>
          <w:bCs/>
        </w:rPr>
        <w:t xml:space="preserve"> electronic health information.</w:t>
      </w:r>
    </w:p>
    <w:p w14:paraId="021D1FE7" w14:textId="7588D62F" w:rsidR="008E6A19" w:rsidRPr="00130996" w:rsidRDefault="0029442A" w:rsidP="008E6A19">
      <w:pPr>
        <w:spacing w:after="120" w:line="240" w:lineRule="atLeast"/>
        <w:rPr>
          <w:rFonts w:asciiTheme="minorHAnsi" w:hAnsiTheme="minorHAnsi"/>
          <w:bCs/>
          <w:highlight w:val="yellow"/>
        </w:rPr>
      </w:pPr>
      <w:r w:rsidRPr="007C0AF7">
        <w:rPr>
          <w:bCs/>
          <w:szCs w:val="20"/>
        </w:rPr>
        <w:t xml:space="preserve">Redesigning the </w:t>
      </w:r>
      <w:r w:rsidR="004545FA" w:rsidRPr="007C0AF7">
        <w:rPr>
          <w:bCs/>
          <w:szCs w:val="20"/>
        </w:rPr>
        <w:t>P</w:t>
      </w:r>
      <w:r w:rsidRPr="007C0AF7">
        <w:rPr>
          <w:bCs/>
          <w:szCs w:val="20"/>
        </w:rPr>
        <w:t>rogram into a modular approach provides</w:t>
      </w:r>
      <w:r w:rsidR="004545FA" w:rsidRPr="007C0AF7">
        <w:rPr>
          <w:bCs/>
          <w:szCs w:val="20"/>
        </w:rPr>
        <w:t xml:space="preserve"> the </w:t>
      </w:r>
      <w:r w:rsidRPr="007C0AF7">
        <w:rPr>
          <w:bCs/>
          <w:szCs w:val="20"/>
        </w:rPr>
        <w:t xml:space="preserve">flexibility </w:t>
      </w:r>
      <w:r w:rsidR="004545FA" w:rsidRPr="007C0AF7">
        <w:rPr>
          <w:bCs/>
          <w:szCs w:val="20"/>
        </w:rPr>
        <w:t>to</w:t>
      </w:r>
      <w:r w:rsidRPr="007C0AF7">
        <w:rPr>
          <w:bCs/>
          <w:szCs w:val="20"/>
        </w:rPr>
        <w:t xml:space="preserve"> increase</w:t>
      </w:r>
      <w:r w:rsidR="007C0AF7" w:rsidRPr="007C0AF7">
        <w:rPr>
          <w:bCs/>
          <w:szCs w:val="20"/>
        </w:rPr>
        <w:t xml:space="preserve"> its</w:t>
      </w:r>
      <w:r w:rsidRPr="007C0AF7">
        <w:rPr>
          <w:bCs/>
          <w:szCs w:val="20"/>
        </w:rPr>
        <w:t xml:space="preserve"> applicability </w:t>
      </w:r>
      <w:r w:rsidR="007C0AF7" w:rsidRPr="007C0AF7">
        <w:rPr>
          <w:bCs/>
          <w:szCs w:val="20"/>
        </w:rPr>
        <w:t>to the various stakeholders and technologies that must interoper</w:t>
      </w:r>
      <w:r w:rsidR="003347CE">
        <w:rPr>
          <w:bCs/>
          <w:szCs w:val="20"/>
        </w:rPr>
        <w:t>ate</w:t>
      </w:r>
      <w:r w:rsidR="007C0AF7" w:rsidRPr="007C0AF7">
        <w:rPr>
          <w:bCs/>
          <w:szCs w:val="20"/>
        </w:rPr>
        <w:t xml:space="preserve">.  We recognize </w:t>
      </w:r>
      <w:r w:rsidR="007A0E16">
        <w:rPr>
          <w:bCs/>
          <w:szCs w:val="20"/>
        </w:rPr>
        <w:t>that there is</w:t>
      </w:r>
      <w:r w:rsidR="007C0AF7" w:rsidRPr="007C0AF7">
        <w:rPr>
          <w:bCs/>
          <w:szCs w:val="20"/>
        </w:rPr>
        <w:t xml:space="preserve"> risk inherent to this flexibility</w:t>
      </w:r>
      <w:r w:rsidR="007A0E16">
        <w:rPr>
          <w:bCs/>
          <w:szCs w:val="20"/>
        </w:rPr>
        <w:t>. The program will likely be more complex particularly</w:t>
      </w:r>
      <w:r w:rsidR="007C0AF7" w:rsidRPr="007C0AF7">
        <w:rPr>
          <w:bCs/>
          <w:szCs w:val="20"/>
        </w:rPr>
        <w:t xml:space="preserve"> for </w:t>
      </w:r>
      <w:r w:rsidR="00DD1D4A">
        <w:rPr>
          <w:bCs/>
          <w:szCs w:val="20"/>
        </w:rPr>
        <w:t>stakeholders</w:t>
      </w:r>
      <w:r w:rsidR="00B3716C">
        <w:rPr>
          <w:bCs/>
          <w:szCs w:val="20"/>
        </w:rPr>
        <w:t xml:space="preserve"> who must address multiple modules and certification requirements from various agencies/regulators/payers. </w:t>
      </w:r>
      <w:r w:rsidR="004545FA" w:rsidRPr="007C0AF7">
        <w:rPr>
          <w:bCs/>
          <w:szCs w:val="20"/>
        </w:rPr>
        <w:t xml:space="preserve"> </w:t>
      </w:r>
      <w:r w:rsidR="00130996">
        <w:rPr>
          <w:bCs/>
          <w:szCs w:val="20"/>
        </w:rPr>
        <w:t xml:space="preserve">For this reason, </w:t>
      </w:r>
      <w:r w:rsidR="00130996" w:rsidRPr="00130996">
        <w:rPr>
          <w:bCs/>
          <w:szCs w:val="20"/>
        </w:rPr>
        <w:t>t</w:t>
      </w:r>
      <w:r w:rsidR="008E6A19" w:rsidRPr="00130996">
        <w:rPr>
          <w:rFonts w:asciiTheme="minorHAnsi" w:hAnsiTheme="minorHAnsi"/>
          <w:bCs/>
        </w:rPr>
        <w:t xml:space="preserve">he role of ONC </w:t>
      </w:r>
      <w:r w:rsidR="00130996">
        <w:rPr>
          <w:rFonts w:asciiTheme="minorHAnsi" w:hAnsiTheme="minorHAnsi"/>
          <w:bCs/>
        </w:rPr>
        <w:t>as a “</w:t>
      </w:r>
      <w:r w:rsidR="008E6A19" w:rsidRPr="00130996">
        <w:rPr>
          <w:rFonts w:asciiTheme="minorHAnsi" w:hAnsiTheme="minorHAnsi"/>
          <w:bCs/>
        </w:rPr>
        <w:t>coordinator</w:t>
      </w:r>
      <w:r w:rsidR="00130996">
        <w:rPr>
          <w:rFonts w:asciiTheme="minorHAnsi" w:hAnsiTheme="minorHAnsi"/>
          <w:bCs/>
        </w:rPr>
        <w:t>” to facilitate</w:t>
      </w:r>
      <w:r w:rsidR="008E6A19" w:rsidRPr="00130996">
        <w:rPr>
          <w:rFonts w:asciiTheme="minorHAnsi" w:hAnsiTheme="minorHAnsi"/>
          <w:bCs/>
        </w:rPr>
        <w:t xml:space="preserve"> align</w:t>
      </w:r>
      <w:r w:rsidR="00130996">
        <w:rPr>
          <w:rFonts w:asciiTheme="minorHAnsi" w:hAnsiTheme="minorHAnsi"/>
          <w:bCs/>
        </w:rPr>
        <w:t xml:space="preserve">ment between federal program requirements and related Health IT Modules is critical to </w:t>
      </w:r>
      <w:r w:rsidR="00130996" w:rsidRPr="00130996">
        <w:rPr>
          <w:rFonts w:asciiTheme="minorHAnsi" w:hAnsiTheme="minorHAnsi"/>
          <w:bCs/>
        </w:rPr>
        <w:t xml:space="preserve">mitigate </w:t>
      </w:r>
      <w:r w:rsidR="008E6A19" w:rsidRPr="00130996">
        <w:rPr>
          <w:rFonts w:asciiTheme="minorHAnsi" w:hAnsiTheme="minorHAnsi"/>
          <w:bCs/>
        </w:rPr>
        <w:t>comple</w:t>
      </w:r>
      <w:r w:rsidR="00130996" w:rsidRPr="00130996">
        <w:rPr>
          <w:rFonts w:asciiTheme="minorHAnsi" w:hAnsiTheme="minorHAnsi"/>
          <w:bCs/>
        </w:rPr>
        <w:t xml:space="preserve">xity and cost. </w:t>
      </w:r>
      <w:r w:rsidR="008E6A19" w:rsidRPr="00F942A5">
        <w:rPr>
          <w:rFonts w:asciiTheme="minorHAnsi" w:hAnsiTheme="minorHAnsi"/>
          <w:bCs/>
        </w:rPr>
        <w:t xml:space="preserve"> </w:t>
      </w:r>
    </w:p>
    <w:p w14:paraId="7E106E90" w14:textId="125900BE" w:rsidR="00F863C6" w:rsidRDefault="00361E66" w:rsidP="00361E66">
      <w:pPr>
        <w:spacing w:after="120" w:line="240" w:lineRule="atLeast"/>
        <w:rPr>
          <w:bCs/>
          <w:szCs w:val="20"/>
        </w:rPr>
      </w:pPr>
      <w:r>
        <w:rPr>
          <w:bCs/>
          <w:szCs w:val="20"/>
        </w:rPr>
        <w:t>We</w:t>
      </w:r>
      <w:r w:rsidR="00F863C6">
        <w:rPr>
          <w:bCs/>
          <w:szCs w:val="20"/>
        </w:rPr>
        <w:t xml:space="preserve"> also</w:t>
      </w:r>
      <w:r>
        <w:rPr>
          <w:bCs/>
          <w:szCs w:val="20"/>
        </w:rPr>
        <w:t xml:space="preserve"> recognize that this is the next evolutionary step</w:t>
      </w:r>
      <w:r w:rsidR="00F863C6">
        <w:rPr>
          <w:bCs/>
          <w:szCs w:val="20"/>
        </w:rPr>
        <w:t xml:space="preserve"> for certification that will include new </w:t>
      </w:r>
      <w:r w:rsidR="00850941">
        <w:rPr>
          <w:bCs/>
          <w:szCs w:val="20"/>
        </w:rPr>
        <w:t>challenges and</w:t>
      </w:r>
      <w:r w:rsidR="007A0E16">
        <w:rPr>
          <w:bCs/>
          <w:szCs w:val="20"/>
        </w:rPr>
        <w:t>/or</w:t>
      </w:r>
      <w:r w:rsidR="00850941">
        <w:rPr>
          <w:bCs/>
          <w:szCs w:val="20"/>
        </w:rPr>
        <w:t xml:space="preserve"> repercussions:  </w:t>
      </w:r>
    </w:p>
    <w:p w14:paraId="1C3E528B" w14:textId="58A0BE94" w:rsidR="00F863C6" w:rsidRDefault="00C012D5" w:rsidP="00F863C6">
      <w:pPr>
        <w:pStyle w:val="ListParagraph"/>
        <w:numPr>
          <w:ilvl w:val="0"/>
          <w:numId w:val="17"/>
        </w:numPr>
        <w:spacing w:after="120" w:line="240" w:lineRule="atLeast"/>
        <w:rPr>
          <w:bCs/>
          <w:szCs w:val="20"/>
        </w:rPr>
      </w:pPr>
      <w:r>
        <w:rPr>
          <w:bCs/>
          <w:szCs w:val="20"/>
        </w:rPr>
        <w:t xml:space="preserve">A </w:t>
      </w:r>
      <w:r w:rsidR="00361E66" w:rsidRPr="00F863C6">
        <w:rPr>
          <w:bCs/>
          <w:szCs w:val="20"/>
        </w:rPr>
        <w:t xml:space="preserve">more complex </w:t>
      </w:r>
      <w:r w:rsidR="00C43541" w:rsidRPr="00F863C6">
        <w:rPr>
          <w:bCs/>
          <w:szCs w:val="20"/>
        </w:rPr>
        <w:t>program will likely drive up costs for certification particularly those who certify and test to multiple health IT modules that might be co</w:t>
      </w:r>
      <w:r w:rsidR="00850941" w:rsidRPr="00F863C6">
        <w:rPr>
          <w:bCs/>
          <w:szCs w:val="20"/>
        </w:rPr>
        <w:t>nsidered a single large system</w:t>
      </w:r>
      <w:r>
        <w:rPr>
          <w:bCs/>
          <w:szCs w:val="20"/>
        </w:rPr>
        <w:t>.</w:t>
      </w:r>
    </w:p>
    <w:p w14:paraId="1872F424" w14:textId="6A8F9FCF" w:rsidR="00F863C6" w:rsidRDefault="00C012D5" w:rsidP="00F863C6">
      <w:pPr>
        <w:pStyle w:val="ListParagraph"/>
        <w:numPr>
          <w:ilvl w:val="0"/>
          <w:numId w:val="17"/>
        </w:numPr>
        <w:spacing w:after="120" w:line="240" w:lineRule="atLeast"/>
        <w:rPr>
          <w:bCs/>
          <w:szCs w:val="20"/>
        </w:rPr>
      </w:pPr>
      <w:r>
        <w:rPr>
          <w:bCs/>
          <w:szCs w:val="20"/>
        </w:rPr>
        <w:t>T</w:t>
      </w:r>
      <w:r w:rsidR="00F35EDC" w:rsidRPr="00F863C6">
        <w:rPr>
          <w:bCs/>
          <w:szCs w:val="20"/>
        </w:rPr>
        <w:t>here</w:t>
      </w:r>
      <w:r>
        <w:rPr>
          <w:bCs/>
          <w:szCs w:val="20"/>
        </w:rPr>
        <w:t xml:space="preserve"> </w:t>
      </w:r>
      <w:r w:rsidR="00DB6F47">
        <w:rPr>
          <w:bCs/>
          <w:szCs w:val="20"/>
        </w:rPr>
        <w:t>may</w:t>
      </w:r>
      <w:r>
        <w:rPr>
          <w:bCs/>
          <w:szCs w:val="20"/>
        </w:rPr>
        <w:t xml:space="preserve"> be challenges to keeping the modules and their </w:t>
      </w:r>
      <w:r w:rsidR="00F35EDC" w:rsidRPr="00F863C6">
        <w:rPr>
          <w:bCs/>
          <w:szCs w:val="20"/>
        </w:rPr>
        <w:t xml:space="preserve">requirements </w:t>
      </w:r>
      <w:r>
        <w:rPr>
          <w:bCs/>
          <w:szCs w:val="20"/>
        </w:rPr>
        <w:t xml:space="preserve">at the foundational </w:t>
      </w:r>
      <w:r w:rsidR="00DB6F47">
        <w:rPr>
          <w:bCs/>
          <w:szCs w:val="20"/>
        </w:rPr>
        <w:t xml:space="preserve">(building block) </w:t>
      </w:r>
      <w:r>
        <w:rPr>
          <w:bCs/>
          <w:szCs w:val="20"/>
        </w:rPr>
        <w:t>level and not ex</w:t>
      </w:r>
      <w:r w:rsidR="00F35EDC" w:rsidRPr="00F863C6">
        <w:rPr>
          <w:bCs/>
          <w:szCs w:val="20"/>
        </w:rPr>
        <w:t>pand t</w:t>
      </w:r>
      <w:r>
        <w:rPr>
          <w:bCs/>
          <w:szCs w:val="20"/>
        </w:rPr>
        <w:t xml:space="preserve">heir scope unnecessarily.  </w:t>
      </w:r>
    </w:p>
    <w:p w14:paraId="23BDB6AD" w14:textId="68823165" w:rsidR="00C43541" w:rsidRPr="00F863C6" w:rsidRDefault="00151FB7" w:rsidP="00F863C6">
      <w:pPr>
        <w:pStyle w:val="ListParagraph"/>
        <w:numPr>
          <w:ilvl w:val="0"/>
          <w:numId w:val="17"/>
        </w:numPr>
        <w:spacing w:after="120" w:line="240" w:lineRule="atLeast"/>
        <w:rPr>
          <w:bCs/>
          <w:szCs w:val="20"/>
        </w:rPr>
      </w:pPr>
      <w:r>
        <w:rPr>
          <w:bCs/>
          <w:szCs w:val="20"/>
        </w:rPr>
        <w:t>O</w:t>
      </w:r>
      <w:r w:rsidR="00376621">
        <w:rPr>
          <w:bCs/>
          <w:szCs w:val="20"/>
        </w:rPr>
        <w:t xml:space="preserve">ther parties </w:t>
      </w:r>
      <w:r>
        <w:rPr>
          <w:bCs/>
          <w:szCs w:val="20"/>
        </w:rPr>
        <w:t>that identify</w:t>
      </w:r>
      <w:r w:rsidR="00376621">
        <w:rPr>
          <w:bCs/>
          <w:szCs w:val="20"/>
        </w:rPr>
        <w:t xml:space="preserve"> Certification paths and/or require compliance with a </w:t>
      </w:r>
      <w:r w:rsidR="007A0E16" w:rsidRPr="00F863C6">
        <w:rPr>
          <w:bCs/>
          <w:szCs w:val="20"/>
        </w:rPr>
        <w:t>Certification module</w:t>
      </w:r>
      <w:r w:rsidR="00743F66">
        <w:rPr>
          <w:bCs/>
          <w:szCs w:val="20"/>
        </w:rPr>
        <w:t>(</w:t>
      </w:r>
      <w:r w:rsidR="007A0E16" w:rsidRPr="00F863C6">
        <w:rPr>
          <w:bCs/>
          <w:szCs w:val="20"/>
        </w:rPr>
        <w:t>s</w:t>
      </w:r>
      <w:r w:rsidR="00743F66">
        <w:rPr>
          <w:bCs/>
          <w:szCs w:val="20"/>
        </w:rPr>
        <w:t>)</w:t>
      </w:r>
      <w:r w:rsidR="007A0E16" w:rsidRPr="00F863C6">
        <w:rPr>
          <w:bCs/>
          <w:szCs w:val="20"/>
        </w:rPr>
        <w:t xml:space="preserve"> </w:t>
      </w:r>
      <w:r>
        <w:rPr>
          <w:bCs/>
          <w:szCs w:val="20"/>
        </w:rPr>
        <w:t xml:space="preserve">could </w:t>
      </w:r>
      <w:r w:rsidRPr="00F863C6">
        <w:rPr>
          <w:bCs/>
          <w:szCs w:val="20"/>
        </w:rPr>
        <w:t>erode the foundation</w:t>
      </w:r>
      <w:r>
        <w:rPr>
          <w:bCs/>
          <w:szCs w:val="20"/>
        </w:rPr>
        <w:t xml:space="preserve">/building blocks by requiring a module with modifications </w:t>
      </w:r>
      <w:r w:rsidR="00366B79">
        <w:rPr>
          <w:bCs/>
          <w:szCs w:val="20"/>
        </w:rPr>
        <w:t xml:space="preserve">and add-ons. </w:t>
      </w:r>
    </w:p>
    <w:p w14:paraId="068AAB1B" w14:textId="733E8535" w:rsidR="000325B0" w:rsidRDefault="001C47AA" w:rsidP="007A0E16">
      <w:pPr>
        <w:spacing w:after="120" w:line="240" w:lineRule="atLeast"/>
        <w:jc w:val="right"/>
        <w:rPr>
          <w:rFonts w:eastAsia="Times New Roman"/>
          <w:szCs w:val="20"/>
        </w:rPr>
      </w:pPr>
      <w:r w:rsidRPr="0029442A">
        <w:rPr>
          <w:rFonts w:eastAsia="Times New Roman"/>
          <w:szCs w:val="20"/>
        </w:rPr>
        <w:t>"Everything should be made as simple as possible, but not simpler." - Albert Einstein</w:t>
      </w:r>
    </w:p>
    <w:p w14:paraId="7DF253BA" w14:textId="05C2537C" w:rsidR="008C6AE1" w:rsidRDefault="008C6AE1">
      <w:pPr>
        <w:rPr>
          <w:rFonts w:asciiTheme="minorHAnsi" w:hAnsiTheme="minorHAnsi"/>
          <w:bCs/>
          <w:sz w:val="24"/>
        </w:rPr>
      </w:pPr>
      <w:r>
        <w:rPr>
          <w:rFonts w:asciiTheme="minorHAnsi" w:hAnsiTheme="minorHAnsi"/>
          <w:bCs/>
          <w:sz w:val="24"/>
        </w:rPr>
        <w:br w:type="page"/>
      </w:r>
    </w:p>
    <w:p w14:paraId="0B096556" w14:textId="77777777" w:rsidR="008C6AE1" w:rsidRPr="00C43541" w:rsidRDefault="008C6AE1" w:rsidP="008C6AE1">
      <w:pPr>
        <w:spacing w:after="120" w:line="240" w:lineRule="atLeast"/>
        <w:rPr>
          <w:rFonts w:asciiTheme="minorHAnsi" w:hAnsiTheme="minorHAnsi"/>
          <w:bCs/>
          <w:sz w:val="24"/>
        </w:rPr>
      </w:pP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76062B" w:rsidRPr="00E86D42" w14:paraId="248E573C" w14:textId="77777777"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0E2E62BB" w14:textId="77777777" w:rsidR="0076062B" w:rsidRPr="00E86D42" w:rsidRDefault="0076062B" w:rsidP="00805E1A">
            <w:pPr>
              <w:spacing w:after="0" w:line="240" w:lineRule="auto"/>
              <w:rPr>
                <w:b/>
                <w:bCs/>
                <w:color w:val="FFFFFF"/>
              </w:rPr>
            </w:pPr>
            <w:r w:rsidRPr="00190D90">
              <w:rPr>
                <w:b/>
                <w:bCs/>
                <w:color w:val="FFFFFF"/>
              </w:rPr>
              <w:t>A. Subpart E – ONC Health IT Certification Program</w:t>
            </w:r>
            <w:r>
              <w:rPr>
                <w:b/>
                <w:bCs/>
                <w:color w:val="FFFFFF"/>
              </w:rPr>
              <w:t xml:space="preserve">  </w:t>
            </w:r>
            <w:r>
              <w:rPr>
                <w:b/>
                <w:bCs/>
                <w:color w:val="FFFF00"/>
              </w:rPr>
              <w:t>Page #250</w:t>
            </w:r>
          </w:p>
        </w:tc>
      </w:tr>
      <w:tr w:rsidR="0076062B" w:rsidRPr="00E86D42" w14:paraId="11DDDEFF" w14:textId="77777777" w:rsidTr="00805E1A">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5D86A7BD" w14:textId="0C1114EE" w:rsidR="0076062B" w:rsidRPr="00BD6E18" w:rsidRDefault="0076062B" w:rsidP="00805E1A">
            <w:pPr>
              <w:spacing w:after="0"/>
              <w:rPr>
                <w:bCs/>
                <w:sz w:val="20"/>
                <w:szCs w:val="20"/>
              </w:rPr>
            </w:pPr>
            <w:r w:rsidRPr="00785F0F">
              <w:rPr>
                <w:bCs/>
                <w:sz w:val="20"/>
                <w:szCs w:val="20"/>
                <w:u w:val="single"/>
              </w:rPr>
              <w:t>We propose to replace the term “HIT” with the term “health IT” wherever it may occur</w:t>
            </w:r>
            <w:r w:rsidRPr="00190D90">
              <w:rPr>
                <w:bCs/>
                <w:sz w:val="20"/>
                <w:szCs w:val="20"/>
              </w:rPr>
              <w:t xml:space="preserve"> in</w:t>
            </w:r>
            <w:r>
              <w:rPr>
                <w:bCs/>
                <w:sz w:val="20"/>
                <w:szCs w:val="20"/>
              </w:rPr>
              <w:t xml:space="preserve"> </w:t>
            </w:r>
            <w:r w:rsidRPr="00190D90">
              <w:rPr>
                <w:bCs/>
                <w:sz w:val="20"/>
                <w:szCs w:val="20"/>
              </w:rPr>
              <w:t>subpart E. While “HIT” is a term used in the HITECH Act, we believe the term “health IT”</w:t>
            </w:r>
            <w:r>
              <w:rPr>
                <w:bCs/>
                <w:sz w:val="20"/>
                <w:szCs w:val="20"/>
              </w:rPr>
              <w:t xml:space="preserve"> </w:t>
            </w:r>
            <w:r w:rsidRPr="00190D90">
              <w:rPr>
                <w:bCs/>
                <w:sz w:val="20"/>
                <w:szCs w:val="20"/>
              </w:rPr>
              <w:t>offers more clarity than “HIT” for stakeholders. Similarly, we propose to replace the “ONC HIT</w:t>
            </w:r>
            <w:r>
              <w:rPr>
                <w:bCs/>
                <w:sz w:val="20"/>
                <w:szCs w:val="20"/>
              </w:rPr>
              <w:t xml:space="preserve"> </w:t>
            </w:r>
            <w:r w:rsidRPr="00190D90">
              <w:rPr>
                <w:bCs/>
                <w:sz w:val="20"/>
                <w:szCs w:val="20"/>
              </w:rPr>
              <w:t>Certification Program” with “ONC Health IT Certification Program” wherever it may occur in subpart E. In referring to the certification program, the term “</w:t>
            </w:r>
            <w:r>
              <w:rPr>
                <w:bCs/>
                <w:sz w:val="20"/>
                <w:szCs w:val="20"/>
              </w:rPr>
              <w:t xml:space="preserve">health” is capitalized. </w:t>
            </w:r>
            <w:r w:rsidRPr="00785F0F">
              <w:rPr>
                <w:bCs/>
                <w:sz w:val="20"/>
                <w:szCs w:val="20"/>
                <w:u w:val="single"/>
              </w:rPr>
              <w:t>We also propose to remove § 170.553 “Certification of health information technology other than Complete EHRs and EHR Modules”</w:t>
            </w:r>
            <w:r w:rsidRPr="00190D90">
              <w:rPr>
                <w:bCs/>
                <w:sz w:val="20"/>
                <w:szCs w:val="20"/>
              </w:rPr>
              <w:t xml:space="preserve"> as we believe this section is no longer relevant based on ou</w:t>
            </w:r>
            <w:r w:rsidR="00AA4D7A">
              <w:rPr>
                <w:bCs/>
                <w:sz w:val="20"/>
                <w:szCs w:val="20"/>
              </w:rPr>
              <w:t>r</w:t>
            </w:r>
            <w:r w:rsidR="0077464C">
              <w:rPr>
                <w:bCs/>
                <w:sz w:val="20"/>
                <w:szCs w:val="20"/>
              </w:rPr>
              <w:t xml:space="preserve"> </w:t>
            </w:r>
            <w:r w:rsidRPr="00190D90">
              <w:rPr>
                <w:bCs/>
                <w:sz w:val="20"/>
                <w:szCs w:val="20"/>
              </w:rPr>
              <w:t xml:space="preserve">proposals for the ONC Health IT Certification Program discussed in more detail below. </w:t>
            </w:r>
            <w:r>
              <w:rPr>
                <w:bCs/>
                <w:sz w:val="20"/>
                <w:szCs w:val="20"/>
              </w:rPr>
              <w:t>(Continued on page #251)</w:t>
            </w:r>
          </w:p>
        </w:tc>
      </w:tr>
      <w:tr w:rsidR="0076062B" w:rsidRPr="00E86D42" w14:paraId="5CCBB9A7" w14:textId="77777777"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31615964" w14:textId="77777777" w:rsidR="00E81F36" w:rsidRPr="00A15DE9" w:rsidRDefault="00E81F36" w:rsidP="00E81F36">
            <w:pPr>
              <w:spacing w:after="60" w:line="240" w:lineRule="auto"/>
              <w:rPr>
                <w:b/>
                <w:bCs/>
                <w:szCs w:val="20"/>
              </w:rPr>
            </w:pPr>
            <w:r w:rsidRPr="00A15DE9">
              <w:rPr>
                <w:b/>
                <w:bCs/>
                <w:szCs w:val="20"/>
              </w:rPr>
              <w:t xml:space="preserve">Public Comment Field – IUS Group 3: </w:t>
            </w:r>
          </w:p>
          <w:p w14:paraId="682DC560" w14:textId="0511619D" w:rsidR="00E9232E" w:rsidRPr="00A15DE9" w:rsidRDefault="00E9232E" w:rsidP="009B1F45">
            <w:pPr>
              <w:spacing w:after="120" w:line="240" w:lineRule="atLeast"/>
              <w:rPr>
                <w:bCs/>
                <w:strike/>
                <w:szCs w:val="20"/>
              </w:rPr>
            </w:pPr>
            <w:r w:rsidRPr="00A15DE9">
              <w:rPr>
                <w:bCs/>
                <w:szCs w:val="20"/>
              </w:rPr>
              <w:t xml:space="preserve">The workgroup </w:t>
            </w:r>
            <w:r w:rsidR="001F553F" w:rsidRPr="00A15DE9">
              <w:rPr>
                <w:bCs/>
                <w:szCs w:val="20"/>
              </w:rPr>
              <w:t xml:space="preserve">recognizes </w:t>
            </w:r>
            <w:r w:rsidR="00CA40EB" w:rsidRPr="00A15DE9">
              <w:rPr>
                <w:bCs/>
                <w:szCs w:val="20"/>
              </w:rPr>
              <w:t xml:space="preserve">that </w:t>
            </w:r>
            <w:r w:rsidR="001F553F" w:rsidRPr="00A15DE9">
              <w:rPr>
                <w:bCs/>
                <w:szCs w:val="20"/>
              </w:rPr>
              <w:t xml:space="preserve">changes </w:t>
            </w:r>
            <w:r w:rsidR="00CA40EB" w:rsidRPr="00A15DE9">
              <w:rPr>
                <w:bCs/>
                <w:szCs w:val="20"/>
              </w:rPr>
              <w:t xml:space="preserve">are needed to </w:t>
            </w:r>
            <w:r w:rsidR="00E829B9" w:rsidRPr="00A15DE9">
              <w:rPr>
                <w:bCs/>
                <w:szCs w:val="20"/>
              </w:rPr>
              <w:t xml:space="preserve">support the Certification Program changes described in the NPRM </w:t>
            </w:r>
            <w:r w:rsidRPr="00A15DE9">
              <w:rPr>
                <w:bCs/>
                <w:szCs w:val="20"/>
              </w:rPr>
              <w:t xml:space="preserve">and has no concerns with the following revisions: </w:t>
            </w:r>
          </w:p>
          <w:p w14:paraId="7F730A65" w14:textId="04628B0C" w:rsidR="00CA40EB" w:rsidRPr="00A15DE9" w:rsidRDefault="00CA40EB" w:rsidP="009B1F45">
            <w:pPr>
              <w:spacing w:after="120" w:line="240" w:lineRule="atLeast"/>
              <w:rPr>
                <w:bCs/>
                <w:szCs w:val="20"/>
              </w:rPr>
            </w:pPr>
            <w:r w:rsidRPr="00A15DE9">
              <w:rPr>
                <w:bCs/>
                <w:szCs w:val="20"/>
              </w:rPr>
              <w:t>1)</w:t>
            </w:r>
            <w:r w:rsidR="00E9232E" w:rsidRPr="00A15DE9">
              <w:rPr>
                <w:bCs/>
                <w:szCs w:val="20"/>
              </w:rPr>
              <w:t xml:space="preserve">  Replace the term</w:t>
            </w:r>
            <w:r w:rsidR="00F57F2B" w:rsidRPr="00A15DE9">
              <w:rPr>
                <w:bCs/>
                <w:szCs w:val="20"/>
              </w:rPr>
              <w:t xml:space="preserve"> “HIT” with the term “</w:t>
            </w:r>
            <w:r w:rsidR="00677062">
              <w:rPr>
                <w:bCs/>
                <w:szCs w:val="20"/>
              </w:rPr>
              <w:t>h</w:t>
            </w:r>
            <w:r w:rsidR="00F57F2B" w:rsidRPr="00A15DE9">
              <w:rPr>
                <w:bCs/>
                <w:szCs w:val="20"/>
              </w:rPr>
              <w:t>ealth IT</w:t>
            </w:r>
            <w:r w:rsidR="00D044A8">
              <w:rPr>
                <w:bCs/>
                <w:szCs w:val="20"/>
              </w:rPr>
              <w:t>”</w:t>
            </w:r>
            <w:r w:rsidR="00E9232E" w:rsidRPr="00A15DE9">
              <w:rPr>
                <w:bCs/>
                <w:szCs w:val="20"/>
              </w:rPr>
              <w:t>,</w:t>
            </w:r>
          </w:p>
          <w:p w14:paraId="12F0A49E" w14:textId="24CAC653" w:rsidR="00E9232E" w:rsidRPr="00A15DE9" w:rsidRDefault="00CA40EB" w:rsidP="009B1F45">
            <w:pPr>
              <w:spacing w:after="120" w:line="240" w:lineRule="atLeast"/>
              <w:rPr>
                <w:bCs/>
                <w:szCs w:val="20"/>
              </w:rPr>
            </w:pPr>
            <w:r w:rsidRPr="00A15DE9">
              <w:rPr>
                <w:bCs/>
                <w:szCs w:val="20"/>
              </w:rPr>
              <w:t>2)</w:t>
            </w:r>
            <w:r w:rsidR="00677062">
              <w:rPr>
                <w:bCs/>
                <w:szCs w:val="20"/>
              </w:rPr>
              <w:t xml:space="preserve"> Replace the term “ONC HIT </w:t>
            </w:r>
            <w:r w:rsidR="00E9232E" w:rsidRPr="00A15DE9">
              <w:rPr>
                <w:bCs/>
                <w:szCs w:val="20"/>
              </w:rPr>
              <w:t>Certification Program” with the term “ONC Health IT Certification Program.”</w:t>
            </w:r>
          </w:p>
          <w:p w14:paraId="6ED7830F" w14:textId="06DA79FD" w:rsidR="00B902F1" w:rsidRPr="0077464C" w:rsidRDefault="00CA40EB" w:rsidP="009B1F45">
            <w:pPr>
              <w:spacing w:after="120" w:line="240" w:lineRule="atLeast"/>
              <w:rPr>
                <w:bCs/>
                <w:color w:val="FF0000"/>
                <w:sz w:val="20"/>
                <w:szCs w:val="20"/>
              </w:rPr>
            </w:pPr>
            <w:r w:rsidRPr="00A15DE9">
              <w:rPr>
                <w:bCs/>
                <w:szCs w:val="20"/>
              </w:rPr>
              <w:t>3)</w:t>
            </w:r>
            <w:r w:rsidR="00E9232E" w:rsidRPr="00A15DE9">
              <w:rPr>
                <w:bCs/>
                <w:szCs w:val="20"/>
              </w:rPr>
              <w:t xml:space="preserve"> Removal of § 170.553 “Certification of health information technology other than Complete EHRs and EHR Modules” </w:t>
            </w:r>
          </w:p>
        </w:tc>
      </w:tr>
    </w:tbl>
    <w:p w14:paraId="0E9E2864" w14:textId="77777777" w:rsidR="0076062B" w:rsidRDefault="0076062B"/>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77464C" w:rsidRPr="00E86D42" w14:paraId="6E2B7368" w14:textId="77777777" w:rsidTr="002B2B5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7206139D" w14:textId="77777777" w:rsidR="0077464C" w:rsidRPr="00E86D42" w:rsidRDefault="0077464C" w:rsidP="002B2B52">
            <w:pPr>
              <w:spacing w:after="0" w:line="240" w:lineRule="auto"/>
              <w:rPr>
                <w:b/>
                <w:bCs/>
                <w:color w:val="FFFFFF"/>
              </w:rPr>
            </w:pPr>
            <w:r w:rsidRPr="00CC4C1A">
              <w:rPr>
                <w:b/>
                <w:bCs/>
                <w:color w:val="FFFFFF"/>
              </w:rPr>
              <w:t xml:space="preserve">The ONC Health IT Certification Program and Health IT Module </w:t>
            </w:r>
            <w:r>
              <w:rPr>
                <w:b/>
                <w:bCs/>
                <w:color w:val="FFFFFF"/>
              </w:rPr>
              <w:t xml:space="preserve"> </w:t>
            </w:r>
            <w:r>
              <w:rPr>
                <w:b/>
                <w:bCs/>
                <w:color w:val="FFFF00"/>
              </w:rPr>
              <w:t>Page #12</w:t>
            </w:r>
          </w:p>
        </w:tc>
      </w:tr>
      <w:tr w:rsidR="0077464C" w:rsidRPr="00E86D42" w14:paraId="15665B92" w14:textId="77777777" w:rsidTr="002B2B52">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3446A64B" w14:textId="2B9AF986" w:rsidR="0077464C" w:rsidRPr="00BD6E18" w:rsidRDefault="0077464C" w:rsidP="002B2B52">
            <w:pPr>
              <w:spacing w:after="0"/>
              <w:rPr>
                <w:bCs/>
                <w:sz w:val="20"/>
                <w:szCs w:val="20"/>
              </w:rPr>
            </w:pPr>
            <w:r w:rsidRPr="00CC4C1A">
              <w:rPr>
                <w:bCs/>
                <w:sz w:val="20"/>
                <w:szCs w:val="20"/>
              </w:rPr>
              <w:t>As part of our approach to evolve the ONC Health IT Certification Program, we have</w:t>
            </w:r>
            <w:r w:rsidR="00656D60">
              <w:rPr>
                <w:bCs/>
                <w:sz w:val="20"/>
                <w:szCs w:val="20"/>
              </w:rPr>
              <w:t xml:space="preserve"> </w:t>
            </w:r>
            <w:r w:rsidRPr="00B120BA">
              <w:rPr>
                <w:bCs/>
                <w:sz w:val="20"/>
                <w:szCs w:val="20"/>
                <w:u w:val="single"/>
              </w:rPr>
              <w:t>replaced prior rulemaking use of “EHR” and “EHR technology” with “health IT.”</w:t>
            </w:r>
            <w:r w:rsidRPr="00CC4C1A">
              <w:rPr>
                <w:bCs/>
                <w:sz w:val="20"/>
                <w:szCs w:val="20"/>
              </w:rPr>
              <w:t xml:space="preserve"> The term</w:t>
            </w:r>
            <w:r>
              <w:rPr>
                <w:bCs/>
                <w:sz w:val="20"/>
                <w:szCs w:val="20"/>
              </w:rPr>
              <w:t xml:space="preserve"> </w:t>
            </w:r>
            <w:r w:rsidRPr="00CC4C1A">
              <w:rPr>
                <w:bCs/>
                <w:sz w:val="20"/>
                <w:szCs w:val="20"/>
              </w:rPr>
              <w:t>health IT is reflective of the scope of ONC’s authority under t</w:t>
            </w:r>
            <w:r>
              <w:rPr>
                <w:bCs/>
                <w:sz w:val="20"/>
                <w:szCs w:val="20"/>
              </w:rPr>
              <w:t xml:space="preserve">he Public Health Service Act (§ </w:t>
            </w:r>
            <w:r w:rsidRPr="00CC4C1A">
              <w:rPr>
                <w:bCs/>
                <w:sz w:val="20"/>
                <w:szCs w:val="20"/>
              </w:rPr>
              <w:t>3000(5) as “health information technology” is so defined), and represents a broad range of</w:t>
            </w:r>
            <w:r>
              <w:rPr>
                <w:bCs/>
                <w:sz w:val="20"/>
                <w:szCs w:val="20"/>
              </w:rPr>
              <w:t xml:space="preserve"> </w:t>
            </w:r>
            <w:r w:rsidRPr="00CC4C1A">
              <w:rPr>
                <w:bCs/>
                <w:sz w:val="20"/>
                <w:szCs w:val="20"/>
              </w:rPr>
              <w:t>technology, including EHR technology. It also more properly represents some of the technology,</w:t>
            </w:r>
            <w:r w:rsidR="00656D60">
              <w:rPr>
                <w:bCs/>
                <w:sz w:val="20"/>
                <w:szCs w:val="20"/>
              </w:rPr>
              <w:t xml:space="preserve"> </w:t>
            </w:r>
            <w:r w:rsidRPr="00CC4C1A">
              <w:rPr>
                <w:bCs/>
                <w:sz w:val="20"/>
                <w:szCs w:val="20"/>
              </w:rPr>
              <w:t>as noted above, that has been previously certified to editions of certification criteria under the</w:t>
            </w:r>
            <w:r>
              <w:rPr>
                <w:bCs/>
                <w:sz w:val="20"/>
                <w:szCs w:val="20"/>
              </w:rPr>
              <w:t xml:space="preserve"> </w:t>
            </w:r>
            <w:r w:rsidRPr="00CC4C1A">
              <w:rPr>
                <w:bCs/>
                <w:sz w:val="20"/>
                <w:szCs w:val="20"/>
              </w:rPr>
              <w:t xml:space="preserve">ONC Health IT Certification </w:t>
            </w:r>
            <w:r>
              <w:rPr>
                <w:bCs/>
                <w:sz w:val="20"/>
                <w:szCs w:val="20"/>
              </w:rPr>
              <w:t>p</w:t>
            </w:r>
            <w:r w:rsidRPr="00CC4C1A">
              <w:rPr>
                <w:bCs/>
                <w:sz w:val="20"/>
                <w:szCs w:val="20"/>
              </w:rPr>
              <w:t>rogram and may be certified to the proposed 2015 Edition in the</w:t>
            </w:r>
            <w:r>
              <w:rPr>
                <w:bCs/>
                <w:sz w:val="20"/>
                <w:szCs w:val="20"/>
              </w:rPr>
              <w:t xml:space="preserve"> </w:t>
            </w:r>
            <w:r w:rsidRPr="00CC4C1A">
              <w:rPr>
                <w:bCs/>
                <w:sz w:val="20"/>
                <w:szCs w:val="20"/>
              </w:rPr>
              <w:t xml:space="preserve">future. Similarly, </w:t>
            </w:r>
            <w:r w:rsidRPr="00B120BA">
              <w:rPr>
                <w:bCs/>
                <w:sz w:val="20"/>
                <w:szCs w:val="20"/>
                <w:u w:val="single"/>
              </w:rPr>
              <w:t>to make the ONC Health IT Certification Program more open and accessible, we propose to rename the EHR Module as “Health IT Module”</w:t>
            </w:r>
            <w:r w:rsidRPr="00CC4C1A">
              <w:rPr>
                <w:bCs/>
                <w:sz w:val="20"/>
                <w:szCs w:val="20"/>
              </w:rPr>
              <w:t xml:space="preserve"> and will use this term throughout</w:t>
            </w:r>
            <w:r>
              <w:rPr>
                <w:bCs/>
                <w:sz w:val="20"/>
                <w:szCs w:val="20"/>
              </w:rPr>
              <w:t xml:space="preserve"> </w:t>
            </w:r>
            <w:r w:rsidRPr="00CC4C1A">
              <w:rPr>
                <w:bCs/>
                <w:sz w:val="20"/>
                <w:szCs w:val="20"/>
              </w:rPr>
              <w:t xml:space="preserve">the proposed rule. </w:t>
            </w:r>
          </w:p>
        </w:tc>
      </w:tr>
      <w:tr w:rsidR="00E81F36" w:rsidRPr="000E2E8F" w14:paraId="04DE33C7" w14:textId="77777777" w:rsidTr="002B2B5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7EAF2984" w14:textId="77777777" w:rsidR="00E81F36" w:rsidRPr="000E2E8F" w:rsidRDefault="00E81F36" w:rsidP="00E81F36">
            <w:pPr>
              <w:spacing w:after="60" w:line="240" w:lineRule="auto"/>
              <w:rPr>
                <w:b/>
                <w:bCs/>
              </w:rPr>
            </w:pPr>
            <w:r w:rsidRPr="000E2E8F">
              <w:rPr>
                <w:b/>
                <w:bCs/>
              </w:rPr>
              <w:lastRenderedPageBreak/>
              <w:t xml:space="preserve">Public Comment Field – IUS Group 3: </w:t>
            </w:r>
          </w:p>
          <w:p w14:paraId="7BF8E107" w14:textId="5B01FF6E" w:rsidR="00B34035" w:rsidRPr="001C51DB" w:rsidRDefault="00D044A8" w:rsidP="00B34035">
            <w:pPr>
              <w:spacing w:after="120" w:line="240" w:lineRule="atLeast"/>
              <w:rPr>
                <w:rFonts w:asciiTheme="minorHAnsi" w:hAnsiTheme="minorHAnsi"/>
                <w:bCs/>
              </w:rPr>
            </w:pPr>
            <w:r>
              <w:rPr>
                <w:rFonts w:asciiTheme="minorHAnsi" w:hAnsiTheme="minorHAnsi"/>
                <w:bCs/>
              </w:rPr>
              <w:t xml:space="preserve">We agree with the </w:t>
            </w:r>
            <w:r w:rsidR="00BA6E94">
              <w:rPr>
                <w:rFonts w:asciiTheme="minorHAnsi" w:hAnsiTheme="minorHAnsi"/>
                <w:bCs/>
              </w:rPr>
              <w:t>replacement of the term EHR and E</w:t>
            </w:r>
            <w:r w:rsidR="00FC165F">
              <w:rPr>
                <w:rFonts w:asciiTheme="minorHAnsi" w:hAnsiTheme="minorHAnsi"/>
                <w:bCs/>
              </w:rPr>
              <w:t>H</w:t>
            </w:r>
            <w:r w:rsidR="00BA6E94">
              <w:rPr>
                <w:rFonts w:asciiTheme="minorHAnsi" w:hAnsiTheme="minorHAnsi"/>
                <w:bCs/>
              </w:rPr>
              <w:t xml:space="preserve">R </w:t>
            </w:r>
            <w:r w:rsidR="00763A50">
              <w:rPr>
                <w:rFonts w:asciiTheme="minorHAnsi" w:hAnsiTheme="minorHAnsi"/>
                <w:bCs/>
              </w:rPr>
              <w:t xml:space="preserve">Technology with health IT which is more inclusive of a broad range of technologies including EHRs. </w:t>
            </w:r>
            <w:r w:rsidR="0077464C" w:rsidRPr="000E2E8F">
              <w:rPr>
                <w:rFonts w:asciiTheme="minorHAnsi" w:hAnsiTheme="minorHAnsi"/>
                <w:bCs/>
              </w:rPr>
              <w:t xml:space="preserve">We see great potential </w:t>
            </w:r>
            <w:r w:rsidR="001C51DB">
              <w:rPr>
                <w:rFonts w:asciiTheme="minorHAnsi" w:hAnsiTheme="minorHAnsi"/>
                <w:bCs/>
              </w:rPr>
              <w:t>with</w:t>
            </w:r>
            <w:r w:rsidR="0077464C" w:rsidRPr="000E2E8F">
              <w:rPr>
                <w:rFonts w:asciiTheme="minorHAnsi" w:hAnsiTheme="minorHAnsi"/>
                <w:bCs/>
              </w:rPr>
              <w:t xml:space="preserve"> </w:t>
            </w:r>
            <w:r w:rsidR="00D51670">
              <w:rPr>
                <w:rFonts w:asciiTheme="minorHAnsi" w:hAnsiTheme="minorHAnsi"/>
                <w:bCs/>
              </w:rPr>
              <w:t xml:space="preserve">the </w:t>
            </w:r>
            <w:r w:rsidR="00D51670" w:rsidRPr="000E2E8F">
              <w:rPr>
                <w:rFonts w:asciiTheme="minorHAnsi" w:hAnsiTheme="minorHAnsi"/>
                <w:bCs/>
              </w:rPr>
              <w:t xml:space="preserve">approach </w:t>
            </w:r>
            <w:r w:rsidR="00D51670">
              <w:rPr>
                <w:rFonts w:asciiTheme="minorHAnsi" w:hAnsiTheme="minorHAnsi"/>
                <w:bCs/>
              </w:rPr>
              <w:t>described in the NPRM</w:t>
            </w:r>
            <w:r w:rsidR="0077464C" w:rsidRPr="000E2E8F">
              <w:rPr>
                <w:rFonts w:asciiTheme="minorHAnsi" w:hAnsiTheme="minorHAnsi"/>
                <w:bCs/>
              </w:rPr>
              <w:t xml:space="preserve"> to engage a broader set of stakeholders</w:t>
            </w:r>
            <w:r w:rsidR="001C51DB">
              <w:rPr>
                <w:rFonts w:asciiTheme="minorHAnsi" w:hAnsiTheme="minorHAnsi"/>
                <w:bCs/>
              </w:rPr>
              <w:t xml:space="preserve"> beyond </w:t>
            </w:r>
            <w:r w:rsidR="00014B23">
              <w:rPr>
                <w:rFonts w:asciiTheme="minorHAnsi" w:hAnsiTheme="minorHAnsi"/>
                <w:bCs/>
              </w:rPr>
              <w:t>ambulatory and inpatient settings t</w:t>
            </w:r>
            <w:r w:rsidR="0077464C" w:rsidRPr="000E2E8F">
              <w:rPr>
                <w:rFonts w:asciiTheme="minorHAnsi" w:hAnsiTheme="minorHAnsi"/>
                <w:bCs/>
              </w:rPr>
              <w:t>o</w:t>
            </w:r>
            <w:r w:rsidR="00014B23">
              <w:rPr>
                <w:rFonts w:asciiTheme="minorHAnsi" w:hAnsiTheme="minorHAnsi"/>
                <w:bCs/>
              </w:rPr>
              <w:t xml:space="preserve"> include others that must also have systems that meet foundational </w:t>
            </w:r>
            <w:r w:rsidR="0077464C" w:rsidRPr="000E2E8F">
              <w:rPr>
                <w:rFonts w:asciiTheme="minorHAnsi" w:hAnsiTheme="minorHAnsi"/>
                <w:bCs/>
              </w:rPr>
              <w:t>interoperability requirements</w:t>
            </w:r>
            <w:r w:rsidR="001C51DB">
              <w:rPr>
                <w:rFonts w:asciiTheme="minorHAnsi" w:hAnsiTheme="minorHAnsi"/>
                <w:bCs/>
              </w:rPr>
              <w:t xml:space="preserve">. </w:t>
            </w:r>
            <w:r w:rsidR="00D51670">
              <w:rPr>
                <w:rFonts w:asciiTheme="minorHAnsi" w:hAnsiTheme="minorHAnsi"/>
                <w:bCs/>
              </w:rPr>
              <w:t xml:space="preserve"> </w:t>
            </w:r>
            <w:r w:rsidR="001C51DB">
              <w:rPr>
                <w:rFonts w:asciiTheme="minorHAnsi" w:hAnsiTheme="minorHAnsi"/>
                <w:bCs/>
              </w:rPr>
              <w:t>We agree that this approach will allow other programs (e.g. HHS, public, private entities, associations) to reference certification requirements and/or certified health IT</w:t>
            </w:r>
            <w:r w:rsidR="00A90201">
              <w:rPr>
                <w:rFonts w:asciiTheme="minorHAnsi" w:hAnsiTheme="minorHAnsi"/>
                <w:bCs/>
              </w:rPr>
              <w:t xml:space="preserve">.  </w:t>
            </w:r>
            <w:r w:rsidR="001C51DB">
              <w:rPr>
                <w:rFonts w:asciiTheme="minorHAnsi" w:hAnsiTheme="minorHAnsi"/>
                <w:bCs/>
              </w:rPr>
              <w:t>However, w</w:t>
            </w:r>
            <w:r w:rsidR="00B34035" w:rsidRPr="009547D9">
              <w:rPr>
                <w:bCs/>
              </w:rPr>
              <w:t>e are</w:t>
            </w:r>
            <w:r w:rsidR="001C51DB">
              <w:rPr>
                <w:bCs/>
              </w:rPr>
              <w:t xml:space="preserve"> also</w:t>
            </w:r>
            <w:r w:rsidR="00B34035" w:rsidRPr="009547D9">
              <w:rPr>
                <w:bCs/>
              </w:rPr>
              <w:t xml:space="preserve"> aware that the </w:t>
            </w:r>
            <w:r w:rsidR="009547D9" w:rsidRPr="009547D9">
              <w:rPr>
                <w:bCs/>
              </w:rPr>
              <w:t>expansion</w:t>
            </w:r>
            <w:r w:rsidR="00786476">
              <w:rPr>
                <w:bCs/>
              </w:rPr>
              <w:t xml:space="preserve"> of the program</w:t>
            </w:r>
            <w:r w:rsidR="009547D9" w:rsidRPr="009547D9">
              <w:rPr>
                <w:bCs/>
              </w:rPr>
              <w:t xml:space="preserve"> and use of health IT modules will likely increase the </w:t>
            </w:r>
            <w:r w:rsidR="00B34035" w:rsidRPr="009547D9">
              <w:rPr>
                <w:bCs/>
              </w:rPr>
              <w:t xml:space="preserve">complexity of the program drive up costs for certification particularly for those vendors who certify to multiple health IT modules that might be considered a single large system.  </w:t>
            </w:r>
          </w:p>
          <w:p w14:paraId="6056A108" w14:textId="7510768A" w:rsidR="0077464C" w:rsidRPr="000E2E8F" w:rsidRDefault="003800A4" w:rsidP="009B1F45">
            <w:pPr>
              <w:spacing w:after="120" w:line="240" w:lineRule="atLeast"/>
              <w:rPr>
                <w:rFonts w:asciiTheme="minorHAnsi" w:hAnsiTheme="minorHAnsi"/>
                <w:bCs/>
              </w:rPr>
            </w:pPr>
            <w:r>
              <w:rPr>
                <w:rFonts w:asciiTheme="minorHAnsi" w:hAnsiTheme="minorHAnsi"/>
                <w:bCs/>
              </w:rPr>
              <w:t xml:space="preserve">In addition to the other </w:t>
            </w:r>
            <w:r w:rsidR="0019030E">
              <w:rPr>
                <w:rFonts w:asciiTheme="minorHAnsi" w:hAnsiTheme="minorHAnsi"/>
                <w:bCs/>
              </w:rPr>
              <w:t xml:space="preserve">providers and services </w:t>
            </w:r>
            <w:r w:rsidR="00577F08">
              <w:rPr>
                <w:rFonts w:asciiTheme="minorHAnsi" w:hAnsiTheme="minorHAnsi"/>
                <w:bCs/>
              </w:rPr>
              <w:t>identified</w:t>
            </w:r>
            <w:r w:rsidR="00BC14B8">
              <w:rPr>
                <w:rFonts w:asciiTheme="minorHAnsi" w:hAnsiTheme="minorHAnsi"/>
                <w:bCs/>
              </w:rPr>
              <w:t xml:space="preserve"> in this section</w:t>
            </w:r>
            <w:r w:rsidR="00577F08">
              <w:rPr>
                <w:rFonts w:asciiTheme="minorHAnsi" w:hAnsiTheme="minorHAnsi"/>
                <w:bCs/>
              </w:rPr>
              <w:t xml:space="preserve"> </w:t>
            </w:r>
            <w:r w:rsidR="0019030E" w:rsidRPr="0019030E">
              <w:rPr>
                <w:rFonts w:asciiTheme="minorHAnsi" w:hAnsiTheme="minorHAnsi"/>
                <w:bCs/>
              </w:rPr>
              <w:t>(HIEs, HISP, LIS, LTPAC providers, Behavioral Health providers), w</w:t>
            </w:r>
            <w:r w:rsidR="0019030E">
              <w:rPr>
                <w:rFonts w:asciiTheme="minorHAnsi" w:hAnsiTheme="minorHAnsi"/>
                <w:bCs/>
              </w:rPr>
              <w:t>e</w:t>
            </w:r>
            <w:r w:rsidR="0077464C" w:rsidRPr="000E2E8F">
              <w:rPr>
                <w:rFonts w:asciiTheme="minorHAnsi" w:hAnsiTheme="minorHAnsi"/>
                <w:bCs/>
              </w:rPr>
              <w:t xml:space="preserve"> offer </w:t>
            </w:r>
            <w:r>
              <w:rPr>
                <w:rFonts w:asciiTheme="minorHAnsi" w:hAnsiTheme="minorHAnsi"/>
                <w:bCs/>
              </w:rPr>
              <w:t>additional</w:t>
            </w:r>
            <w:r w:rsidR="00BC14B8">
              <w:rPr>
                <w:rFonts w:asciiTheme="minorHAnsi" w:hAnsiTheme="minorHAnsi"/>
                <w:bCs/>
              </w:rPr>
              <w:t xml:space="preserve"> </w:t>
            </w:r>
            <w:r w:rsidR="0077464C" w:rsidRPr="000E2E8F">
              <w:rPr>
                <w:rFonts w:asciiTheme="minorHAnsi" w:hAnsiTheme="minorHAnsi"/>
                <w:bCs/>
              </w:rPr>
              <w:t>examples of</w:t>
            </w:r>
            <w:r>
              <w:rPr>
                <w:rFonts w:asciiTheme="minorHAnsi" w:hAnsiTheme="minorHAnsi"/>
                <w:bCs/>
              </w:rPr>
              <w:t xml:space="preserve"> </w:t>
            </w:r>
            <w:r w:rsidR="0077464C" w:rsidRPr="000E2E8F">
              <w:rPr>
                <w:rFonts w:asciiTheme="minorHAnsi" w:hAnsiTheme="minorHAnsi"/>
                <w:bCs/>
              </w:rPr>
              <w:t xml:space="preserve">providers and services that </w:t>
            </w:r>
            <w:r w:rsidR="0077464C" w:rsidRPr="007D2C45">
              <w:rPr>
                <w:rFonts w:asciiTheme="minorHAnsi" w:hAnsiTheme="minorHAnsi"/>
                <w:bCs/>
              </w:rPr>
              <w:t>send and receive health information</w:t>
            </w:r>
            <w:r w:rsidR="00BC14B8">
              <w:rPr>
                <w:rFonts w:asciiTheme="minorHAnsi" w:hAnsiTheme="minorHAnsi"/>
                <w:bCs/>
              </w:rPr>
              <w:t xml:space="preserve"> </w:t>
            </w:r>
            <w:r w:rsidR="00014B23">
              <w:rPr>
                <w:rFonts w:asciiTheme="minorHAnsi" w:hAnsiTheme="minorHAnsi"/>
                <w:bCs/>
              </w:rPr>
              <w:t xml:space="preserve">and may find the Certification requirements/modules described in the NPRM applicable to them: </w:t>
            </w:r>
          </w:p>
          <w:p w14:paraId="766C9B47" w14:textId="332F147B" w:rsidR="0077464C" w:rsidRPr="000E2E8F" w:rsidRDefault="0077464C" w:rsidP="009B1F45">
            <w:pPr>
              <w:pStyle w:val="ListParagraph"/>
              <w:numPr>
                <w:ilvl w:val="0"/>
                <w:numId w:val="9"/>
              </w:numPr>
              <w:spacing w:after="120" w:line="240" w:lineRule="atLeast"/>
              <w:rPr>
                <w:rFonts w:asciiTheme="minorHAnsi" w:hAnsiTheme="minorHAnsi"/>
                <w:bCs/>
              </w:rPr>
            </w:pPr>
            <w:r w:rsidRPr="000E2E8F">
              <w:rPr>
                <w:rFonts w:asciiTheme="minorHAnsi" w:hAnsiTheme="minorHAnsi"/>
                <w:bCs/>
              </w:rPr>
              <w:t>Service</w:t>
            </w:r>
            <w:r w:rsidR="008279CE" w:rsidRPr="000E2E8F">
              <w:rPr>
                <w:rFonts w:asciiTheme="minorHAnsi" w:hAnsiTheme="minorHAnsi"/>
                <w:bCs/>
              </w:rPr>
              <w:t>s: Pharmacy information systems,</w:t>
            </w:r>
            <w:r w:rsidR="00CA335F" w:rsidRPr="000E2E8F">
              <w:rPr>
                <w:rFonts w:asciiTheme="minorHAnsi" w:hAnsiTheme="minorHAnsi"/>
                <w:bCs/>
              </w:rPr>
              <w:t xml:space="preserve"> </w:t>
            </w:r>
            <w:r w:rsidRPr="000E2E8F">
              <w:rPr>
                <w:rFonts w:asciiTheme="minorHAnsi" w:hAnsiTheme="minorHAnsi"/>
                <w:bCs/>
              </w:rPr>
              <w:t>long-term services and support providers (transport, meals, care management services, etc.), ambulance providers, blood banks</w:t>
            </w:r>
          </w:p>
          <w:p w14:paraId="3F8DD7CC" w14:textId="13E918AB" w:rsidR="0077464C" w:rsidRPr="000E2E8F" w:rsidRDefault="0077464C" w:rsidP="009B1F45">
            <w:pPr>
              <w:pStyle w:val="ListParagraph"/>
              <w:numPr>
                <w:ilvl w:val="0"/>
                <w:numId w:val="9"/>
              </w:numPr>
              <w:spacing w:after="120" w:line="240" w:lineRule="atLeast"/>
              <w:rPr>
                <w:rFonts w:asciiTheme="minorHAnsi" w:hAnsiTheme="minorHAnsi"/>
                <w:bCs/>
              </w:rPr>
            </w:pPr>
            <w:r w:rsidRPr="000E2E8F">
              <w:rPr>
                <w:rFonts w:asciiTheme="minorHAnsi" w:hAnsiTheme="minorHAnsi"/>
                <w:bCs/>
              </w:rPr>
              <w:t>Other providers:  End-stage Renal Disease Facilities, Free-standing Cancer Hospitals, Visiting Nurse Services</w:t>
            </w:r>
            <w:r w:rsidR="00E460D1" w:rsidRPr="000E2E8F">
              <w:rPr>
                <w:rFonts w:asciiTheme="minorHAnsi" w:hAnsiTheme="minorHAnsi"/>
                <w:bCs/>
              </w:rPr>
              <w:t>, O</w:t>
            </w:r>
            <w:r w:rsidR="00D20413" w:rsidRPr="000E2E8F">
              <w:rPr>
                <w:rFonts w:asciiTheme="minorHAnsi" w:hAnsiTheme="minorHAnsi"/>
                <w:bCs/>
              </w:rPr>
              <w:t>utpatient Surgical Centers</w:t>
            </w:r>
          </w:p>
          <w:p w14:paraId="3F9C8141" w14:textId="77777777" w:rsidR="0077464C" w:rsidRPr="000E2E8F" w:rsidRDefault="0077464C" w:rsidP="009B1F45">
            <w:pPr>
              <w:pStyle w:val="ListParagraph"/>
              <w:numPr>
                <w:ilvl w:val="0"/>
                <w:numId w:val="9"/>
              </w:numPr>
              <w:spacing w:after="120" w:line="240" w:lineRule="atLeast"/>
              <w:rPr>
                <w:rFonts w:asciiTheme="minorHAnsi" w:hAnsiTheme="minorHAnsi"/>
                <w:bCs/>
              </w:rPr>
            </w:pPr>
            <w:r w:rsidRPr="000E2E8F">
              <w:rPr>
                <w:rFonts w:asciiTheme="minorHAnsi" w:hAnsiTheme="minorHAnsi"/>
                <w:bCs/>
              </w:rPr>
              <w:t>Devices/Device Makers: Telehealth and monitoring, personal health devices (e.g. bands, watches, monitors), biomedical tech devices (e.g pacemakers)</w:t>
            </w:r>
          </w:p>
          <w:p w14:paraId="721773C6" w14:textId="77777777" w:rsidR="0077464C" w:rsidRPr="000E2E8F" w:rsidRDefault="0077464C" w:rsidP="009B1F45">
            <w:pPr>
              <w:pStyle w:val="ListParagraph"/>
              <w:numPr>
                <w:ilvl w:val="0"/>
                <w:numId w:val="9"/>
              </w:numPr>
              <w:spacing w:after="120" w:line="240" w:lineRule="atLeast"/>
              <w:rPr>
                <w:rFonts w:asciiTheme="minorHAnsi" w:hAnsiTheme="minorHAnsi"/>
                <w:bCs/>
              </w:rPr>
            </w:pPr>
            <w:r w:rsidRPr="000E2E8F">
              <w:rPr>
                <w:rFonts w:asciiTheme="minorHAnsi" w:hAnsiTheme="minorHAnsi"/>
                <w:bCs/>
              </w:rPr>
              <w:t>Health and Wellness:  Personal Health Record Systems, Health and Fitness Centers, free-standing Weight-loss Centers</w:t>
            </w:r>
          </w:p>
          <w:p w14:paraId="1073E4FA" w14:textId="53849A8D" w:rsidR="0077464C" w:rsidRPr="000E2E8F" w:rsidRDefault="000C2907" w:rsidP="009B1F45">
            <w:pPr>
              <w:spacing w:after="120" w:line="240" w:lineRule="atLeast"/>
              <w:rPr>
                <w:rFonts w:asciiTheme="minorHAnsi" w:hAnsiTheme="minorHAnsi"/>
                <w:bCs/>
              </w:rPr>
            </w:pPr>
            <w:r w:rsidRPr="00D41012">
              <w:rPr>
                <w:rFonts w:asciiTheme="minorHAnsi" w:hAnsiTheme="minorHAnsi"/>
                <w:bCs/>
              </w:rPr>
              <w:t xml:space="preserve">We encourage ONC and HHS agencies to explore the levers/authorities available to them to discourage bad behaviors such as proactive blocking of information sharing where the practice creates a barrier to advancing interoperable exchange.   </w:t>
            </w:r>
            <w:r w:rsidR="0077464C" w:rsidRPr="00D41012">
              <w:rPr>
                <w:rFonts w:asciiTheme="minorHAnsi" w:hAnsiTheme="minorHAnsi"/>
                <w:bCs/>
              </w:rPr>
              <w:t>We agree that</w:t>
            </w:r>
            <w:r w:rsidR="00191C97" w:rsidRPr="00D41012">
              <w:rPr>
                <w:rFonts w:asciiTheme="minorHAnsi" w:hAnsiTheme="minorHAnsi"/>
                <w:bCs/>
              </w:rPr>
              <w:t xml:space="preserve"> one of the actions to discourage bad behaviors should include a process </w:t>
            </w:r>
            <w:r w:rsidR="0077464C" w:rsidRPr="00D41012">
              <w:rPr>
                <w:rFonts w:asciiTheme="minorHAnsi" w:hAnsiTheme="minorHAnsi"/>
                <w:bCs/>
              </w:rPr>
              <w:t>to decertify health IT</w:t>
            </w:r>
            <w:r w:rsidR="00191C97" w:rsidRPr="00D41012">
              <w:rPr>
                <w:rFonts w:asciiTheme="minorHAnsi" w:hAnsiTheme="minorHAnsi"/>
                <w:bCs/>
              </w:rPr>
              <w:t>.</w:t>
            </w:r>
            <w:r w:rsidR="00191C97">
              <w:rPr>
                <w:rFonts w:asciiTheme="minorHAnsi" w:hAnsiTheme="minorHAnsi"/>
                <w:bCs/>
              </w:rPr>
              <w:t xml:space="preserve"> </w:t>
            </w:r>
            <w:r w:rsidR="001D5970">
              <w:rPr>
                <w:rFonts w:asciiTheme="minorHAnsi" w:hAnsiTheme="minorHAnsi"/>
                <w:bCs/>
              </w:rPr>
              <w:t xml:space="preserve">  </w:t>
            </w:r>
            <w:r w:rsidR="00B3575F">
              <w:rPr>
                <w:rFonts w:asciiTheme="minorHAnsi" w:hAnsiTheme="minorHAnsi"/>
                <w:bCs/>
              </w:rPr>
              <w:t xml:space="preserve"> </w:t>
            </w:r>
            <w:r w:rsidR="0077464C" w:rsidRPr="000E2E8F">
              <w:rPr>
                <w:rFonts w:asciiTheme="minorHAnsi" w:hAnsiTheme="minorHAnsi"/>
                <w:bCs/>
              </w:rPr>
              <w:t xml:space="preserve">We also recognize that by doing so, it will create tension and apprehension in the industry that will need to be considered and addressed (e.g. escape clauses if a system is decertified, recognition of the disruption and expense, etc.). </w:t>
            </w:r>
            <w:r w:rsidR="008917CA">
              <w:rPr>
                <w:rFonts w:asciiTheme="minorHAnsi" w:hAnsiTheme="minorHAnsi"/>
                <w:bCs/>
              </w:rPr>
              <w:t>To be transparent, ONC sh</w:t>
            </w:r>
            <w:r w:rsidR="0077464C" w:rsidRPr="000E2E8F">
              <w:rPr>
                <w:rFonts w:asciiTheme="minorHAnsi" w:hAnsiTheme="minorHAnsi"/>
                <w:bCs/>
              </w:rPr>
              <w:t xml:space="preserve">ould </w:t>
            </w:r>
            <w:r w:rsidR="008917CA">
              <w:rPr>
                <w:rFonts w:asciiTheme="minorHAnsi" w:hAnsiTheme="minorHAnsi"/>
                <w:bCs/>
              </w:rPr>
              <w:t>be open about the</w:t>
            </w:r>
            <w:r w:rsidR="00C67C4C">
              <w:rPr>
                <w:rFonts w:asciiTheme="minorHAnsi" w:hAnsiTheme="minorHAnsi"/>
                <w:bCs/>
              </w:rPr>
              <w:t xml:space="preserve"> types of</w:t>
            </w:r>
            <w:r w:rsidR="008917CA">
              <w:rPr>
                <w:rFonts w:asciiTheme="minorHAnsi" w:hAnsiTheme="minorHAnsi"/>
                <w:bCs/>
              </w:rPr>
              <w:t xml:space="preserve"> </w:t>
            </w:r>
            <w:r w:rsidR="0077464C" w:rsidRPr="000E2E8F">
              <w:rPr>
                <w:rFonts w:asciiTheme="minorHAnsi" w:hAnsiTheme="minorHAnsi"/>
                <w:bCs/>
              </w:rPr>
              <w:t xml:space="preserve">“bad behaviors” that discourage sharing of information to </w:t>
            </w:r>
            <w:r w:rsidR="0035235B">
              <w:rPr>
                <w:rFonts w:asciiTheme="minorHAnsi" w:hAnsiTheme="minorHAnsi"/>
                <w:bCs/>
              </w:rPr>
              <w:t>inform the industry.</w:t>
            </w:r>
            <w:r w:rsidR="0077464C" w:rsidRPr="000E2E8F">
              <w:rPr>
                <w:rFonts w:asciiTheme="minorHAnsi" w:hAnsiTheme="minorHAnsi"/>
                <w:bCs/>
              </w:rPr>
              <w:t xml:space="preserve"> </w:t>
            </w:r>
          </w:p>
          <w:p w14:paraId="039EF9B4" w14:textId="7B7D973C" w:rsidR="0077464C" w:rsidRPr="000E2E8F" w:rsidRDefault="0077464C" w:rsidP="00811830">
            <w:pPr>
              <w:spacing w:after="120" w:line="240" w:lineRule="atLeast"/>
              <w:rPr>
                <w:rFonts w:asciiTheme="minorHAnsi" w:hAnsiTheme="minorHAnsi"/>
                <w:bCs/>
              </w:rPr>
            </w:pPr>
            <w:r w:rsidRPr="000E2E8F">
              <w:rPr>
                <w:rFonts w:asciiTheme="minorHAnsi" w:hAnsiTheme="minorHAnsi"/>
                <w:bCs/>
              </w:rPr>
              <w:t>While decertification of health IT systems could be handled by the ONC-ACB with testing, ONC could also investigate a reporting process.  We recommend the reporting process not be limited to vendors but also include providers/services that b</w:t>
            </w:r>
            <w:r w:rsidR="00DE56CE">
              <w:rPr>
                <w:rFonts w:asciiTheme="minorHAnsi" w:hAnsiTheme="minorHAnsi"/>
                <w:bCs/>
              </w:rPr>
              <w:t>lock</w:t>
            </w:r>
            <w:r w:rsidRPr="000E2E8F">
              <w:rPr>
                <w:rFonts w:asciiTheme="minorHAnsi" w:hAnsiTheme="minorHAnsi"/>
                <w:bCs/>
              </w:rPr>
              <w:t xml:space="preserve"> </w:t>
            </w:r>
            <w:r w:rsidR="006D030C">
              <w:rPr>
                <w:rFonts w:asciiTheme="minorHAnsi" w:hAnsiTheme="minorHAnsi"/>
                <w:bCs/>
              </w:rPr>
              <w:t>sharing or engage in bad behaviors</w:t>
            </w:r>
            <w:r w:rsidRPr="000E2E8F">
              <w:rPr>
                <w:rFonts w:asciiTheme="minorHAnsi" w:hAnsiTheme="minorHAnsi"/>
                <w:bCs/>
              </w:rPr>
              <w:t xml:space="preserve">.  The process needs to be sensitive enough to detect or differentiate when sharing is blocked/limited due to </w:t>
            </w:r>
            <w:r w:rsidR="00811830">
              <w:rPr>
                <w:rFonts w:asciiTheme="minorHAnsi" w:hAnsiTheme="minorHAnsi"/>
                <w:bCs/>
              </w:rPr>
              <w:t xml:space="preserve">legitimate </w:t>
            </w:r>
            <w:r w:rsidRPr="000E2E8F">
              <w:rPr>
                <w:rFonts w:asciiTheme="minorHAnsi" w:hAnsiTheme="minorHAnsi"/>
                <w:bCs/>
              </w:rPr>
              <w:t xml:space="preserve">factors (e.g. limited by regulation due to sensitive nature of data; limitations in technology and/or standards with data segmentation that doesn’t allow parsing at a granular level thus requiring non-disclosure at a document or record set level).  </w:t>
            </w:r>
          </w:p>
        </w:tc>
      </w:tr>
    </w:tbl>
    <w:p w14:paraId="04B8C9B0" w14:textId="77777777" w:rsidR="0077464C" w:rsidRDefault="0077464C"/>
    <w:p w14:paraId="2922A665" w14:textId="77777777" w:rsidR="00181BE2" w:rsidRDefault="00181BE2"/>
    <w:p w14:paraId="23759C9E" w14:textId="77777777" w:rsidR="0077464C" w:rsidRDefault="0077464C"/>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76062B" w:rsidRPr="00E86D42" w14:paraId="519F2CD1" w14:textId="77777777"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31562A3D" w14:textId="77777777" w:rsidR="0076062B" w:rsidRPr="00E86D42" w:rsidRDefault="0076062B" w:rsidP="00805E1A">
            <w:pPr>
              <w:spacing w:after="0" w:line="240" w:lineRule="auto"/>
              <w:rPr>
                <w:b/>
                <w:bCs/>
                <w:color w:val="FFFFFF"/>
              </w:rPr>
            </w:pPr>
            <w:r w:rsidRPr="00973968">
              <w:rPr>
                <w:b/>
                <w:bCs/>
                <w:color w:val="FFFFFF"/>
              </w:rPr>
              <w:t>B. Modifications to the ONC Health IT Certification Program</w:t>
            </w:r>
            <w:r>
              <w:rPr>
                <w:b/>
                <w:bCs/>
                <w:color w:val="FFFFFF"/>
              </w:rPr>
              <w:t xml:space="preserve">  </w:t>
            </w:r>
            <w:r>
              <w:rPr>
                <w:b/>
                <w:bCs/>
                <w:color w:val="FFFF00"/>
              </w:rPr>
              <w:t>Page #251</w:t>
            </w:r>
          </w:p>
        </w:tc>
      </w:tr>
      <w:tr w:rsidR="0076062B" w:rsidRPr="00E86D42" w14:paraId="4BF947B1" w14:textId="77777777" w:rsidTr="00805E1A">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628732C7" w14:textId="12EA385B" w:rsidR="0076062B" w:rsidRPr="00973968" w:rsidRDefault="0076062B" w:rsidP="00805E1A">
            <w:pPr>
              <w:spacing w:after="0"/>
              <w:rPr>
                <w:bCs/>
                <w:sz w:val="20"/>
                <w:szCs w:val="20"/>
              </w:rPr>
            </w:pPr>
            <w:r w:rsidRPr="00973968">
              <w:rPr>
                <w:bCs/>
                <w:sz w:val="20"/>
                <w:szCs w:val="20"/>
              </w:rPr>
              <w:t>In the Voluntary Edition proposed rule (79 FR 10929-30) we recited our authority and the</w:t>
            </w:r>
            <w:r>
              <w:rPr>
                <w:bCs/>
                <w:sz w:val="20"/>
                <w:szCs w:val="20"/>
              </w:rPr>
              <w:t xml:space="preserve"> </w:t>
            </w:r>
            <w:r w:rsidRPr="00973968">
              <w:rPr>
                <w:bCs/>
                <w:sz w:val="20"/>
                <w:szCs w:val="20"/>
              </w:rPr>
              <w:t>history of the ONC Health IT Certification Program, including multiple requests for comment</w:t>
            </w:r>
            <w:r>
              <w:rPr>
                <w:bCs/>
                <w:sz w:val="20"/>
                <w:szCs w:val="20"/>
              </w:rPr>
              <w:t xml:space="preserve"> </w:t>
            </w:r>
            <w:r w:rsidRPr="00973968">
              <w:rPr>
                <w:bCs/>
                <w:sz w:val="20"/>
                <w:szCs w:val="20"/>
              </w:rPr>
              <w:t xml:space="preserve">and significant feedback on </w:t>
            </w:r>
            <w:r w:rsidRPr="0016339B">
              <w:rPr>
                <w:bCs/>
                <w:sz w:val="20"/>
                <w:szCs w:val="20"/>
                <w:u w:val="single"/>
              </w:rPr>
              <w:t>making the program more accessible to health IT beyond E</w:t>
            </w:r>
            <w:r w:rsidR="00744F40" w:rsidRPr="0016339B">
              <w:rPr>
                <w:bCs/>
                <w:sz w:val="20"/>
                <w:szCs w:val="20"/>
                <w:u w:val="single"/>
              </w:rPr>
              <w:t>H</w:t>
            </w:r>
            <w:r w:rsidRPr="0016339B">
              <w:rPr>
                <w:bCs/>
                <w:sz w:val="20"/>
                <w:szCs w:val="20"/>
                <w:u w:val="single"/>
              </w:rPr>
              <w:t>R technology and health care settings and practices not directly tied to the EHR Incentive Programs</w:t>
            </w:r>
            <w:r w:rsidRPr="00973968">
              <w:rPr>
                <w:bCs/>
                <w:sz w:val="20"/>
                <w:szCs w:val="20"/>
              </w:rPr>
              <w:t>. With consideration of stakeholder feedback and our policy goals, we attempted to</w:t>
            </w:r>
            <w:r>
              <w:rPr>
                <w:bCs/>
                <w:sz w:val="20"/>
                <w:szCs w:val="20"/>
              </w:rPr>
              <w:t xml:space="preserve"> </w:t>
            </w:r>
            <w:r w:rsidRPr="00973968">
              <w:rPr>
                <w:bCs/>
                <w:sz w:val="20"/>
                <w:szCs w:val="20"/>
              </w:rPr>
              <w:t>make the ONC Health IT Certification Program more open and accessible through a proposal in</w:t>
            </w:r>
            <w:r>
              <w:rPr>
                <w:bCs/>
                <w:sz w:val="20"/>
                <w:szCs w:val="20"/>
              </w:rPr>
              <w:t xml:space="preserve"> </w:t>
            </w:r>
            <w:r w:rsidRPr="00973968">
              <w:rPr>
                <w:bCs/>
                <w:sz w:val="20"/>
                <w:szCs w:val="20"/>
              </w:rPr>
              <w:t>the Voluntary Edition proposed rule (79 FR 10918-20) to create MU and non-MU EHR</w:t>
            </w:r>
          </w:p>
          <w:p w14:paraId="77B3E8DC" w14:textId="77777777" w:rsidR="0076062B" w:rsidRPr="00BD6E18" w:rsidRDefault="0076062B" w:rsidP="00805E1A">
            <w:pPr>
              <w:spacing w:after="0"/>
              <w:rPr>
                <w:bCs/>
                <w:sz w:val="20"/>
                <w:szCs w:val="20"/>
              </w:rPr>
            </w:pPr>
            <w:r w:rsidRPr="00973968">
              <w:rPr>
                <w:bCs/>
                <w:sz w:val="20"/>
                <w:szCs w:val="20"/>
              </w:rPr>
              <w:t xml:space="preserve">Modules. </w:t>
            </w:r>
            <w:r>
              <w:rPr>
                <w:bCs/>
                <w:sz w:val="20"/>
                <w:szCs w:val="20"/>
              </w:rPr>
              <w:t>(Continued on page #251)</w:t>
            </w:r>
          </w:p>
        </w:tc>
      </w:tr>
      <w:tr w:rsidR="00E81F36" w:rsidRPr="00E81F36" w14:paraId="5293E3A3" w14:textId="77777777"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0659DA67" w14:textId="77777777" w:rsidR="0005791E" w:rsidRPr="00C00E33" w:rsidRDefault="0005791E" w:rsidP="0005791E">
            <w:pPr>
              <w:spacing w:after="60" w:line="240" w:lineRule="auto"/>
              <w:rPr>
                <w:b/>
                <w:bCs/>
                <w:szCs w:val="20"/>
              </w:rPr>
            </w:pPr>
            <w:r w:rsidRPr="00C00E33">
              <w:rPr>
                <w:b/>
                <w:bCs/>
                <w:szCs w:val="20"/>
              </w:rPr>
              <w:lastRenderedPageBreak/>
              <w:t xml:space="preserve">Public Comment Field – IUS Group 3: </w:t>
            </w:r>
          </w:p>
          <w:p w14:paraId="26457B32" w14:textId="7FA4674B" w:rsidR="0005124E" w:rsidRPr="0028712E" w:rsidRDefault="00187FF4" w:rsidP="00531345">
            <w:pPr>
              <w:spacing w:after="60" w:line="240" w:lineRule="auto"/>
              <w:rPr>
                <w:bCs/>
                <w:szCs w:val="20"/>
              </w:rPr>
            </w:pPr>
            <w:r w:rsidRPr="00C00E33">
              <w:rPr>
                <w:bCs/>
                <w:szCs w:val="20"/>
              </w:rPr>
              <w:t>The workgroup agrees that the ONC Health IT Certification P</w:t>
            </w:r>
            <w:r w:rsidR="00000FA5" w:rsidRPr="00C00E33">
              <w:rPr>
                <w:bCs/>
                <w:szCs w:val="20"/>
              </w:rPr>
              <w:t>rogram should be accessible to h</w:t>
            </w:r>
            <w:r w:rsidRPr="00C00E33">
              <w:rPr>
                <w:bCs/>
                <w:szCs w:val="20"/>
              </w:rPr>
              <w:t>ealth IT beyond EHR technology, and healthcare setting and practices not directly tied to the EHR</w:t>
            </w:r>
            <w:r w:rsidR="00026918" w:rsidRPr="00C00E33">
              <w:rPr>
                <w:bCs/>
                <w:szCs w:val="20"/>
              </w:rPr>
              <w:t xml:space="preserve"> Incentive Programs.</w:t>
            </w:r>
            <w:r w:rsidRPr="00C00E33">
              <w:rPr>
                <w:bCs/>
                <w:szCs w:val="20"/>
              </w:rPr>
              <w:t xml:space="preserve"> Removing the EHR Module definition and replacing it with a Health IT Module definition </w:t>
            </w:r>
            <w:r w:rsidR="003E210C" w:rsidRPr="00C00E33">
              <w:rPr>
                <w:bCs/>
                <w:szCs w:val="20"/>
              </w:rPr>
              <w:t>is m</w:t>
            </w:r>
            <w:r w:rsidR="00026918" w:rsidRPr="00C00E33">
              <w:rPr>
                <w:bCs/>
                <w:szCs w:val="20"/>
              </w:rPr>
              <w:t xml:space="preserve">ore inclusive and </w:t>
            </w:r>
            <w:r w:rsidR="008D281D">
              <w:rPr>
                <w:bCs/>
                <w:szCs w:val="20"/>
              </w:rPr>
              <w:t>accommodates</w:t>
            </w:r>
            <w:r w:rsidR="00026918" w:rsidRPr="00C00E33">
              <w:rPr>
                <w:bCs/>
                <w:szCs w:val="20"/>
              </w:rPr>
              <w:t xml:space="preserve"> this</w:t>
            </w:r>
            <w:r w:rsidR="003E210C" w:rsidRPr="00C00E33">
              <w:rPr>
                <w:bCs/>
                <w:szCs w:val="20"/>
              </w:rPr>
              <w:t xml:space="preserve"> shift. </w:t>
            </w:r>
            <w:r w:rsidR="00531345" w:rsidRPr="002A3405">
              <w:t>The workgroup discussed the need for individual modules to be interoperable with one another and not just stand alone. However, the workgroup recognizes that testing for this is difficult and does not see a practical way to incorporate this into the certification program.</w:t>
            </w:r>
          </w:p>
        </w:tc>
      </w:tr>
    </w:tbl>
    <w:p w14:paraId="22F771EF" w14:textId="77777777" w:rsidR="0077464C" w:rsidRDefault="0077464C"/>
    <w:p w14:paraId="31FA4CAD" w14:textId="77777777" w:rsidR="00A61034" w:rsidRDefault="00A61034"/>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77464C" w:rsidRPr="00E86D42" w14:paraId="345DAECA" w14:textId="77777777" w:rsidTr="002B2B5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4EB5ED4E" w14:textId="77777777" w:rsidR="0077464C" w:rsidRPr="00E86D42" w:rsidRDefault="0077464C" w:rsidP="002B2B52">
            <w:pPr>
              <w:spacing w:after="0" w:line="240" w:lineRule="auto"/>
              <w:rPr>
                <w:b/>
                <w:bCs/>
                <w:color w:val="FFFFFF"/>
              </w:rPr>
            </w:pPr>
            <w:r w:rsidRPr="00B32F95">
              <w:rPr>
                <w:b/>
                <w:bCs/>
                <w:color w:val="FFFFFF"/>
              </w:rPr>
              <w:t>CEHRT Definition</w:t>
            </w:r>
            <w:r>
              <w:rPr>
                <w:b/>
                <w:bCs/>
                <w:color w:val="FFFFFF"/>
              </w:rPr>
              <w:t xml:space="preserve"> </w:t>
            </w:r>
            <w:r w:rsidRPr="00DD52FF">
              <w:rPr>
                <w:b/>
                <w:bCs/>
                <w:color w:val="FFFF00"/>
              </w:rPr>
              <w:t>Page #10, Page #244</w:t>
            </w:r>
          </w:p>
        </w:tc>
      </w:tr>
      <w:tr w:rsidR="0077464C" w:rsidRPr="00E86D42" w14:paraId="126D98F5" w14:textId="77777777" w:rsidTr="002B2B52">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7DD29366" w14:textId="77777777" w:rsidR="0077464C" w:rsidRPr="00BD6E18" w:rsidRDefault="0077464C" w:rsidP="002B2B52">
            <w:pPr>
              <w:spacing w:after="0"/>
              <w:rPr>
                <w:bCs/>
                <w:sz w:val="20"/>
                <w:szCs w:val="20"/>
              </w:rPr>
            </w:pPr>
            <w:r w:rsidRPr="00B32F95">
              <w:rPr>
                <w:bCs/>
                <w:sz w:val="20"/>
                <w:szCs w:val="20"/>
              </w:rPr>
              <w:t xml:space="preserve">We propose to </w:t>
            </w:r>
            <w:r w:rsidRPr="00A44F5C">
              <w:rPr>
                <w:bCs/>
                <w:sz w:val="20"/>
                <w:szCs w:val="20"/>
                <w:u w:val="single"/>
              </w:rPr>
              <w:t>remove the Certified EHR Technology (CEHRT) definition</w:t>
            </w:r>
            <w:r w:rsidRPr="00B32F95">
              <w:rPr>
                <w:bCs/>
                <w:sz w:val="20"/>
                <w:szCs w:val="20"/>
              </w:rPr>
              <w:t xml:space="preserve"> from §170.102 for the following reasons. The CEHRT definition has always been defined in a manner</w:t>
            </w:r>
            <w:r>
              <w:rPr>
                <w:bCs/>
                <w:sz w:val="20"/>
                <w:szCs w:val="20"/>
              </w:rPr>
              <w:t xml:space="preserve"> </w:t>
            </w:r>
            <w:r w:rsidRPr="00B32F95">
              <w:rPr>
                <w:bCs/>
                <w:sz w:val="20"/>
                <w:szCs w:val="20"/>
              </w:rPr>
              <w:t xml:space="preserve">that supports the EHR Incentive Programs. As such, the </w:t>
            </w:r>
            <w:r w:rsidRPr="00A44F5C">
              <w:rPr>
                <w:bCs/>
                <w:sz w:val="20"/>
                <w:szCs w:val="20"/>
                <w:u w:val="single"/>
              </w:rPr>
              <w:t>CEHRT definition would more appropriately reside solely within the EHR Incentive Programs regulations.</w:t>
            </w:r>
            <w:r>
              <w:rPr>
                <w:bCs/>
                <w:sz w:val="20"/>
                <w:szCs w:val="20"/>
              </w:rPr>
              <w:t xml:space="preserve"> (Continued on page #10)</w:t>
            </w:r>
          </w:p>
        </w:tc>
      </w:tr>
      <w:tr w:rsidR="0077464C" w:rsidRPr="00E86D42" w14:paraId="3BD36EA8" w14:textId="77777777" w:rsidTr="002B2B5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3CD7DBBB" w14:textId="77777777" w:rsidR="0005791E" w:rsidRPr="00F04301" w:rsidRDefault="0005791E" w:rsidP="0005791E">
            <w:pPr>
              <w:spacing w:after="60" w:line="240" w:lineRule="auto"/>
              <w:rPr>
                <w:b/>
                <w:bCs/>
                <w:szCs w:val="20"/>
              </w:rPr>
            </w:pPr>
            <w:r w:rsidRPr="00F04301">
              <w:rPr>
                <w:b/>
                <w:bCs/>
                <w:szCs w:val="20"/>
              </w:rPr>
              <w:t xml:space="preserve">Public Comment Field – IUS Group 3: </w:t>
            </w:r>
          </w:p>
          <w:p w14:paraId="14F95235" w14:textId="3210D8C4" w:rsidR="0077464C" w:rsidRPr="00E81F36" w:rsidRDefault="002D65C7" w:rsidP="00D64754">
            <w:pPr>
              <w:spacing w:after="60" w:line="240" w:lineRule="auto"/>
              <w:rPr>
                <w:rFonts w:ascii="Times New Roman" w:hAnsi="Times New Roman"/>
                <w:bCs/>
                <w:sz w:val="20"/>
                <w:szCs w:val="20"/>
              </w:rPr>
            </w:pPr>
            <w:r w:rsidRPr="00C00E33">
              <w:rPr>
                <w:bCs/>
                <w:szCs w:val="20"/>
              </w:rPr>
              <w:t>The workgroup agrees that the ONC Health IT Certification Program should be accessible to health IT beyond EHR technology, and</w:t>
            </w:r>
            <w:r w:rsidR="00A44F5C">
              <w:rPr>
                <w:bCs/>
                <w:szCs w:val="20"/>
              </w:rPr>
              <w:t xml:space="preserve"> to</w:t>
            </w:r>
            <w:r w:rsidRPr="00C00E33">
              <w:rPr>
                <w:bCs/>
                <w:szCs w:val="20"/>
              </w:rPr>
              <w:t xml:space="preserve"> healthcare setting and practices not directly tied to the EHR Incentive Programs. </w:t>
            </w:r>
            <w:r w:rsidR="009309AF">
              <w:rPr>
                <w:bCs/>
                <w:szCs w:val="20"/>
              </w:rPr>
              <w:t xml:space="preserve"> We agree with the</w:t>
            </w:r>
            <w:r w:rsidR="00BC5FA0">
              <w:rPr>
                <w:bCs/>
                <w:szCs w:val="20"/>
              </w:rPr>
              <w:t xml:space="preserve"> approach that regulatory provisions should be defined by the rulemaking authority for the program.  </w:t>
            </w:r>
            <w:r w:rsidR="009309AF">
              <w:rPr>
                <w:bCs/>
                <w:szCs w:val="20"/>
              </w:rPr>
              <w:t xml:space="preserve"> </w:t>
            </w:r>
            <w:r w:rsidR="0077464C" w:rsidRPr="00667F5F">
              <w:rPr>
                <w:rFonts w:asciiTheme="minorHAnsi" w:hAnsiTheme="minorHAnsi"/>
                <w:bCs/>
                <w:color w:val="FF0000"/>
                <w:sz w:val="20"/>
                <w:szCs w:val="20"/>
              </w:rPr>
              <w:br/>
            </w:r>
          </w:p>
        </w:tc>
      </w:tr>
    </w:tbl>
    <w:p w14:paraId="40E3CA3E" w14:textId="77777777" w:rsidR="0077464C" w:rsidRDefault="0077464C"/>
    <w:p w14:paraId="6A5C4610" w14:textId="77777777" w:rsidR="00A61034" w:rsidRDefault="00A61034"/>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981EEB" w:rsidRPr="00E86D42" w14:paraId="2DD7B1D2" w14:textId="77777777" w:rsidTr="00656D60">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B7BC1"/>
          </w:tcPr>
          <w:p w14:paraId="2FCEDBEC" w14:textId="77777777" w:rsidR="00981EEB" w:rsidRPr="00E86D42" w:rsidRDefault="00981EEB" w:rsidP="001C16AD">
            <w:pPr>
              <w:spacing w:after="0" w:line="240" w:lineRule="auto"/>
              <w:rPr>
                <w:b/>
                <w:bCs/>
                <w:color w:val="FFFFFF"/>
              </w:rPr>
            </w:pPr>
            <w:r w:rsidRPr="00FE112B">
              <w:rPr>
                <w:b/>
                <w:bCs/>
                <w:color w:val="FFFFFF"/>
              </w:rPr>
              <w:t>4. Referencing the ONC Health IT Certification Program</w:t>
            </w:r>
            <w:r>
              <w:rPr>
                <w:b/>
                <w:bCs/>
                <w:color w:val="FFFFFF"/>
              </w:rPr>
              <w:t xml:space="preserve">  </w:t>
            </w:r>
            <w:r>
              <w:rPr>
                <w:b/>
                <w:bCs/>
                <w:color w:val="FFFF00"/>
              </w:rPr>
              <w:t>Page #256</w:t>
            </w:r>
          </w:p>
        </w:tc>
      </w:tr>
      <w:tr w:rsidR="008500D7" w:rsidRPr="00E86D42" w14:paraId="42EC65B7" w14:textId="77777777" w:rsidTr="001C16AD">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6E57DABE" w14:textId="77777777" w:rsidR="008500D7" w:rsidRPr="00913785" w:rsidRDefault="008500D7" w:rsidP="001C16AD">
            <w:pPr>
              <w:spacing w:after="0"/>
              <w:rPr>
                <w:bCs/>
                <w:sz w:val="20"/>
                <w:szCs w:val="20"/>
                <w:u w:val="single"/>
              </w:rPr>
            </w:pPr>
            <w:r w:rsidRPr="00FE112B">
              <w:rPr>
                <w:bCs/>
                <w:sz w:val="20"/>
                <w:szCs w:val="20"/>
              </w:rPr>
              <w:t>Our proposals throughout this proposed rule, including the proposed adoption of various</w:t>
            </w:r>
            <w:r>
              <w:rPr>
                <w:bCs/>
                <w:sz w:val="20"/>
                <w:szCs w:val="20"/>
              </w:rPr>
              <w:t xml:space="preserve"> </w:t>
            </w:r>
            <w:r w:rsidRPr="00FE112B">
              <w:rPr>
                <w:bCs/>
                <w:sz w:val="20"/>
                <w:szCs w:val="20"/>
              </w:rPr>
              <w:t>criteria that support functionality for different care and practice settings and the proposals to</w:t>
            </w:r>
            <w:r>
              <w:rPr>
                <w:bCs/>
                <w:sz w:val="20"/>
                <w:szCs w:val="20"/>
              </w:rPr>
              <w:t xml:space="preserve"> </w:t>
            </w:r>
            <w:r w:rsidRPr="00FE112B">
              <w:rPr>
                <w:bCs/>
                <w:sz w:val="20"/>
                <w:szCs w:val="20"/>
              </w:rPr>
              <w:t>make the ONC Health IT Certification Program open and accessible to more types of health IT</w:t>
            </w:r>
            <w:r>
              <w:rPr>
                <w:bCs/>
                <w:sz w:val="20"/>
                <w:szCs w:val="20"/>
              </w:rPr>
              <w:t xml:space="preserve"> </w:t>
            </w:r>
            <w:r w:rsidRPr="00FE112B">
              <w:rPr>
                <w:bCs/>
                <w:sz w:val="20"/>
                <w:szCs w:val="20"/>
              </w:rPr>
              <w:t xml:space="preserve">and health IT that supports a variety of care and practice settings, </w:t>
            </w:r>
            <w:r w:rsidRPr="00913785">
              <w:rPr>
                <w:bCs/>
                <w:sz w:val="20"/>
                <w:szCs w:val="20"/>
                <w:u w:val="single"/>
              </w:rPr>
              <w:t>would permit further</w:t>
            </w:r>
          </w:p>
          <w:p w14:paraId="3B6F9679" w14:textId="77777777" w:rsidR="008500D7" w:rsidRPr="00984DD6" w:rsidRDefault="008500D7" w:rsidP="001C16AD">
            <w:pPr>
              <w:spacing w:after="0"/>
              <w:rPr>
                <w:bCs/>
                <w:sz w:val="18"/>
                <w:szCs w:val="20"/>
              </w:rPr>
            </w:pPr>
            <w:r w:rsidRPr="00913785">
              <w:rPr>
                <w:bCs/>
                <w:sz w:val="20"/>
                <w:szCs w:val="20"/>
                <w:u w:val="single"/>
              </w:rPr>
              <w:t>referencing and use of certified health IT</w:t>
            </w:r>
            <w:r w:rsidRPr="00FE112B">
              <w:rPr>
                <w:bCs/>
                <w:sz w:val="20"/>
                <w:szCs w:val="20"/>
              </w:rPr>
              <w:t xml:space="preserve">. </w:t>
            </w:r>
            <w:r>
              <w:rPr>
                <w:bCs/>
                <w:sz w:val="20"/>
                <w:szCs w:val="20"/>
              </w:rPr>
              <w:t>(Continued on page #257)</w:t>
            </w:r>
          </w:p>
        </w:tc>
      </w:tr>
      <w:tr w:rsidR="008500D7" w:rsidRPr="00E86D42" w14:paraId="3783725C" w14:textId="77777777" w:rsidTr="001C16AD">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0206FB72" w14:textId="77777777" w:rsidR="008500D7" w:rsidRPr="00B91A34" w:rsidRDefault="008500D7" w:rsidP="00B91A34">
            <w:pPr>
              <w:spacing w:after="120" w:line="240" w:lineRule="atLeast"/>
              <w:rPr>
                <w:b/>
                <w:bCs/>
              </w:rPr>
            </w:pPr>
            <w:r w:rsidRPr="00B91A34">
              <w:rPr>
                <w:b/>
                <w:bCs/>
              </w:rPr>
              <w:lastRenderedPageBreak/>
              <w:t xml:space="preserve">Public Comment Field – IUS Group 3: </w:t>
            </w:r>
          </w:p>
          <w:p w14:paraId="60E8EF59" w14:textId="40E40F03" w:rsidR="008500D7" w:rsidRPr="00B91A34" w:rsidRDefault="0028712E" w:rsidP="00B91A34">
            <w:pPr>
              <w:spacing w:after="120" w:line="240" w:lineRule="atLeast"/>
              <w:rPr>
                <w:bCs/>
              </w:rPr>
            </w:pPr>
            <w:r w:rsidRPr="00B91A34">
              <w:rPr>
                <w:bCs/>
              </w:rPr>
              <w:t xml:space="preserve">The workgroup agrees that the ONC Health IT Certification Program should be accessible to health IT beyond EHR technology, and to healthcare setting and practices not directly tied to the EHR Incentive Programs.  We agree with the approach would permit further referencing and use of certified health IT by other HHS agencies, </w:t>
            </w:r>
            <w:r w:rsidR="001C6DB1" w:rsidRPr="00B91A34">
              <w:rPr>
                <w:bCs/>
              </w:rPr>
              <w:t xml:space="preserve">other public entities, private entities, payers, etc.  </w:t>
            </w:r>
            <w:r w:rsidRPr="00B91A34">
              <w:rPr>
                <w:bCs/>
              </w:rPr>
              <w:t xml:space="preserve"> </w:t>
            </w:r>
          </w:p>
          <w:p w14:paraId="6F39F468" w14:textId="67008CA7" w:rsidR="00BE1739" w:rsidRDefault="00BE1739" w:rsidP="00B91A34">
            <w:pPr>
              <w:spacing w:after="120" w:line="240" w:lineRule="atLeast"/>
              <w:rPr>
                <w:bCs/>
              </w:rPr>
            </w:pPr>
            <w:r w:rsidRPr="004A1F12">
              <w:rPr>
                <w:bCs/>
              </w:rPr>
              <w:t>We appreciate that the NPRM provides examples of how other regulatory processes would reference the health IT certification program and/or build on the requirements to meet other program needs and objectives. In addition to those listed in the NPRM, we would like to note that the industry has already begun to advance a process that identifies modules consistent with the approach of the NPRM.  For example, SAMHSA has required grantees in specific programs to meet specific modules (e.g. e-prescribing).  S</w:t>
            </w:r>
            <w:r w:rsidR="003347CE">
              <w:rPr>
                <w:bCs/>
              </w:rPr>
              <w:t>ome states have p</w:t>
            </w:r>
            <w:r w:rsidRPr="004A1F12">
              <w:rPr>
                <w:bCs/>
              </w:rPr>
              <w:t>assed legislation requiring all providers (not just those who are eligible for the EHR Incentive Program) to adopt CEHRT; and New York has established health IT requirements related to their health homes.  The Certification Program’s original desig</w:t>
            </w:r>
            <w:r w:rsidR="00B91A34" w:rsidRPr="004A1F12">
              <w:rPr>
                <w:bCs/>
              </w:rPr>
              <w:t>n created challenges for non-</w:t>
            </w:r>
            <w:r w:rsidRPr="004A1F12">
              <w:rPr>
                <w:bCs/>
              </w:rPr>
              <w:t xml:space="preserve">ambulatory and inpatient providers and services from acquiring the relevant certification to show compliance. </w:t>
            </w:r>
          </w:p>
          <w:p w14:paraId="0C599ED5" w14:textId="6183FA13" w:rsidR="00A0027E" w:rsidRPr="004A1F12" w:rsidRDefault="00A0027E" w:rsidP="00B91A34">
            <w:pPr>
              <w:spacing w:after="120" w:line="240" w:lineRule="atLeast"/>
              <w:rPr>
                <w:bCs/>
              </w:rPr>
            </w:pPr>
            <w:r w:rsidRPr="00A0027E">
              <w:rPr>
                <w:rFonts w:asciiTheme="minorHAnsi" w:hAnsiTheme="minorHAnsi"/>
                <w:bCs/>
              </w:rPr>
              <w:t xml:space="preserve">While we see the advantages, we are concerned that this approach could open the door for many organizations/programs </w:t>
            </w:r>
            <w:r w:rsidR="002D65EF">
              <w:rPr>
                <w:rFonts w:asciiTheme="minorHAnsi" w:hAnsiTheme="minorHAnsi"/>
                <w:bCs/>
              </w:rPr>
              <w:t>to set</w:t>
            </w:r>
            <w:r w:rsidRPr="00A0027E">
              <w:rPr>
                <w:rFonts w:asciiTheme="minorHAnsi" w:hAnsiTheme="minorHAnsi"/>
                <w:bCs/>
              </w:rPr>
              <w:t xml:space="preserve"> their own</w:t>
            </w:r>
            <w:r w:rsidR="002D65EF">
              <w:rPr>
                <w:rFonts w:asciiTheme="minorHAnsi" w:hAnsiTheme="minorHAnsi"/>
                <w:bCs/>
              </w:rPr>
              <w:t xml:space="preserve"> rules and possibly conflict </w:t>
            </w:r>
            <w:r w:rsidRPr="00A0027E">
              <w:rPr>
                <w:rFonts w:asciiTheme="minorHAnsi" w:hAnsiTheme="minorHAnsi"/>
                <w:bCs/>
              </w:rPr>
              <w:t xml:space="preserve">with </w:t>
            </w:r>
            <w:r w:rsidR="002D65EF">
              <w:rPr>
                <w:rFonts w:asciiTheme="minorHAnsi" w:hAnsiTheme="minorHAnsi"/>
                <w:bCs/>
              </w:rPr>
              <w:t>requirements</w:t>
            </w:r>
            <w:r w:rsidRPr="00A0027E">
              <w:rPr>
                <w:rFonts w:asciiTheme="minorHAnsi" w:hAnsiTheme="minorHAnsi"/>
                <w:bCs/>
              </w:rPr>
              <w:t xml:space="preserve"> of the base certification. We ask that ONC consider approaches to help ensure alignment and consistency across programs and payers (e.g. HHS agencies, Medicare/Medicaid payers, etc.).  For example, ONC could request that CMS encourage state Medicaid programs to align with the base requirements.</w:t>
            </w:r>
            <w:r w:rsidRPr="00E81F36">
              <w:rPr>
                <w:rFonts w:asciiTheme="minorHAnsi" w:hAnsiTheme="minorHAnsi"/>
                <w:bCs/>
                <w:sz w:val="20"/>
                <w:szCs w:val="20"/>
              </w:rPr>
              <w:t xml:space="preserve">  </w:t>
            </w:r>
          </w:p>
          <w:p w14:paraId="6333063E" w14:textId="75C21A56" w:rsidR="008500D7" w:rsidRPr="000D4E3E" w:rsidRDefault="00BE1739" w:rsidP="00B91A34">
            <w:pPr>
              <w:spacing w:after="120" w:line="240" w:lineRule="atLeast"/>
              <w:rPr>
                <w:bCs/>
                <w:color w:val="FF0000"/>
                <w:sz w:val="20"/>
                <w:szCs w:val="20"/>
              </w:rPr>
            </w:pPr>
            <w:r w:rsidRPr="004A1F12">
              <w:rPr>
                <w:bCs/>
              </w:rPr>
              <w:t>We request clarification that the regulatory process in the NPRM to remove the reference to CEHRT will suffice where other laws or regulations reference the specific term “CEHRT” and would not require new rule/regulation development to also change their terminology.</w:t>
            </w:r>
            <w:r w:rsidRPr="004A1F12">
              <w:rPr>
                <w:bCs/>
                <w:sz w:val="20"/>
                <w:szCs w:val="20"/>
              </w:rPr>
              <w:t xml:space="preserve">   </w:t>
            </w:r>
          </w:p>
        </w:tc>
      </w:tr>
    </w:tbl>
    <w:p w14:paraId="03F50254" w14:textId="77777777" w:rsidR="00981EEB" w:rsidRDefault="00981EEB"/>
    <w:p w14:paraId="09DA9161" w14:textId="77777777" w:rsidR="0077464C" w:rsidRDefault="0077464C"/>
    <w:p w14:paraId="28257E35" w14:textId="77777777" w:rsidR="0076062B" w:rsidRDefault="0076062B"/>
    <w:p w14:paraId="41678C4C" w14:textId="77777777" w:rsidR="00181BE2" w:rsidRDefault="00181BE2"/>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76062B" w:rsidRPr="00E86D42" w14:paraId="4D91B7B7" w14:textId="77777777"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3C7E1FAB" w14:textId="7FF394A6" w:rsidR="0076062B" w:rsidRPr="00E86D42" w:rsidRDefault="0077464C" w:rsidP="00805E1A">
            <w:pPr>
              <w:spacing w:after="0" w:line="240" w:lineRule="auto"/>
              <w:rPr>
                <w:b/>
                <w:bCs/>
                <w:color w:val="FFFFFF"/>
              </w:rPr>
            </w:pPr>
            <w:r>
              <w:rPr>
                <w:b/>
                <w:bCs/>
                <w:color w:val="FFFFFF"/>
              </w:rPr>
              <w:t xml:space="preserve">3. </w:t>
            </w:r>
            <w:r w:rsidR="0076062B" w:rsidRPr="00FE112B">
              <w:rPr>
                <w:b/>
                <w:bCs/>
                <w:color w:val="FFFFFF"/>
              </w:rPr>
              <w:t>Types of Care and Practice Settings</w:t>
            </w:r>
            <w:r w:rsidR="0076062B">
              <w:rPr>
                <w:b/>
                <w:bCs/>
                <w:color w:val="FFFFFF"/>
              </w:rPr>
              <w:t xml:space="preserve">  </w:t>
            </w:r>
            <w:r w:rsidR="0076062B">
              <w:rPr>
                <w:b/>
                <w:bCs/>
                <w:color w:val="FFFF00"/>
              </w:rPr>
              <w:t>Page #254</w:t>
            </w:r>
          </w:p>
        </w:tc>
      </w:tr>
      <w:tr w:rsidR="0076062B" w:rsidRPr="00E86D42" w14:paraId="158A2E37" w14:textId="77777777" w:rsidTr="00805E1A">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6A41C417" w14:textId="77777777" w:rsidR="0076062B" w:rsidRPr="00FE112B" w:rsidRDefault="0076062B" w:rsidP="00805E1A">
            <w:pPr>
              <w:spacing w:after="0"/>
              <w:rPr>
                <w:bCs/>
                <w:sz w:val="20"/>
                <w:szCs w:val="20"/>
              </w:rPr>
            </w:pPr>
            <w:r w:rsidRPr="00FE112B">
              <w:rPr>
                <w:bCs/>
                <w:sz w:val="20"/>
                <w:szCs w:val="20"/>
              </w:rPr>
              <w:t>As noted above, the HITPC issued recommendations generally supporting certification</w:t>
            </w:r>
            <w:r>
              <w:rPr>
                <w:bCs/>
                <w:sz w:val="20"/>
                <w:szCs w:val="20"/>
              </w:rPr>
              <w:t xml:space="preserve"> </w:t>
            </w:r>
            <w:r w:rsidRPr="00FE112B">
              <w:rPr>
                <w:bCs/>
                <w:sz w:val="20"/>
                <w:szCs w:val="20"/>
              </w:rPr>
              <w:t>for a variety of care and practice settings under the ONC Health IT Certification Program,</w:t>
            </w:r>
            <w:r>
              <w:rPr>
                <w:bCs/>
                <w:sz w:val="20"/>
                <w:szCs w:val="20"/>
              </w:rPr>
              <w:t xml:space="preserve"> </w:t>
            </w:r>
            <w:r w:rsidRPr="00FE112B">
              <w:rPr>
                <w:bCs/>
                <w:sz w:val="20"/>
                <w:szCs w:val="20"/>
              </w:rPr>
              <w:t>particularly focusing on long-term post-acute care (LTPAC) and behavioral health settings.</w:t>
            </w:r>
            <w:r>
              <w:rPr>
                <w:bCs/>
                <w:sz w:val="20"/>
                <w:szCs w:val="20"/>
              </w:rPr>
              <w:t xml:space="preserve"> </w:t>
            </w:r>
            <w:r w:rsidRPr="00FE112B">
              <w:rPr>
                <w:bCs/>
                <w:sz w:val="20"/>
                <w:szCs w:val="20"/>
              </w:rPr>
              <w:t>Consistent with those recommendations, we have made proposals to make the ONC Health IT</w:t>
            </w:r>
          </w:p>
          <w:p w14:paraId="780C93AC" w14:textId="77777777" w:rsidR="0076062B" w:rsidRPr="00BD6E18" w:rsidRDefault="0076062B" w:rsidP="00805E1A">
            <w:pPr>
              <w:spacing w:after="0"/>
              <w:rPr>
                <w:bCs/>
                <w:sz w:val="20"/>
                <w:szCs w:val="20"/>
              </w:rPr>
            </w:pPr>
            <w:r w:rsidRPr="00FE112B">
              <w:rPr>
                <w:bCs/>
                <w:sz w:val="20"/>
                <w:szCs w:val="20"/>
              </w:rPr>
              <w:t>Certification Program more agnostic to care and practice settings (e.g., the proposals to revise §</w:t>
            </w:r>
            <w:r>
              <w:rPr>
                <w:bCs/>
                <w:sz w:val="20"/>
                <w:szCs w:val="20"/>
              </w:rPr>
              <w:t xml:space="preserve"> </w:t>
            </w:r>
            <w:r w:rsidRPr="00FE112B">
              <w:rPr>
                <w:bCs/>
                <w:sz w:val="20"/>
                <w:szCs w:val="20"/>
              </w:rPr>
              <w:t>170.300 and “remove” “meaningful use measurement” certification requirements) and we have</w:t>
            </w:r>
            <w:r>
              <w:rPr>
                <w:bCs/>
                <w:sz w:val="20"/>
                <w:szCs w:val="20"/>
              </w:rPr>
              <w:t xml:space="preserve"> </w:t>
            </w:r>
            <w:r w:rsidRPr="00FE112B">
              <w:rPr>
                <w:bCs/>
                <w:sz w:val="20"/>
                <w:szCs w:val="20"/>
              </w:rPr>
              <w:t>proposed new “data segmentation” certification criteria (§§ 170.315(b)(7) and (8)) that include</w:t>
            </w:r>
            <w:r>
              <w:rPr>
                <w:bCs/>
                <w:sz w:val="20"/>
                <w:szCs w:val="20"/>
              </w:rPr>
              <w:t xml:space="preserve"> </w:t>
            </w:r>
            <w:r w:rsidRPr="00FE112B">
              <w:rPr>
                <w:bCs/>
                <w:sz w:val="20"/>
                <w:szCs w:val="20"/>
              </w:rPr>
              <w:t>capabilities that can support care and practice settings that service patients with sensitive health</w:t>
            </w:r>
            <w:r w:rsidR="008D76E3">
              <w:rPr>
                <w:bCs/>
                <w:sz w:val="20"/>
                <w:szCs w:val="20"/>
              </w:rPr>
              <w:t xml:space="preserve"> </w:t>
            </w:r>
            <w:r w:rsidRPr="00FE112B">
              <w:rPr>
                <w:bCs/>
                <w:sz w:val="20"/>
                <w:szCs w:val="20"/>
              </w:rPr>
              <w:t xml:space="preserve">information, including behavioral health. </w:t>
            </w:r>
            <w:r>
              <w:rPr>
                <w:bCs/>
                <w:sz w:val="20"/>
                <w:szCs w:val="20"/>
              </w:rPr>
              <w:t>(Continued on page #254)</w:t>
            </w:r>
          </w:p>
        </w:tc>
      </w:tr>
      <w:tr w:rsidR="0076062B" w:rsidRPr="006351B3" w14:paraId="2BD844D2" w14:textId="77777777"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4E0FF585" w14:textId="77777777" w:rsidR="0005791E" w:rsidRPr="00F942A5" w:rsidRDefault="0005791E" w:rsidP="00F942A5">
            <w:pPr>
              <w:spacing w:after="120" w:line="240" w:lineRule="atLeast"/>
              <w:rPr>
                <w:b/>
                <w:bCs/>
              </w:rPr>
            </w:pPr>
            <w:r w:rsidRPr="00F942A5">
              <w:rPr>
                <w:b/>
                <w:bCs/>
              </w:rPr>
              <w:lastRenderedPageBreak/>
              <w:t xml:space="preserve">Public Comment Field – IUS Group 3: </w:t>
            </w:r>
          </w:p>
          <w:p w14:paraId="68037C83" w14:textId="1F1D8977" w:rsidR="001C50A7" w:rsidRPr="00F942A5" w:rsidRDefault="0044505A" w:rsidP="00F942A5">
            <w:pPr>
              <w:spacing w:after="120" w:line="240" w:lineRule="atLeast"/>
              <w:rPr>
                <w:rFonts w:asciiTheme="minorHAnsi" w:hAnsiTheme="minorHAnsi"/>
                <w:bCs/>
              </w:rPr>
            </w:pPr>
            <w:r w:rsidRPr="00F942A5">
              <w:rPr>
                <w:rFonts w:asciiTheme="minorHAnsi" w:hAnsiTheme="minorHAnsi"/>
                <w:bCs/>
              </w:rPr>
              <w:t xml:space="preserve">With respect to broadening </w:t>
            </w:r>
            <w:r w:rsidR="00E73C06" w:rsidRPr="00F942A5">
              <w:rPr>
                <w:rFonts w:asciiTheme="minorHAnsi" w:hAnsiTheme="minorHAnsi"/>
                <w:bCs/>
              </w:rPr>
              <w:t>the Health IT Certification Program to include a variety of</w:t>
            </w:r>
            <w:r w:rsidRPr="00F942A5">
              <w:rPr>
                <w:rFonts w:asciiTheme="minorHAnsi" w:hAnsiTheme="minorHAnsi"/>
                <w:bCs/>
              </w:rPr>
              <w:t xml:space="preserve"> </w:t>
            </w:r>
            <w:r w:rsidR="00E73C06" w:rsidRPr="00F942A5">
              <w:rPr>
                <w:rFonts w:asciiTheme="minorHAnsi" w:hAnsiTheme="minorHAnsi"/>
                <w:bCs/>
              </w:rPr>
              <w:t xml:space="preserve">care and practice settings, we agree with this approach to have one program for all types of settings and </w:t>
            </w:r>
            <w:r w:rsidR="00E73C06" w:rsidRPr="002D65EF">
              <w:rPr>
                <w:rFonts w:asciiTheme="minorHAnsi" w:hAnsiTheme="minorHAnsi"/>
                <w:bCs/>
              </w:rPr>
              <w:t>services</w:t>
            </w:r>
            <w:r w:rsidR="00E73C06" w:rsidRPr="00F942A5">
              <w:rPr>
                <w:rFonts w:asciiTheme="minorHAnsi" w:hAnsiTheme="minorHAnsi"/>
                <w:bCs/>
              </w:rPr>
              <w:t xml:space="preserve"> (HIEs, HISP, LTSS</w:t>
            </w:r>
            <w:r w:rsidR="001B00AB" w:rsidRPr="00F942A5">
              <w:rPr>
                <w:rFonts w:asciiTheme="minorHAnsi" w:hAnsiTheme="minorHAnsi"/>
                <w:bCs/>
              </w:rPr>
              <w:t>, lab and pharmacy information systems</w:t>
            </w:r>
            <w:r w:rsidR="00E73C06" w:rsidRPr="00F942A5">
              <w:rPr>
                <w:rFonts w:asciiTheme="minorHAnsi" w:hAnsiTheme="minorHAnsi"/>
                <w:bCs/>
              </w:rPr>
              <w:t>) in healthcare rather than a program tied</w:t>
            </w:r>
            <w:r w:rsidR="00580F1D" w:rsidRPr="00F942A5">
              <w:rPr>
                <w:rFonts w:asciiTheme="minorHAnsi" w:hAnsiTheme="minorHAnsi"/>
                <w:bCs/>
              </w:rPr>
              <w:t xml:space="preserve"> only</w:t>
            </w:r>
            <w:r w:rsidR="00E73C06" w:rsidRPr="00F942A5">
              <w:rPr>
                <w:rFonts w:asciiTheme="minorHAnsi" w:hAnsiTheme="minorHAnsi"/>
                <w:bCs/>
              </w:rPr>
              <w:t xml:space="preserve"> to meaningful use eligible providers</w:t>
            </w:r>
            <w:r w:rsidR="00580F1D" w:rsidRPr="00F942A5">
              <w:rPr>
                <w:rFonts w:asciiTheme="minorHAnsi" w:hAnsiTheme="minorHAnsi"/>
                <w:bCs/>
              </w:rPr>
              <w:t>.</w:t>
            </w:r>
            <w:r w:rsidR="00E73C06" w:rsidRPr="00F942A5">
              <w:rPr>
                <w:rFonts w:asciiTheme="minorHAnsi" w:hAnsiTheme="minorHAnsi"/>
                <w:bCs/>
              </w:rPr>
              <w:t xml:space="preserve">  Establishing a base set of building blocks for all will provide a better foundation for advancing and testing interoperability across the many stakeholders who hold and share health information.  We believe this approach also sets a future for the program beyond the end of the EHR Incentive Program.  </w:t>
            </w:r>
          </w:p>
          <w:p w14:paraId="2D607209" w14:textId="326A8C32" w:rsidR="001C50A7" w:rsidRPr="00F942A5" w:rsidRDefault="005C227B" w:rsidP="00F942A5">
            <w:pPr>
              <w:spacing w:after="120" w:line="240" w:lineRule="atLeast"/>
              <w:rPr>
                <w:rFonts w:asciiTheme="minorHAnsi" w:hAnsiTheme="minorHAnsi"/>
                <w:bCs/>
              </w:rPr>
            </w:pPr>
            <w:r w:rsidRPr="00F942A5">
              <w:rPr>
                <w:rFonts w:asciiTheme="minorHAnsi" w:hAnsiTheme="minorHAnsi"/>
                <w:bCs/>
              </w:rPr>
              <w:t>Establishing new Data S</w:t>
            </w:r>
            <w:r w:rsidR="00E73C06" w:rsidRPr="00F942A5">
              <w:rPr>
                <w:rFonts w:asciiTheme="minorHAnsi" w:hAnsiTheme="minorHAnsi"/>
                <w:bCs/>
              </w:rPr>
              <w:t>egmentation</w:t>
            </w:r>
            <w:r w:rsidRPr="00F942A5">
              <w:rPr>
                <w:rFonts w:asciiTheme="minorHAnsi" w:hAnsiTheme="minorHAnsi"/>
                <w:bCs/>
              </w:rPr>
              <w:t xml:space="preserve"> certification criteria is important for engaging not only the behavioral health setting, but also all settings and services that handle information that is sensitive in nature.  We recognize that  the standards work completed to date support a narrow use case related to re-disclosure to meet the 42CFR Part 2 Federal Rule and recommend that on-going work be completed to include support increased functionality to limit disclosure/re-disclosure of machine-actionable data (versus read-only, document level limitations). </w:t>
            </w:r>
          </w:p>
          <w:p w14:paraId="66ED0186" w14:textId="4DB17990" w:rsidR="001C50A7" w:rsidRPr="00F942A5" w:rsidRDefault="00CF4E64" w:rsidP="00F942A5">
            <w:pPr>
              <w:spacing w:after="120" w:line="240" w:lineRule="atLeast"/>
              <w:rPr>
                <w:rFonts w:asciiTheme="minorHAnsi" w:hAnsiTheme="minorHAnsi"/>
                <w:bCs/>
              </w:rPr>
            </w:pPr>
            <w:r w:rsidRPr="00F942A5">
              <w:rPr>
                <w:rFonts w:asciiTheme="minorHAnsi" w:hAnsiTheme="minorHAnsi"/>
                <w:bCs/>
              </w:rPr>
              <w:t xml:space="preserve">There are </w:t>
            </w:r>
            <w:r w:rsidR="00705566" w:rsidRPr="00F942A5">
              <w:rPr>
                <w:rFonts w:asciiTheme="minorHAnsi" w:hAnsiTheme="minorHAnsi"/>
                <w:bCs/>
              </w:rPr>
              <w:t>additional</w:t>
            </w:r>
            <w:r w:rsidRPr="00F942A5">
              <w:rPr>
                <w:rFonts w:asciiTheme="minorHAnsi" w:hAnsiTheme="minorHAnsi"/>
                <w:bCs/>
              </w:rPr>
              <w:t xml:space="preserve"> certification criteria that would be useful to the </w:t>
            </w:r>
            <w:r w:rsidR="00705566" w:rsidRPr="00F942A5">
              <w:rPr>
                <w:rFonts w:asciiTheme="minorHAnsi" w:hAnsiTheme="minorHAnsi"/>
                <w:bCs/>
              </w:rPr>
              <w:t xml:space="preserve">settings called out in the NPRM (LTPAC, BH, </w:t>
            </w:r>
            <w:r w:rsidR="00705566" w:rsidRPr="002D65EF">
              <w:rPr>
                <w:rFonts w:asciiTheme="minorHAnsi" w:hAnsiTheme="minorHAnsi"/>
                <w:bCs/>
              </w:rPr>
              <w:t>Pediatrics</w:t>
            </w:r>
            <w:r w:rsidR="00705566" w:rsidRPr="00F942A5">
              <w:rPr>
                <w:rFonts w:asciiTheme="minorHAnsi" w:hAnsiTheme="minorHAnsi"/>
                <w:bCs/>
              </w:rPr>
              <w:t xml:space="preserve">) including those related to identity matching, </w:t>
            </w:r>
            <w:r w:rsidR="0062300F">
              <w:rPr>
                <w:rFonts w:asciiTheme="minorHAnsi" w:hAnsiTheme="minorHAnsi"/>
                <w:bCs/>
              </w:rPr>
              <w:t xml:space="preserve">bi-directional exchange, </w:t>
            </w:r>
            <w:r w:rsidR="00705566" w:rsidRPr="00F942A5">
              <w:rPr>
                <w:rFonts w:asciiTheme="minorHAnsi" w:hAnsiTheme="minorHAnsi"/>
                <w:bCs/>
              </w:rPr>
              <w:t>advanced directives, telehealth/telemonitoring</w:t>
            </w:r>
            <w:r w:rsidR="00961096" w:rsidRPr="00F942A5">
              <w:rPr>
                <w:rFonts w:asciiTheme="minorHAnsi" w:hAnsiTheme="minorHAnsi"/>
                <w:bCs/>
              </w:rPr>
              <w:t xml:space="preserve"> (including personal health tracking/monitoring devices)</w:t>
            </w:r>
            <w:r w:rsidR="00705566" w:rsidRPr="00F942A5">
              <w:rPr>
                <w:rFonts w:asciiTheme="minorHAnsi" w:hAnsiTheme="minorHAnsi"/>
                <w:bCs/>
              </w:rPr>
              <w:t>, and assessments.  We encourage ONC and HHS to align federally required assessment instruments for LTPAC and new developments as a result of the IMPACT Act with the certification process.  The assessments should be mapped and aligned with existing standards identified by ONC including transport standards.  By building all of these required assessments with a common platform, it would allow the documents and/or data elements to be shared with care and service providers, payers, oversight agencies, etc.</w:t>
            </w:r>
            <w:r w:rsidR="004E26D7" w:rsidRPr="00F942A5">
              <w:rPr>
                <w:rFonts w:asciiTheme="minorHAnsi" w:hAnsiTheme="minorHAnsi"/>
                <w:bCs/>
              </w:rPr>
              <w:t xml:space="preserve"> and provide a foundation for clinical quality measure development. </w:t>
            </w:r>
            <w:r w:rsidR="00705566" w:rsidRPr="00F942A5">
              <w:rPr>
                <w:rFonts w:asciiTheme="minorHAnsi" w:hAnsiTheme="minorHAnsi"/>
                <w:bCs/>
              </w:rPr>
              <w:t xml:space="preserve"> </w:t>
            </w:r>
          </w:p>
          <w:p w14:paraId="2AB2E3C2" w14:textId="631C65F8" w:rsidR="00F3201B" w:rsidRPr="00FE0DFD" w:rsidRDefault="00705566" w:rsidP="003A7762">
            <w:pPr>
              <w:spacing w:after="120" w:line="240" w:lineRule="atLeast"/>
              <w:rPr>
                <w:rFonts w:asciiTheme="minorHAnsi" w:hAnsiTheme="minorHAnsi"/>
                <w:bCs/>
              </w:rPr>
            </w:pPr>
            <w:r w:rsidRPr="00F942A5">
              <w:rPr>
                <w:rFonts w:asciiTheme="minorHAnsi" w:hAnsiTheme="minorHAnsi"/>
                <w:bCs/>
              </w:rPr>
              <w:t>Specifically related to behavioral health assessments, there is an opportunity to in</w:t>
            </w:r>
            <w:r w:rsidR="002D65EF">
              <w:rPr>
                <w:rFonts w:asciiTheme="minorHAnsi" w:hAnsiTheme="minorHAnsi"/>
                <w:bCs/>
              </w:rPr>
              <w:t>corporate health IT standards for</w:t>
            </w:r>
            <w:r w:rsidRPr="00F942A5">
              <w:rPr>
                <w:rFonts w:asciiTheme="minorHAnsi" w:hAnsiTheme="minorHAnsi"/>
                <w:bCs/>
              </w:rPr>
              <w:t xml:space="preserve"> </w:t>
            </w:r>
            <w:r w:rsidR="002D65EF">
              <w:rPr>
                <w:rFonts w:asciiTheme="minorHAnsi" w:hAnsiTheme="minorHAnsi"/>
                <w:bCs/>
              </w:rPr>
              <w:t xml:space="preserve">SAMHSA </w:t>
            </w:r>
            <w:r w:rsidR="002D65EF" w:rsidRPr="00F942A5">
              <w:rPr>
                <w:rFonts w:asciiTheme="minorHAnsi" w:hAnsiTheme="minorHAnsi"/>
                <w:bCs/>
              </w:rPr>
              <w:t xml:space="preserve">required </w:t>
            </w:r>
            <w:r w:rsidRPr="00F942A5">
              <w:rPr>
                <w:rFonts w:asciiTheme="minorHAnsi" w:hAnsiTheme="minorHAnsi"/>
                <w:bCs/>
              </w:rPr>
              <w:t xml:space="preserve">assessments </w:t>
            </w:r>
            <w:r w:rsidR="002D65EF">
              <w:rPr>
                <w:rFonts w:asciiTheme="minorHAnsi" w:hAnsiTheme="minorHAnsi"/>
                <w:bCs/>
              </w:rPr>
              <w:t xml:space="preserve">and </w:t>
            </w:r>
            <w:r w:rsidRPr="00F942A5">
              <w:rPr>
                <w:rFonts w:asciiTheme="minorHAnsi" w:hAnsiTheme="minorHAnsi"/>
                <w:bCs/>
              </w:rPr>
              <w:t>report</w:t>
            </w:r>
            <w:r w:rsidR="002D65EF">
              <w:rPr>
                <w:rFonts w:asciiTheme="minorHAnsi" w:hAnsiTheme="minorHAnsi"/>
                <w:bCs/>
              </w:rPr>
              <w:t>ing (</w:t>
            </w:r>
            <w:r w:rsidR="00580F1D" w:rsidRPr="00F942A5">
              <w:rPr>
                <w:rFonts w:asciiTheme="minorHAnsi" w:hAnsiTheme="minorHAnsi"/>
                <w:bCs/>
              </w:rPr>
              <w:t>e.g. NOMS</w:t>
            </w:r>
            <w:r w:rsidR="0062300F">
              <w:rPr>
                <w:rFonts w:asciiTheme="minorHAnsi" w:hAnsiTheme="minorHAnsi"/>
                <w:bCs/>
              </w:rPr>
              <w:t xml:space="preserve"> – National Outcome Measurement System</w:t>
            </w:r>
            <w:r w:rsidR="00580F1D" w:rsidRPr="00F942A5">
              <w:rPr>
                <w:rFonts w:asciiTheme="minorHAnsi" w:hAnsiTheme="minorHAnsi"/>
                <w:bCs/>
              </w:rPr>
              <w:t>).</w:t>
            </w:r>
            <w:r w:rsidR="00FE0DFD">
              <w:rPr>
                <w:rFonts w:asciiTheme="minorHAnsi" w:hAnsiTheme="minorHAnsi"/>
                <w:bCs/>
              </w:rPr>
              <w:t xml:space="preserve"> Currently Behavioral Health providers maintain a duplicative process double keying in the assessment data for reporting.  If the assessment </w:t>
            </w:r>
            <w:r w:rsidR="003A7762">
              <w:rPr>
                <w:rFonts w:asciiTheme="minorHAnsi" w:hAnsiTheme="minorHAnsi"/>
                <w:bCs/>
              </w:rPr>
              <w:t>items</w:t>
            </w:r>
            <w:r w:rsidR="00FE0DFD">
              <w:rPr>
                <w:rFonts w:asciiTheme="minorHAnsi" w:hAnsiTheme="minorHAnsi"/>
                <w:bCs/>
              </w:rPr>
              <w:t xml:space="preserve"> were </w:t>
            </w:r>
            <w:r w:rsidR="003A7762">
              <w:rPr>
                <w:rFonts w:asciiTheme="minorHAnsi" w:hAnsiTheme="minorHAnsi"/>
                <w:bCs/>
              </w:rPr>
              <w:t xml:space="preserve">mapped to existing vocabularies and content </w:t>
            </w:r>
            <w:r w:rsidR="00FE0DFD">
              <w:rPr>
                <w:rFonts w:asciiTheme="minorHAnsi" w:hAnsiTheme="minorHAnsi"/>
                <w:bCs/>
              </w:rPr>
              <w:t>for</w:t>
            </w:r>
            <w:r w:rsidR="003A7762">
              <w:rPr>
                <w:rFonts w:asciiTheme="minorHAnsi" w:hAnsiTheme="minorHAnsi"/>
                <w:bCs/>
              </w:rPr>
              <w:t xml:space="preserve">mats the data could more efficiently be reused for </w:t>
            </w:r>
            <w:r w:rsidR="00FE0DFD">
              <w:rPr>
                <w:rFonts w:asciiTheme="minorHAnsi" w:hAnsiTheme="minorHAnsi"/>
                <w:bCs/>
              </w:rPr>
              <w:t xml:space="preserve">reporting transmitted </w:t>
            </w:r>
            <w:r w:rsidR="003A7762">
              <w:rPr>
                <w:rFonts w:asciiTheme="minorHAnsi" w:hAnsiTheme="minorHAnsi"/>
                <w:bCs/>
              </w:rPr>
              <w:t>via appropriate</w:t>
            </w:r>
            <w:r w:rsidR="00FE0DFD">
              <w:rPr>
                <w:rFonts w:asciiTheme="minorHAnsi" w:hAnsiTheme="minorHAnsi"/>
                <w:bCs/>
              </w:rPr>
              <w:t xml:space="preserve"> transport standards. Like LTPAC, a certification module for assessments </w:t>
            </w:r>
            <w:r w:rsidR="003A7762">
              <w:rPr>
                <w:rFonts w:asciiTheme="minorHAnsi" w:hAnsiTheme="minorHAnsi"/>
                <w:bCs/>
              </w:rPr>
              <w:t>would</w:t>
            </w:r>
            <w:r w:rsidR="00FE0DFD">
              <w:rPr>
                <w:rFonts w:asciiTheme="minorHAnsi" w:hAnsiTheme="minorHAnsi"/>
                <w:bCs/>
              </w:rPr>
              <w:t xml:space="preserve"> support the process.</w:t>
            </w:r>
          </w:p>
        </w:tc>
      </w:tr>
    </w:tbl>
    <w:p w14:paraId="22D500BC" w14:textId="77777777" w:rsidR="00E73C06" w:rsidRDefault="00E73C06"/>
    <w:p w14:paraId="2B4EF9B6" w14:textId="77777777" w:rsidR="005F533A" w:rsidRDefault="005F533A"/>
    <w:p w14:paraId="2F7074DD" w14:textId="77777777" w:rsidR="005F533A" w:rsidRDefault="005F533A"/>
    <w:p w14:paraId="71E17C62" w14:textId="77777777" w:rsidR="008500D7" w:rsidRDefault="008500D7"/>
    <w:p w14:paraId="726DAF5D" w14:textId="77777777" w:rsidR="008500D7" w:rsidRDefault="008500D7"/>
    <w:p w14:paraId="74ED750C" w14:textId="77777777" w:rsidR="008500D7" w:rsidRDefault="008500D7"/>
    <w:p w14:paraId="54B04DB6" w14:textId="77777777" w:rsidR="008500D7" w:rsidRDefault="008500D7"/>
    <w:p w14:paraId="0AA21ECE" w14:textId="77777777" w:rsidR="008500D7" w:rsidRDefault="008500D7"/>
    <w:p w14:paraId="08847698" w14:textId="77777777" w:rsidR="008500D7" w:rsidRDefault="008500D7"/>
    <w:p w14:paraId="5CC649B5" w14:textId="77777777" w:rsidR="008500D7" w:rsidRDefault="008500D7"/>
    <w:p w14:paraId="3E069034" w14:textId="77777777" w:rsidR="008500D7" w:rsidRDefault="008500D7"/>
    <w:p w14:paraId="691BBDB1" w14:textId="77777777" w:rsidR="008500D7" w:rsidRPr="00E86D42" w:rsidRDefault="008500D7" w:rsidP="008500D7">
      <w:pPr>
        <w:shd w:val="clear" w:color="auto" w:fill="548DD4" w:themeFill="text2" w:themeFillTint="99"/>
        <w:spacing w:after="0" w:line="240" w:lineRule="auto"/>
        <w:rPr>
          <w:b/>
          <w:bCs/>
          <w:color w:val="FFFFFF"/>
        </w:rPr>
      </w:pPr>
      <w:r w:rsidRPr="00EB4DEE">
        <w:rPr>
          <w:b/>
          <w:bCs/>
          <w:color w:val="FFFFFF"/>
        </w:rPr>
        <w:t>2. “Removal” of Meaningful Use Measurement Certification Requirements</w:t>
      </w:r>
      <w:r>
        <w:rPr>
          <w:b/>
          <w:bCs/>
          <w:color w:val="FFFFFF"/>
        </w:rPr>
        <w:t xml:space="preserve">  </w:t>
      </w:r>
      <w:r>
        <w:rPr>
          <w:b/>
          <w:bCs/>
          <w:color w:val="FFFF00"/>
        </w:rPr>
        <w:t>Page #253</w:t>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8500D7" w:rsidRPr="00E86D42" w14:paraId="373585E3" w14:textId="77777777" w:rsidTr="001C16AD">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496B1038" w14:textId="77777777" w:rsidR="008500D7" w:rsidRPr="00EB4DEE" w:rsidRDefault="008500D7" w:rsidP="001C16AD">
            <w:pPr>
              <w:spacing w:after="0"/>
              <w:rPr>
                <w:bCs/>
                <w:sz w:val="20"/>
                <w:szCs w:val="20"/>
              </w:rPr>
            </w:pPr>
            <w:r w:rsidRPr="00EB4DEE">
              <w:rPr>
                <w:bCs/>
                <w:sz w:val="20"/>
                <w:szCs w:val="20"/>
              </w:rPr>
              <w:lastRenderedPageBreak/>
              <w:t xml:space="preserve">We propose to </w:t>
            </w:r>
            <w:r w:rsidRPr="00BB6E5C">
              <w:rPr>
                <w:bCs/>
                <w:sz w:val="20"/>
                <w:szCs w:val="20"/>
                <w:u w:val="single"/>
              </w:rPr>
              <w:t>not require</w:t>
            </w:r>
            <w:r w:rsidRPr="00EB4DEE">
              <w:rPr>
                <w:bCs/>
                <w:sz w:val="20"/>
                <w:szCs w:val="20"/>
              </w:rPr>
              <w:t xml:space="preserve"> ONC-ACBs to certify Health IT Modules to the 2015 Edition</w:t>
            </w:r>
            <w:r>
              <w:rPr>
                <w:bCs/>
                <w:sz w:val="20"/>
                <w:szCs w:val="20"/>
              </w:rPr>
              <w:t xml:space="preserve"> </w:t>
            </w:r>
            <w:r w:rsidRPr="00BB6E5C">
              <w:rPr>
                <w:bCs/>
                <w:sz w:val="20"/>
                <w:szCs w:val="20"/>
                <w:u w:val="single"/>
              </w:rPr>
              <w:t>“meaningful use measurement”</w:t>
            </w:r>
            <w:r w:rsidRPr="00EB4DEE">
              <w:rPr>
                <w:bCs/>
                <w:sz w:val="20"/>
                <w:szCs w:val="20"/>
              </w:rPr>
              <w:t xml:space="preserve"> certification criteria (§ 170.315(g)(1) “automated numerator</w:t>
            </w:r>
            <w:r>
              <w:rPr>
                <w:bCs/>
                <w:sz w:val="20"/>
                <w:szCs w:val="20"/>
              </w:rPr>
              <w:t xml:space="preserve"> </w:t>
            </w:r>
            <w:r w:rsidRPr="00EB4DEE">
              <w:rPr>
                <w:bCs/>
                <w:sz w:val="20"/>
                <w:szCs w:val="20"/>
              </w:rPr>
              <w:t xml:space="preserve">recording” and § 170.315(g)(2) </w:t>
            </w:r>
            <w:r w:rsidRPr="00BB6E5C">
              <w:rPr>
                <w:bCs/>
                <w:sz w:val="20"/>
                <w:szCs w:val="20"/>
                <w:u w:val="single"/>
              </w:rPr>
              <w:t>“automated measure calculation</w:t>
            </w:r>
            <w:r w:rsidRPr="00EB4DEE">
              <w:rPr>
                <w:bCs/>
                <w:sz w:val="20"/>
                <w:szCs w:val="20"/>
              </w:rPr>
              <w:t>”). This is a change from prior</w:t>
            </w:r>
            <w:r>
              <w:rPr>
                <w:bCs/>
                <w:sz w:val="20"/>
                <w:szCs w:val="20"/>
              </w:rPr>
              <w:t xml:space="preserve"> </w:t>
            </w:r>
            <w:r w:rsidRPr="00EB4DEE">
              <w:rPr>
                <w:bCs/>
                <w:sz w:val="20"/>
                <w:szCs w:val="20"/>
              </w:rPr>
              <w:t>certification policy, such as with the certification of technology to the 2014 Edition and the</w:t>
            </w:r>
          </w:p>
          <w:p w14:paraId="2B5A0318" w14:textId="77777777" w:rsidR="008500D7" w:rsidRPr="00BD6E18" w:rsidRDefault="008500D7" w:rsidP="001C16AD">
            <w:pPr>
              <w:spacing w:after="0"/>
              <w:rPr>
                <w:bCs/>
                <w:sz w:val="20"/>
                <w:szCs w:val="20"/>
              </w:rPr>
            </w:pPr>
            <w:r w:rsidRPr="00EB4DEE">
              <w:rPr>
                <w:bCs/>
                <w:sz w:val="20"/>
                <w:szCs w:val="20"/>
              </w:rPr>
              <w:t>requirements of § 170.550(f)(1). We believe this will make the ONC Health IT Certification</w:t>
            </w:r>
            <w:r>
              <w:rPr>
                <w:bCs/>
                <w:sz w:val="20"/>
                <w:szCs w:val="20"/>
              </w:rPr>
              <w:t xml:space="preserve"> </w:t>
            </w:r>
            <w:r w:rsidRPr="00EB4DEE">
              <w:rPr>
                <w:bCs/>
                <w:sz w:val="20"/>
                <w:szCs w:val="20"/>
              </w:rPr>
              <w:t>more accessible to the certification of health IT for other purposes beyond the EHR Incentive</w:t>
            </w:r>
            <w:r>
              <w:rPr>
                <w:bCs/>
                <w:sz w:val="20"/>
                <w:szCs w:val="20"/>
              </w:rPr>
              <w:t xml:space="preserve"> </w:t>
            </w:r>
            <w:r w:rsidRPr="00EB4DEE">
              <w:rPr>
                <w:bCs/>
                <w:sz w:val="20"/>
                <w:szCs w:val="20"/>
              </w:rPr>
              <w:t xml:space="preserve">Programs. </w:t>
            </w:r>
            <w:r>
              <w:rPr>
                <w:bCs/>
                <w:sz w:val="20"/>
                <w:szCs w:val="20"/>
              </w:rPr>
              <w:t>(Continued on page #253)</w:t>
            </w:r>
          </w:p>
        </w:tc>
      </w:tr>
      <w:tr w:rsidR="008500D7" w:rsidRPr="00E81F36" w14:paraId="3D9083FA" w14:textId="77777777" w:rsidTr="001C16AD">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1B5E2AF6" w14:textId="77777777" w:rsidR="008500D7" w:rsidRPr="000B5812" w:rsidRDefault="008500D7" w:rsidP="000B5812">
            <w:pPr>
              <w:spacing w:after="120" w:line="240" w:lineRule="atLeast"/>
              <w:rPr>
                <w:b/>
                <w:bCs/>
                <w:szCs w:val="20"/>
              </w:rPr>
            </w:pPr>
            <w:r w:rsidRPr="000B5812">
              <w:rPr>
                <w:b/>
                <w:bCs/>
                <w:szCs w:val="20"/>
              </w:rPr>
              <w:t xml:space="preserve">Public Comment Field – IUS Group 3: </w:t>
            </w:r>
          </w:p>
          <w:p w14:paraId="59F8EC5D" w14:textId="32F19CE0" w:rsidR="00C35952" w:rsidRPr="005F533A" w:rsidRDefault="00C35952" w:rsidP="000B5812">
            <w:pPr>
              <w:spacing w:after="120" w:line="240" w:lineRule="atLeast"/>
              <w:rPr>
                <w:rFonts w:asciiTheme="minorHAnsi" w:hAnsiTheme="minorHAnsi"/>
                <w:bCs/>
                <w:sz w:val="20"/>
                <w:szCs w:val="20"/>
              </w:rPr>
            </w:pPr>
            <w:r w:rsidRPr="00A0027E">
              <w:rPr>
                <w:bCs/>
              </w:rPr>
              <w:t xml:space="preserve">We agree with the rationale to remove the Meaningful Use Measurement Certification requirement to make the Health IT Certification process more broadly accessible beyond the EHR Incentive Program.  This approach will allow the </w:t>
            </w:r>
            <w:r w:rsidRPr="00A0027E">
              <w:rPr>
                <w:rFonts w:asciiTheme="minorHAnsi" w:hAnsiTheme="minorHAnsi"/>
                <w:bCs/>
              </w:rPr>
              <w:t xml:space="preserve">Certification program to provide the building blocks and the minimum technology needs to the broad healthcare community.  </w:t>
            </w:r>
            <w:r>
              <w:rPr>
                <w:rFonts w:asciiTheme="minorHAnsi" w:hAnsiTheme="minorHAnsi"/>
                <w:bCs/>
              </w:rPr>
              <w:t>We request clarification that removing the capability to calculate meaningful use measurement will not create frustration for the Meaningful Use Program providers if they still need to report the calculations as part of program requirements.</w:t>
            </w:r>
          </w:p>
        </w:tc>
      </w:tr>
    </w:tbl>
    <w:p w14:paraId="2169CD9A" w14:textId="77777777" w:rsidR="00AB296A" w:rsidRDefault="00AB296A"/>
    <w:p w14:paraId="6E2AA37F" w14:textId="77777777" w:rsidR="008500D7" w:rsidRDefault="008500D7"/>
    <w:p w14:paraId="74CF227D" w14:textId="77777777" w:rsidR="008500D7" w:rsidRDefault="008500D7"/>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AB296A" w:rsidRPr="00E86D42" w14:paraId="12E03799" w14:textId="77777777" w:rsidTr="00145038">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730145D0" w14:textId="77777777" w:rsidR="00AB296A" w:rsidRPr="00E86D42" w:rsidRDefault="00AB296A" w:rsidP="00145038">
            <w:pPr>
              <w:spacing w:after="0" w:line="240" w:lineRule="auto"/>
              <w:rPr>
                <w:b/>
                <w:bCs/>
                <w:color w:val="FFFFFF"/>
              </w:rPr>
            </w:pPr>
            <w:r w:rsidRPr="00DB70F2">
              <w:rPr>
                <w:b/>
                <w:bCs/>
                <w:color w:val="FFFFFF"/>
              </w:rPr>
              <w:t>Base EHR Definition and Certified EHR Technology Definition</w:t>
            </w:r>
            <w:r w:rsidRPr="000E3659">
              <w:rPr>
                <w:b/>
                <w:bCs/>
                <w:color w:val="FFFFFF"/>
              </w:rPr>
              <w:cr/>
            </w:r>
            <w:r>
              <w:rPr>
                <w:b/>
                <w:bCs/>
                <w:color w:val="FFFFFF"/>
              </w:rPr>
              <w:t xml:space="preserve">  </w:t>
            </w:r>
            <w:r w:rsidRPr="00DD52FF">
              <w:rPr>
                <w:b/>
                <w:bCs/>
                <w:color w:val="FFFF00"/>
              </w:rPr>
              <w:t>Page #8, Page #240</w:t>
            </w:r>
          </w:p>
        </w:tc>
      </w:tr>
      <w:tr w:rsidR="00AB296A" w:rsidRPr="00E86D42" w14:paraId="26082C0D" w14:textId="77777777" w:rsidTr="00145038">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3EC1A5F3" w14:textId="77777777" w:rsidR="00AB296A" w:rsidRPr="00BD6E18" w:rsidRDefault="00AB296A" w:rsidP="00145038">
            <w:pPr>
              <w:spacing w:after="0"/>
              <w:rPr>
                <w:bCs/>
                <w:sz w:val="20"/>
                <w:szCs w:val="20"/>
              </w:rPr>
            </w:pPr>
            <w:r w:rsidRPr="00DB70F2">
              <w:rPr>
                <w:bCs/>
                <w:sz w:val="20"/>
                <w:szCs w:val="20"/>
              </w:rPr>
              <w:t xml:space="preserve">We propose to </w:t>
            </w:r>
            <w:r w:rsidRPr="008B49FE">
              <w:rPr>
                <w:bCs/>
                <w:sz w:val="20"/>
                <w:szCs w:val="20"/>
                <w:u w:val="single"/>
              </w:rPr>
              <w:t>adopt a Base EHR definition specific to the 2015 Edition</w:t>
            </w:r>
            <w:r w:rsidRPr="00DB70F2">
              <w:rPr>
                <w:bCs/>
                <w:sz w:val="20"/>
                <w:szCs w:val="20"/>
              </w:rPr>
              <w:t xml:space="preserve"> (i.e., a 2015</w:t>
            </w:r>
            <w:r>
              <w:rPr>
                <w:bCs/>
                <w:sz w:val="20"/>
                <w:szCs w:val="20"/>
              </w:rPr>
              <w:t xml:space="preserve"> </w:t>
            </w:r>
            <w:r w:rsidRPr="00DB70F2">
              <w:rPr>
                <w:bCs/>
                <w:sz w:val="20"/>
                <w:szCs w:val="20"/>
              </w:rPr>
              <w:t xml:space="preserve">Edition Base EHR definition) at § 170.102 and rename the current Base EHR definition at §170.102 as the 2014 Edition Base EHR definition. For the proposed 2015 Edition Base </w:t>
            </w:r>
            <w:r>
              <w:rPr>
                <w:bCs/>
                <w:sz w:val="20"/>
                <w:szCs w:val="20"/>
              </w:rPr>
              <w:t>E</w:t>
            </w:r>
            <w:r w:rsidR="00DC5CF7">
              <w:rPr>
                <w:bCs/>
                <w:sz w:val="20"/>
                <w:szCs w:val="20"/>
              </w:rPr>
              <w:t>H</w:t>
            </w:r>
            <w:r>
              <w:rPr>
                <w:bCs/>
                <w:sz w:val="20"/>
                <w:szCs w:val="20"/>
              </w:rPr>
              <w:t xml:space="preserve">R </w:t>
            </w:r>
            <w:r w:rsidRPr="00DB70F2">
              <w:rPr>
                <w:bCs/>
                <w:sz w:val="20"/>
                <w:szCs w:val="20"/>
              </w:rPr>
              <w:t>definition, it would differ from the 2014 Edition Base EHR definition in the following ways:</w:t>
            </w:r>
            <w:r>
              <w:rPr>
                <w:bCs/>
                <w:sz w:val="20"/>
                <w:szCs w:val="20"/>
              </w:rPr>
              <w:t xml:space="preserve"> (Continued on page #8)</w:t>
            </w:r>
          </w:p>
        </w:tc>
      </w:tr>
      <w:tr w:rsidR="00AB296A" w:rsidRPr="00E86D42" w14:paraId="71DEF565" w14:textId="77777777" w:rsidTr="00145038">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554AC46F" w14:textId="77777777" w:rsidR="0005791E" w:rsidRPr="000B5812" w:rsidRDefault="0005791E" w:rsidP="000B5812">
            <w:pPr>
              <w:spacing w:after="120" w:line="240" w:lineRule="atLeast"/>
              <w:rPr>
                <w:b/>
                <w:bCs/>
                <w:szCs w:val="20"/>
              </w:rPr>
            </w:pPr>
            <w:r w:rsidRPr="000B5812">
              <w:rPr>
                <w:b/>
                <w:bCs/>
                <w:szCs w:val="20"/>
              </w:rPr>
              <w:t xml:space="preserve">Public Comment Field – IUS Group 3: </w:t>
            </w:r>
          </w:p>
          <w:p w14:paraId="150B372A" w14:textId="7D7E3A3F" w:rsidR="00BD4D49" w:rsidRPr="000B5812" w:rsidRDefault="001A6610" w:rsidP="000B5812">
            <w:pPr>
              <w:spacing w:after="120" w:line="240" w:lineRule="atLeast"/>
              <w:rPr>
                <w:rFonts w:asciiTheme="minorHAnsi" w:hAnsiTheme="minorHAnsi"/>
                <w:bCs/>
                <w:szCs w:val="20"/>
              </w:rPr>
            </w:pPr>
            <w:r w:rsidRPr="000B5812">
              <w:rPr>
                <w:rFonts w:asciiTheme="minorHAnsi" w:hAnsiTheme="minorHAnsi"/>
                <w:bCs/>
                <w:szCs w:val="20"/>
              </w:rPr>
              <w:t xml:space="preserve">We request clarification from ONC how privacy and security requirements are applied in the new approach.  It was not clear whether there is a separate module or the requirements were integrated in each module.  We request additional information on how privacy and security requirements are integrated.  </w:t>
            </w:r>
          </w:p>
          <w:p w14:paraId="1BC47519" w14:textId="6E8D7453" w:rsidR="00BD4D49" w:rsidRPr="000B5812" w:rsidRDefault="004E26D7" w:rsidP="000B5812">
            <w:pPr>
              <w:spacing w:after="120" w:line="240" w:lineRule="atLeast"/>
              <w:rPr>
                <w:rFonts w:asciiTheme="minorHAnsi" w:hAnsiTheme="minorHAnsi"/>
                <w:bCs/>
                <w:szCs w:val="20"/>
              </w:rPr>
            </w:pPr>
            <w:r w:rsidRPr="000B5812">
              <w:rPr>
                <w:rFonts w:asciiTheme="minorHAnsi" w:hAnsiTheme="minorHAnsi"/>
                <w:bCs/>
                <w:szCs w:val="20"/>
              </w:rPr>
              <w:t xml:space="preserve">Regarding the inclusion of smoking status, implantable device list and application access to Common Clinical Data Set, we would like to highlight that the information/data may not be applicable to the expanded list of care settings and service providers targeted with the proposed program modification.  ONC should consider separately data creation from the need to receive/handle these types of data elements.  </w:t>
            </w:r>
            <w:r w:rsidR="002A6777" w:rsidRPr="000B5812">
              <w:rPr>
                <w:rFonts w:asciiTheme="minorHAnsi" w:hAnsiTheme="minorHAnsi"/>
                <w:bCs/>
                <w:szCs w:val="20"/>
              </w:rPr>
              <w:t>The process should not require sharing of a full data set if the data is not relevant to the care provider and/or service provider.  It creates a process where the setting/service collects data that is not appropriate and creates an unnecessary burden.</w:t>
            </w:r>
          </w:p>
          <w:p w14:paraId="04B36965" w14:textId="2507A07B" w:rsidR="00DC5CF7" w:rsidRPr="0077464C" w:rsidRDefault="004E26D7" w:rsidP="000B5812">
            <w:pPr>
              <w:spacing w:after="120" w:line="240" w:lineRule="atLeast"/>
              <w:rPr>
                <w:rFonts w:asciiTheme="minorHAnsi" w:hAnsiTheme="minorHAnsi"/>
                <w:bCs/>
                <w:color w:val="FF0000"/>
                <w:sz w:val="20"/>
                <w:szCs w:val="20"/>
              </w:rPr>
            </w:pPr>
            <w:r w:rsidRPr="000B5812">
              <w:rPr>
                <w:rFonts w:asciiTheme="minorHAnsi" w:hAnsiTheme="minorHAnsi"/>
                <w:bCs/>
                <w:szCs w:val="20"/>
              </w:rPr>
              <w:t xml:space="preserve">We agree with including the acceptability of using Direct as an option to share information.  </w:t>
            </w:r>
          </w:p>
        </w:tc>
      </w:tr>
    </w:tbl>
    <w:p w14:paraId="18AFFAB3" w14:textId="77777777" w:rsidR="00AB296A" w:rsidRDefault="00AB296A"/>
    <w:p w14:paraId="6954CF9E" w14:textId="77777777" w:rsidR="008500D7" w:rsidRDefault="008500D7"/>
    <w:p w14:paraId="75ADDDE6" w14:textId="77777777" w:rsidR="008500D7" w:rsidRDefault="008500D7"/>
    <w:p w14:paraId="430745FF" w14:textId="77777777" w:rsidR="008500D7" w:rsidRDefault="008500D7"/>
    <w:p w14:paraId="76A10CE2" w14:textId="77777777" w:rsidR="008500D7" w:rsidRDefault="008500D7"/>
    <w:p w14:paraId="1DECC490" w14:textId="77777777" w:rsidR="008500D7" w:rsidRDefault="008500D7"/>
    <w:p w14:paraId="2636B354" w14:textId="77777777" w:rsidR="00AB296A" w:rsidRDefault="00AB296A"/>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FF39B8" w:rsidRPr="00E86D42" w14:paraId="7BB2CF76" w14:textId="77777777" w:rsidTr="002B2B5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313FE7F7" w14:textId="77777777" w:rsidR="00FF39B8" w:rsidRPr="00E86D42" w:rsidRDefault="00FF39B8" w:rsidP="002B2B52">
            <w:pPr>
              <w:spacing w:after="0" w:line="240" w:lineRule="auto"/>
              <w:rPr>
                <w:b/>
                <w:bCs/>
                <w:color w:val="FFFFFF"/>
              </w:rPr>
            </w:pPr>
            <w:r w:rsidRPr="000E3659">
              <w:rPr>
                <w:b/>
                <w:bCs/>
                <w:color w:val="FFFFFF"/>
              </w:rPr>
              <w:t xml:space="preserve">Pharmacogenomics Data – Request for Comment </w:t>
            </w:r>
            <w:r w:rsidRPr="000E3659">
              <w:rPr>
                <w:b/>
                <w:bCs/>
                <w:color w:val="FFFFFF"/>
              </w:rPr>
              <w:cr/>
            </w:r>
            <w:r>
              <w:rPr>
                <w:b/>
                <w:bCs/>
                <w:color w:val="FFFFFF"/>
              </w:rPr>
              <w:t xml:space="preserve">  </w:t>
            </w:r>
            <w:r w:rsidRPr="00DB70F2">
              <w:rPr>
                <w:b/>
                <w:bCs/>
                <w:color w:val="FFFF00"/>
              </w:rPr>
              <w:t>Page #236</w:t>
            </w:r>
          </w:p>
        </w:tc>
      </w:tr>
      <w:tr w:rsidR="00FF39B8" w:rsidRPr="00E86D42" w14:paraId="6FCED99E" w14:textId="77777777" w:rsidTr="002B2B52">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4A49BF94" w14:textId="08CC3BED" w:rsidR="00FF39B8" w:rsidRDefault="00FF39B8" w:rsidP="002B2B52">
            <w:pPr>
              <w:spacing w:after="0"/>
              <w:rPr>
                <w:bCs/>
                <w:sz w:val="20"/>
                <w:szCs w:val="20"/>
              </w:rPr>
            </w:pPr>
            <w:r w:rsidRPr="000E3659">
              <w:rPr>
                <w:bCs/>
                <w:sz w:val="20"/>
                <w:szCs w:val="20"/>
              </w:rPr>
              <w:lastRenderedPageBreak/>
              <w:t>Pharmacogenomics data identifies genetic variants i</w:t>
            </w:r>
            <w:r>
              <w:rPr>
                <w:bCs/>
                <w:sz w:val="20"/>
                <w:szCs w:val="20"/>
              </w:rPr>
              <w:t xml:space="preserve">n individuals that alter their </w:t>
            </w:r>
            <w:r w:rsidRPr="000E3659">
              <w:rPr>
                <w:bCs/>
                <w:sz w:val="20"/>
                <w:szCs w:val="20"/>
              </w:rPr>
              <w:t>metabolism or other interactions with medications and can lead t</w:t>
            </w:r>
            <w:r>
              <w:rPr>
                <w:bCs/>
                <w:sz w:val="20"/>
                <w:szCs w:val="20"/>
              </w:rPr>
              <w:t xml:space="preserve">o serious adverse events. This </w:t>
            </w:r>
            <w:r w:rsidRPr="000E3659">
              <w:rPr>
                <w:bCs/>
                <w:sz w:val="20"/>
                <w:szCs w:val="20"/>
              </w:rPr>
              <w:t>information is being included in an increasing number of FDA-approved drug la</w:t>
            </w:r>
            <w:r>
              <w:rPr>
                <w:bCs/>
                <w:sz w:val="20"/>
                <w:szCs w:val="20"/>
              </w:rPr>
              <w:t xml:space="preserve">bels. </w:t>
            </w:r>
            <w:r w:rsidRPr="00FC3EC3">
              <w:rPr>
                <w:bCs/>
                <w:sz w:val="20"/>
                <w:szCs w:val="20"/>
                <w:u w:val="single"/>
              </w:rPr>
              <w:t>Health IT systems that can capture pharmacogenomics information</w:t>
            </w:r>
            <w:r w:rsidRPr="000E3659">
              <w:rPr>
                <w:bCs/>
                <w:sz w:val="20"/>
                <w:szCs w:val="20"/>
              </w:rPr>
              <w:t xml:space="preserve"> could be used to increase patient safety and enhance patient outcomes</w:t>
            </w:r>
            <w:r>
              <w:rPr>
                <w:bCs/>
                <w:sz w:val="20"/>
                <w:szCs w:val="20"/>
              </w:rPr>
              <w:t>. ( Continued on page #237)</w:t>
            </w:r>
          </w:p>
          <w:p w14:paraId="0A4763DD" w14:textId="77777777" w:rsidR="00FF39B8" w:rsidRPr="00BD6E18" w:rsidRDefault="00FF39B8" w:rsidP="002B2B52">
            <w:pPr>
              <w:spacing w:after="0"/>
              <w:rPr>
                <w:bCs/>
                <w:sz w:val="20"/>
                <w:szCs w:val="20"/>
              </w:rPr>
            </w:pPr>
          </w:p>
        </w:tc>
      </w:tr>
      <w:tr w:rsidR="00FF39B8" w:rsidRPr="00E86D42" w14:paraId="46388D93" w14:textId="77777777" w:rsidTr="002B2B52">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7BEE31D2" w14:textId="7BFA3634" w:rsidR="00FF39B8" w:rsidRPr="000B5812" w:rsidRDefault="00FF39B8" w:rsidP="000B5812">
            <w:pPr>
              <w:spacing w:after="120" w:line="240" w:lineRule="atLeast"/>
              <w:rPr>
                <w:b/>
                <w:bCs/>
                <w:szCs w:val="20"/>
              </w:rPr>
            </w:pPr>
            <w:r w:rsidRPr="000B5812">
              <w:rPr>
                <w:b/>
                <w:bCs/>
                <w:szCs w:val="20"/>
              </w:rPr>
              <w:t xml:space="preserve">Public Comment Field – IUS Group 3: </w:t>
            </w:r>
          </w:p>
          <w:p w14:paraId="14DDDCFB" w14:textId="43B494A8" w:rsidR="00FF39B8" w:rsidRPr="000B5812" w:rsidRDefault="00FF39B8" w:rsidP="000B5812">
            <w:pPr>
              <w:spacing w:after="120" w:line="240" w:lineRule="atLeast"/>
              <w:rPr>
                <w:b/>
                <w:bCs/>
                <w:szCs w:val="20"/>
              </w:rPr>
            </w:pPr>
            <w:r w:rsidRPr="000B5812" w:rsidDel="00A72682">
              <w:rPr>
                <w:bCs/>
                <w:szCs w:val="20"/>
              </w:rPr>
              <w:t xml:space="preserve"> </w:t>
            </w:r>
            <w:r w:rsidRPr="000B5812">
              <w:rPr>
                <w:bCs/>
                <w:szCs w:val="20"/>
              </w:rPr>
              <w:t>The workgroup encourages a process that highlights priorities but stops short of requiring certification for important issues such as pharmacogenomics where there is a lack of foundational standards for a certification program.  This early prioritization would allow the industry and/or ONC to address the gaps prior to fully integrating into the Certification Program at a future date.</w:t>
            </w:r>
          </w:p>
          <w:p w14:paraId="1E733EAF" w14:textId="77777777" w:rsidR="00FF39B8" w:rsidRPr="00E86D42" w:rsidRDefault="00FF39B8" w:rsidP="000B5812">
            <w:pPr>
              <w:spacing w:after="120" w:line="240" w:lineRule="atLeast"/>
              <w:rPr>
                <w:rFonts w:ascii="Times New Roman" w:hAnsi="Times New Roman"/>
                <w:bCs/>
                <w:sz w:val="20"/>
                <w:szCs w:val="20"/>
              </w:rPr>
            </w:pPr>
            <w:r w:rsidRPr="000B5812">
              <w:rPr>
                <w:rFonts w:ascii="Times New Roman" w:hAnsi="Times New Roman"/>
                <w:bCs/>
                <w:szCs w:val="20"/>
              </w:rPr>
              <w:t xml:space="preserve"> </w:t>
            </w:r>
          </w:p>
        </w:tc>
      </w:tr>
    </w:tbl>
    <w:p w14:paraId="381C5043" w14:textId="77777777" w:rsidR="00FF39B8" w:rsidRDefault="00FF39B8"/>
    <w:p w14:paraId="3DBDB5F5" w14:textId="77777777" w:rsidR="00A61034" w:rsidRDefault="00A61034"/>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AB296A" w:rsidRPr="00E86D42" w14:paraId="7A0CFE00" w14:textId="77777777" w:rsidTr="00145038">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14:paraId="280C4703" w14:textId="77777777" w:rsidR="00AB296A" w:rsidRPr="00E86D42" w:rsidRDefault="00AB296A" w:rsidP="00145038">
            <w:pPr>
              <w:spacing w:after="0" w:line="240" w:lineRule="auto"/>
              <w:rPr>
                <w:b/>
                <w:bCs/>
                <w:color w:val="FFFFFF"/>
              </w:rPr>
            </w:pPr>
            <w:r w:rsidRPr="00EF4B14">
              <w:rPr>
                <w:b/>
                <w:bCs/>
                <w:color w:val="FFFFFF"/>
              </w:rPr>
              <w:t>2. Design and Performance (§ 170.315(g))</w:t>
            </w:r>
            <w:r>
              <w:rPr>
                <w:b/>
                <w:bCs/>
                <w:color w:val="FFFFFF"/>
              </w:rPr>
              <w:t xml:space="preserve">  </w:t>
            </w:r>
            <w:r>
              <w:rPr>
                <w:b/>
                <w:bCs/>
                <w:color w:val="FFFF00"/>
              </w:rPr>
              <w:t>Page #261</w:t>
            </w:r>
          </w:p>
        </w:tc>
      </w:tr>
      <w:tr w:rsidR="00AB296A" w:rsidRPr="00E86D42" w14:paraId="59028454" w14:textId="77777777" w:rsidTr="00145038">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14:paraId="5F263D17" w14:textId="1D238B7B" w:rsidR="00AB296A" w:rsidRPr="00984DD6" w:rsidRDefault="00962319" w:rsidP="00145038">
            <w:pPr>
              <w:spacing w:after="0"/>
              <w:rPr>
                <w:bCs/>
                <w:sz w:val="18"/>
                <w:szCs w:val="20"/>
              </w:rPr>
            </w:pPr>
            <w:r w:rsidRPr="00962319">
              <w:rPr>
                <w:sz w:val="20"/>
              </w:rPr>
              <w:t xml:space="preserve">We propose to revise § 170.550 to add paragraph (g), which </w:t>
            </w:r>
            <w:r w:rsidRPr="00FC3EC3">
              <w:rPr>
                <w:sz w:val="20"/>
                <w:u w:val="single"/>
              </w:rPr>
              <w:t>would require ONC-ACBs to certify Health IT Modules to certain proposed certification criteria</w:t>
            </w:r>
            <w:r w:rsidRPr="00962319">
              <w:rPr>
                <w:sz w:val="20"/>
              </w:rPr>
              <w:t xml:space="preserve"> under § 170.315(g). We propose to require ONC-ACBs to certify Health IT Modules to § 170.315(g)(3) (</w:t>
            </w:r>
            <w:r w:rsidRPr="00FC3EC3">
              <w:rPr>
                <w:sz w:val="20"/>
                <w:u w:val="single"/>
              </w:rPr>
              <w:t>safety-enhanced design</w:t>
            </w:r>
            <w:r w:rsidRPr="00962319">
              <w:rPr>
                <w:sz w:val="20"/>
              </w:rPr>
              <w:t>) and § 170.315(g)(6) (</w:t>
            </w:r>
            <w:r w:rsidRPr="00FC3EC3">
              <w:rPr>
                <w:sz w:val="20"/>
                <w:u w:val="single"/>
              </w:rPr>
              <w:t>Consolidated CDA creation performance</w:t>
            </w:r>
            <w:r w:rsidRPr="00962319">
              <w:rPr>
                <w:sz w:val="20"/>
              </w:rPr>
              <w:t>) consistent with the requirements included in these criteria. Paragraph (g) also includes a requirement for ONC-ACBs to certify all Health IT Modules presented for certification to the 2015 Edition to § 170.315(g)(4) (</w:t>
            </w:r>
            <w:r w:rsidRPr="00FC3EC3">
              <w:rPr>
                <w:sz w:val="20"/>
                <w:u w:val="single"/>
              </w:rPr>
              <w:t>quality system management</w:t>
            </w:r>
            <w:r w:rsidRPr="00962319">
              <w:rPr>
                <w:sz w:val="20"/>
              </w:rPr>
              <w:t>) and (g)(8) (</w:t>
            </w:r>
            <w:r w:rsidRPr="00FC3EC3">
              <w:rPr>
                <w:sz w:val="20"/>
                <w:u w:val="single"/>
              </w:rPr>
              <w:t>accessibility-centered design</w:t>
            </w:r>
            <w:r w:rsidRPr="00962319">
              <w:rPr>
                <w:sz w:val="20"/>
              </w:rPr>
              <w:t>).</w:t>
            </w:r>
            <w:r>
              <w:rPr>
                <w:sz w:val="20"/>
              </w:rPr>
              <w:t xml:space="preserve"> </w:t>
            </w:r>
            <w:r w:rsidR="009F2112">
              <w:rPr>
                <w:bCs/>
                <w:sz w:val="20"/>
                <w:szCs w:val="20"/>
              </w:rPr>
              <w:t>Continued on page #262</w:t>
            </w:r>
          </w:p>
        </w:tc>
      </w:tr>
      <w:tr w:rsidR="00AB296A" w:rsidRPr="00E86D42" w14:paraId="122F8D43" w14:textId="77777777" w:rsidTr="00145038">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14:paraId="49FAAC9B" w14:textId="77777777" w:rsidR="0005791E" w:rsidRPr="000B5812" w:rsidRDefault="0005791E" w:rsidP="000B5812">
            <w:pPr>
              <w:spacing w:after="120" w:line="240" w:lineRule="atLeast"/>
              <w:rPr>
                <w:b/>
                <w:bCs/>
                <w:szCs w:val="20"/>
              </w:rPr>
            </w:pPr>
            <w:r w:rsidRPr="000B5812">
              <w:rPr>
                <w:b/>
                <w:bCs/>
                <w:szCs w:val="20"/>
              </w:rPr>
              <w:t xml:space="preserve">Public Comment Field – IUS Group 3: </w:t>
            </w:r>
          </w:p>
          <w:p w14:paraId="4FDD8C6F" w14:textId="77777777" w:rsidR="002A3405" w:rsidRDefault="00C35952" w:rsidP="000B5812">
            <w:pPr>
              <w:spacing w:after="120" w:line="240" w:lineRule="atLeast"/>
              <w:rPr>
                <w:rFonts w:asciiTheme="minorHAnsi" w:hAnsiTheme="minorHAnsi"/>
                <w:bCs/>
                <w:szCs w:val="20"/>
              </w:rPr>
            </w:pPr>
            <w:r w:rsidRPr="00C35952">
              <w:rPr>
                <w:rFonts w:asciiTheme="minorHAnsi" w:hAnsiTheme="minorHAnsi"/>
                <w:bCs/>
                <w:szCs w:val="20"/>
              </w:rPr>
              <w:t>The Workgroup</w:t>
            </w:r>
            <w:r w:rsidR="002A3405">
              <w:rPr>
                <w:rFonts w:asciiTheme="minorHAnsi" w:hAnsiTheme="minorHAnsi"/>
                <w:bCs/>
                <w:szCs w:val="20"/>
              </w:rPr>
              <w:t xml:space="preserve"> reviewed this section and </w:t>
            </w:r>
            <w:r w:rsidRPr="00C35952">
              <w:rPr>
                <w:rFonts w:asciiTheme="minorHAnsi" w:hAnsiTheme="minorHAnsi"/>
                <w:bCs/>
                <w:szCs w:val="20"/>
              </w:rPr>
              <w:t>did not have s</w:t>
            </w:r>
            <w:r w:rsidR="002A3405">
              <w:rPr>
                <w:rFonts w:asciiTheme="minorHAnsi" w:hAnsiTheme="minorHAnsi"/>
                <w:bCs/>
                <w:szCs w:val="20"/>
              </w:rPr>
              <w:t xml:space="preserve">pecific recommendations or concerns with adding the new modules. </w:t>
            </w:r>
          </w:p>
          <w:p w14:paraId="7EECF7B9" w14:textId="71C4F1EE" w:rsidR="00D11755" w:rsidRPr="002A3405" w:rsidRDefault="002A3405" w:rsidP="000B5812">
            <w:pPr>
              <w:spacing w:after="120" w:line="240" w:lineRule="atLeast"/>
              <w:rPr>
                <w:rFonts w:asciiTheme="minorHAnsi" w:hAnsiTheme="minorHAnsi"/>
                <w:bCs/>
                <w:i/>
                <w:color w:val="FF0000"/>
                <w:szCs w:val="20"/>
              </w:rPr>
            </w:pPr>
            <w:r w:rsidRPr="002A3405">
              <w:rPr>
                <w:rFonts w:asciiTheme="minorHAnsi" w:hAnsiTheme="minorHAnsi"/>
                <w:bCs/>
                <w:i/>
                <w:color w:val="FF0000"/>
                <w:szCs w:val="20"/>
              </w:rPr>
              <w:t>We r</w:t>
            </w:r>
            <w:r w:rsidR="00C35952" w:rsidRPr="002A3405">
              <w:rPr>
                <w:rFonts w:asciiTheme="minorHAnsi" w:hAnsiTheme="minorHAnsi"/>
                <w:bCs/>
                <w:i/>
                <w:color w:val="FF0000"/>
                <w:szCs w:val="20"/>
              </w:rPr>
              <w:t xml:space="preserve">equest </w:t>
            </w:r>
            <w:r w:rsidRPr="002A3405">
              <w:rPr>
                <w:rFonts w:asciiTheme="minorHAnsi" w:hAnsiTheme="minorHAnsi"/>
                <w:bCs/>
                <w:i/>
                <w:color w:val="FF0000"/>
                <w:szCs w:val="20"/>
              </w:rPr>
              <w:t xml:space="preserve">additional </w:t>
            </w:r>
            <w:r w:rsidR="00C35952" w:rsidRPr="002A3405">
              <w:rPr>
                <w:rFonts w:asciiTheme="minorHAnsi" w:hAnsiTheme="minorHAnsi"/>
                <w:bCs/>
                <w:i/>
                <w:color w:val="FF0000"/>
                <w:szCs w:val="20"/>
              </w:rPr>
              <w:t>comment</w:t>
            </w:r>
            <w:r w:rsidRPr="002A3405">
              <w:rPr>
                <w:rFonts w:asciiTheme="minorHAnsi" w:hAnsiTheme="minorHAnsi"/>
                <w:bCs/>
                <w:i/>
                <w:color w:val="FF0000"/>
                <w:szCs w:val="20"/>
              </w:rPr>
              <w:t>s, recommendations, and/or concerns</w:t>
            </w:r>
            <w:r w:rsidR="00C35952" w:rsidRPr="002A3405">
              <w:rPr>
                <w:rFonts w:asciiTheme="minorHAnsi" w:hAnsiTheme="minorHAnsi"/>
                <w:bCs/>
                <w:i/>
                <w:color w:val="FF0000"/>
                <w:szCs w:val="20"/>
              </w:rPr>
              <w:t xml:space="preserve"> by the </w:t>
            </w:r>
            <w:r w:rsidR="0067214B" w:rsidRPr="002A3405">
              <w:rPr>
                <w:rFonts w:asciiTheme="minorHAnsi" w:hAnsiTheme="minorHAnsi"/>
                <w:bCs/>
                <w:i/>
                <w:color w:val="FF0000"/>
                <w:szCs w:val="20"/>
              </w:rPr>
              <w:t>full IUS</w:t>
            </w:r>
            <w:r w:rsidR="00C35952" w:rsidRPr="002A3405">
              <w:rPr>
                <w:rFonts w:asciiTheme="minorHAnsi" w:hAnsiTheme="minorHAnsi"/>
                <w:bCs/>
                <w:i/>
                <w:color w:val="FF0000"/>
                <w:szCs w:val="20"/>
              </w:rPr>
              <w:t xml:space="preserve"> work g</w:t>
            </w:r>
            <w:r w:rsidR="00D11755" w:rsidRPr="002A3405">
              <w:rPr>
                <w:rFonts w:asciiTheme="minorHAnsi" w:hAnsiTheme="minorHAnsi"/>
                <w:bCs/>
                <w:i/>
                <w:color w:val="FF0000"/>
                <w:szCs w:val="20"/>
              </w:rPr>
              <w:t>roup</w:t>
            </w:r>
            <w:r w:rsidR="00C35952" w:rsidRPr="002A3405">
              <w:rPr>
                <w:rFonts w:asciiTheme="minorHAnsi" w:hAnsiTheme="minorHAnsi"/>
                <w:bCs/>
                <w:i/>
                <w:color w:val="FF0000"/>
                <w:szCs w:val="20"/>
              </w:rPr>
              <w:t xml:space="preserve"> regarding new modules related to Safety-Enhanced Design, Consolidated CDA Creation Performance, Quality Management System, and Accessibility-Centered Design.</w:t>
            </w:r>
          </w:p>
          <w:p w14:paraId="0D65B724" w14:textId="77777777" w:rsidR="00240C0B" w:rsidRPr="00E86D42" w:rsidRDefault="00240C0B" w:rsidP="00984DD6">
            <w:pPr>
              <w:spacing w:after="60" w:line="240" w:lineRule="auto"/>
              <w:rPr>
                <w:rFonts w:ascii="Times New Roman" w:hAnsi="Times New Roman"/>
                <w:bCs/>
                <w:sz w:val="20"/>
                <w:szCs w:val="20"/>
              </w:rPr>
            </w:pPr>
          </w:p>
        </w:tc>
      </w:tr>
    </w:tbl>
    <w:p w14:paraId="454B0B1F" w14:textId="77777777" w:rsidR="00AB296A" w:rsidRDefault="00AB296A"/>
    <w:sectPr w:rsidR="00AB296A" w:rsidSect="00082F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6D40" w14:textId="77777777" w:rsidR="00782DC2" w:rsidRDefault="00782DC2" w:rsidP="00617A76">
      <w:pPr>
        <w:spacing w:after="0" w:line="240" w:lineRule="auto"/>
      </w:pPr>
      <w:r>
        <w:separator/>
      </w:r>
    </w:p>
  </w:endnote>
  <w:endnote w:type="continuationSeparator" w:id="0">
    <w:p w14:paraId="56B18DDC" w14:textId="77777777" w:rsidR="00782DC2" w:rsidRDefault="00782DC2" w:rsidP="0061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829FC" w14:textId="77777777" w:rsidR="00782DC2" w:rsidRDefault="00782DC2" w:rsidP="00617A76">
      <w:pPr>
        <w:spacing w:after="0" w:line="240" w:lineRule="auto"/>
      </w:pPr>
      <w:r>
        <w:separator/>
      </w:r>
    </w:p>
  </w:footnote>
  <w:footnote w:type="continuationSeparator" w:id="0">
    <w:p w14:paraId="534101B5" w14:textId="77777777" w:rsidR="00782DC2" w:rsidRDefault="00782DC2" w:rsidP="00617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9EF"/>
    <w:multiLevelType w:val="hybridMultilevel"/>
    <w:tmpl w:val="A20E8E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500389"/>
    <w:multiLevelType w:val="hybridMultilevel"/>
    <w:tmpl w:val="052838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1D4216"/>
    <w:multiLevelType w:val="hybridMultilevel"/>
    <w:tmpl w:val="485419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D218C4"/>
    <w:multiLevelType w:val="hybridMultilevel"/>
    <w:tmpl w:val="862A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F277B"/>
    <w:multiLevelType w:val="hybridMultilevel"/>
    <w:tmpl w:val="6E32F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44BA4"/>
    <w:multiLevelType w:val="hybridMultilevel"/>
    <w:tmpl w:val="3DCE91FC"/>
    <w:lvl w:ilvl="0" w:tplc="A8D8DD1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32D6A"/>
    <w:multiLevelType w:val="hybridMultilevel"/>
    <w:tmpl w:val="1C6242CA"/>
    <w:lvl w:ilvl="0" w:tplc="A8D8DD1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F74554"/>
    <w:multiLevelType w:val="hybridMultilevel"/>
    <w:tmpl w:val="D7F8D0D2"/>
    <w:lvl w:ilvl="0" w:tplc="06EAA77E">
      <w:start w:val="1"/>
      <w:numFmt w:val="upperLetter"/>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A047C"/>
    <w:multiLevelType w:val="hybridMultilevel"/>
    <w:tmpl w:val="7116E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C80892"/>
    <w:multiLevelType w:val="hybridMultilevel"/>
    <w:tmpl w:val="4170D140"/>
    <w:lvl w:ilvl="0" w:tplc="06EAA77E">
      <w:start w:val="1"/>
      <w:numFmt w:val="upperLetter"/>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3197D"/>
    <w:multiLevelType w:val="hybridMultilevel"/>
    <w:tmpl w:val="EDD0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53B1F"/>
    <w:multiLevelType w:val="hybridMultilevel"/>
    <w:tmpl w:val="B4709ACC"/>
    <w:lvl w:ilvl="0" w:tplc="04090001">
      <w:start w:val="1"/>
      <w:numFmt w:val="bullet"/>
      <w:lvlText w:val=""/>
      <w:lvlJc w:val="left"/>
      <w:pPr>
        <w:ind w:left="720" w:hanging="360"/>
      </w:pPr>
      <w:rPr>
        <w:rFonts w:ascii="Symbol" w:hAnsi="Symbol"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B92756"/>
    <w:multiLevelType w:val="hybridMultilevel"/>
    <w:tmpl w:val="A4967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F17D03"/>
    <w:multiLevelType w:val="hybridMultilevel"/>
    <w:tmpl w:val="D59EC16C"/>
    <w:lvl w:ilvl="0" w:tplc="A8D8DD16">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0588C"/>
    <w:multiLevelType w:val="hybridMultilevel"/>
    <w:tmpl w:val="94B0B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6509444E"/>
    <w:multiLevelType w:val="hybridMultilevel"/>
    <w:tmpl w:val="75BE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C22F1"/>
    <w:multiLevelType w:val="hybridMultilevel"/>
    <w:tmpl w:val="52F85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6"/>
  </w:num>
  <w:num w:numId="8">
    <w:abstractNumId w:val="13"/>
  </w:num>
  <w:num w:numId="9">
    <w:abstractNumId w:val="5"/>
  </w:num>
  <w:num w:numId="10">
    <w:abstractNumId w:val="3"/>
  </w:num>
  <w:num w:numId="11">
    <w:abstractNumId w:val="9"/>
  </w:num>
  <w:num w:numId="12">
    <w:abstractNumId w:val="11"/>
  </w:num>
  <w:num w:numId="13">
    <w:abstractNumId w:val="14"/>
  </w:num>
  <w:num w:numId="14">
    <w:abstractNumId w:val="16"/>
  </w:num>
  <w:num w:numId="15">
    <w:abstractNumId w:val="7"/>
  </w:num>
  <w:num w:numId="16">
    <w:abstractNumId w:val="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32"/>
    <w:rsid w:val="00000FA5"/>
    <w:rsid w:val="00004360"/>
    <w:rsid w:val="00011C20"/>
    <w:rsid w:val="00014B23"/>
    <w:rsid w:val="000242D7"/>
    <w:rsid w:val="00026918"/>
    <w:rsid w:val="000325B0"/>
    <w:rsid w:val="00035BED"/>
    <w:rsid w:val="00044EAF"/>
    <w:rsid w:val="0005124E"/>
    <w:rsid w:val="0005791E"/>
    <w:rsid w:val="00062A56"/>
    <w:rsid w:val="00082DE4"/>
    <w:rsid w:val="00082F32"/>
    <w:rsid w:val="00084FB1"/>
    <w:rsid w:val="000A0606"/>
    <w:rsid w:val="000A14D8"/>
    <w:rsid w:val="000B5812"/>
    <w:rsid w:val="000C2907"/>
    <w:rsid w:val="000D2CBE"/>
    <w:rsid w:val="000D34D7"/>
    <w:rsid w:val="000D4E3E"/>
    <w:rsid w:val="000E2E8F"/>
    <w:rsid w:val="000E3659"/>
    <w:rsid w:val="000F5F21"/>
    <w:rsid w:val="00107DEF"/>
    <w:rsid w:val="00114510"/>
    <w:rsid w:val="001145CA"/>
    <w:rsid w:val="00122330"/>
    <w:rsid w:val="00130996"/>
    <w:rsid w:val="00130E9D"/>
    <w:rsid w:val="00134AF5"/>
    <w:rsid w:val="00135DE1"/>
    <w:rsid w:val="0014111C"/>
    <w:rsid w:val="00151FB7"/>
    <w:rsid w:val="0016339B"/>
    <w:rsid w:val="00167617"/>
    <w:rsid w:val="00176476"/>
    <w:rsid w:val="00181BE2"/>
    <w:rsid w:val="00182250"/>
    <w:rsid w:val="00187FF4"/>
    <w:rsid w:val="0019030E"/>
    <w:rsid w:val="00190D90"/>
    <w:rsid w:val="00191C97"/>
    <w:rsid w:val="001A05FD"/>
    <w:rsid w:val="001A6610"/>
    <w:rsid w:val="001A738E"/>
    <w:rsid w:val="001B00AB"/>
    <w:rsid w:val="001B39F8"/>
    <w:rsid w:val="001C401A"/>
    <w:rsid w:val="001C47AA"/>
    <w:rsid w:val="001C50A7"/>
    <w:rsid w:val="001C51DB"/>
    <w:rsid w:val="001C5433"/>
    <w:rsid w:val="001C6DB1"/>
    <w:rsid w:val="001D5970"/>
    <w:rsid w:val="001D6C4D"/>
    <w:rsid w:val="001E5E93"/>
    <w:rsid w:val="001F553F"/>
    <w:rsid w:val="00204475"/>
    <w:rsid w:val="002060C4"/>
    <w:rsid w:val="00210C2C"/>
    <w:rsid w:val="0022153E"/>
    <w:rsid w:val="00224CAC"/>
    <w:rsid w:val="00230E06"/>
    <w:rsid w:val="00240C0B"/>
    <w:rsid w:val="0027240D"/>
    <w:rsid w:val="00277C89"/>
    <w:rsid w:val="0028712E"/>
    <w:rsid w:val="0029442A"/>
    <w:rsid w:val="002A3405"/>
    <w:rsid w:val="002A5CAD"/>
    <w:rsid w:val="002A6777"/>
    <w:rsid w:val="002D65C7"/>
    <w:rsid w:val="002D65EF"/>
    <w:rsid w:val="002E0827"/>
    <w:rsid w:val="002F1975"/>
    <w:rsid w:val="003140AC"/>
    <w:rsid w:val="003347CE"/>
    <w:rsid w:val="00341693"/>
    <w:rsid w:val="0035235B"/>
    <w:rsid w:val="00357CD0"/>
    <w:rsid w:val="00361E66"/>
    <w:rsid w:val="00366B79"/>
    <w:rsid w:val="00376621"/>
    <w:rsid w:val="003800A4"/>
    <w:rsid w:val="003A0839"/>
    <w:rsid w:val="003A242C"/>
    <w:rsid w:val="003A7762"/>
    <w:rsid w:val="003B5FD5"/>
    <w:rsid w:val="003B6EEE"/>
    <w:rsid w:val="003C57D4"/>
    <w:rsid w:val="003E210C"/>
    <w:rsid w:val="003F7075"/>
    <w:rsid w:val="00405DB2"/>
    <w:rsid w:val="004068D1"/>
    <w:rsid w:val="00407E33"/>
    <w:rsid w:val="004232DC"/>
    <w:rsid w:val="00423CF6"/>
    <w:rsid w:val="00443AC2"/>
    <w:rsid w:val="0044505A"/>
    <w:rsid w:val="004545FA"/>
    <w:rsid w:val="0046136C"/>
    <w:rsid w:val="00471E4E"/>
    <w:rsid w:val="004758C8"/>
    <w:rsid w:val="00487CFD"/>
    <w:rsid w:val="004A1F12"/>
    <w:rsid w:val="004B019A"/>
    <w:rsid w:val="004C6BFB"/>
    <w:rsid w:val="004D044F"/>
    <w:rsid w:val="004D631A"/>
    <w:rsid w:val="004E06D7"/>
    <w:rsid w:val="004E26D7"/>
    <w:rsid w:val="00504F9C"/>
    <w:rsid w:val="00516F64"/>
    <w:rsid w:val="00531345"/>
    <w:rsid w:val="00532CE0"/>
    <w:rsid w:val="00551F4F"/>
    <w:rsid w:val="0056388A"/>
    <w:rsid w:val="005656B2"/>
    <w:rsid w:val="00577E1F"/>
    <w:rsid w:val="00577F08"/>
    <w:rsid w:val="00580F1D"/>
    <w:rsid w:val="00581F55"/>
    <w:rsid w:val="0059452A"/>
    <w:rsid w:val="005A6E3C"/>
    <w:rsid w:val="005C227B"/>
    <w:rsid w:val="005C2998"/>
    <w:rsid w:val="005C2B8D"/>
    <w:rsid w:val="005C6458"/>
    <w:rsid w:val="005D3DD2"/>
    <w:rsid w:val="005D568E"/>
    <w:rsid w:val="005D611B"/>
    <w:rsid w:val="005E1569"/>
    <w:rsid w:val="005E3FD4"/>
    <w:rsid w:val="005F1317"/>
    <w:rsid w:val="005F533A"/>
    <w:rsid w:val="006058DF"/>
    <w:rsid w:val="00617A76"/>
    <w:rsid w:val="0062300F"/>
    <w:rsid w:val="006351B3"/>
    <w:rsid w:val="0063548A"/>
    <w:rsid w:val="00656D60"/>
    <w:rsid w:val="00667F5F"/>
    <w:rsid w:val="00671E2B"/>
    <w:rsid w:val="0067214B"/>
    <w:rsid w:val="006734FF"/>
    <w:rsid w:val="00677062"/>
    <w:rsid w:val="00690843"/>
    <w:rsid w:val="006919EA"/>
    <w:rsid w:val="00691DF2"/>
    <w:rsid w:val="0069232E"/>
    <w:rsid w:val="00696539"/>
    <w:rsid w:val="006A17BE"/>
    <w:rsid w:val="006B1C00"/>
    <w:rsid w:val="006D030C"/>
    <w:rsid w:val="006D088D"/>
    <w:rsid w:val="0070363D"/>
    <w:rsid w:val="00705566"/>
    <w:rsid w:val="00712006"/>
    <w:rsid w:val="00715F6A"/>
    <w:rsid w:val="00732A99"/>
    <w:rsid w:val="007373A0"/>
    <w:rsid w:val="00743F66"/>
    <w:rsid w:val="007440AF"/>
    <w:rsid w:val="00744F40"/>
    <w:rsid w:val="0076062B"/>
    <w:rsid w:val="00762C92"/>
    <w:rsid w:val="00763A50"/>
    <w:rsid w:val="00765AA5"/>
    <w:rsid w:val="0077464C"/>
    <w:rsid w:val="00782DC2"/>
    <w:rsid w:val="00785F0F"/>
    <w:rsid w:val="00786476"/>
    <w:rsid w:val="00790671"/>
    <w:rsid w:val="0079473C"/>
    <w:rsid w:val="007A0E16"/>
    <w:rsid w:val="007C0AF7"/>
    <w:rsid w:val="007D2C45"/>
    <w:rsid w:val="00802864"/>
    <w:rsid w:val="00804E2B"/>
    <w:rsid w:val="00811830"/>
    <w:rsid w:val="008169AF"/>
    <w:rsid w:val="00817B83"/>
    <w:rsid w:val="008279CE"/>
    <w:rsid w:val="00827E0A"/>
    <w:rsid w:val="00834FE1"/>
    <w:rsid w:val="008500D7"/>
    <w:rsid w:val="00850941"/>
    <w:rsid w:val="00864D14"/>
    <w:rsid w:val="008703F2"/>
    <w:rsid w:val="008917CA"/>
    <w:rsid w:val="008932B3"/>
    <w:rsid w:val="008A1BA3"/>
    <w:rsid w:val="008A5B62"/>
    <w:rsid w:val="008B12EA"/>
    <w:rsid w:val="008B49FE"/>
    <w:rsid w:val="008C6AE1"/>
    <w:rsid w:val="008D1BFE"/>
    <w:rsid w:val="008D281D"/>
    <w:rsid w:val="008D76E3"/>
    <w:rsid w:val="008E07A6"/>
    <w:rsid w:val="008E6A19"/>
    <w:rsid w:val="008F1E27"/>
    <w:rsid w:val="008F534B"/>
    <w:rsid w:val="009006EB"/>
    <w:rsid w:val="009039E4"/>
    <w:rsid w:val="00904AAB"/>
    <w:rsid w:val="00912124"/>
    <w:rsid w:val="00913785"/>
    <w:rsid w:val="00915F8E"/>
    <w:rsid w:val="0091605A"/>
    <w:rsid w:val="0091753E"/>
    <w:rsid w:val="009309AF"/>
    <w:rsid w:val="00931972"/>
    <w:rsid w:val="00934771"/>
    <w:rsid w:val="009428C7"/>
    <w:rsid w:val="009547D9"/>
    <w:rsid w:val="00961096"/>
    <w:rsid w:val="00962319"/>
    <w:rsid w:val="00973968"/>
    <w:rsid w:val="00981EEB"/>
    <w:rsid w:val="00984DD6"/>
    <w:rsid w:val="00991D80"/>
    <w:rsid w:val="009A1481"/>
    <w:rsid w:val="009B1F45"/>
    <w:rsid w:val="009C5F16"/>
    <w:rsid w:val="009F2112"/>
    <w:rsid w:val="00A0027E"/>
    <w:rsid w:val="00A12343"/>
    <w:rsid w:val="00A15DE9"/>
    <w:rsid w:val="00A244B6"/>
    <w:rsid w:val="00A2629C"/>
    <w:rsid w:val="00A30FCE"/>
    <w:rsid w:val="00A356F8"/>
    <w:rsid w:val="00A36E83"/>
    <w:rsid w:val="00A43138"/>
    <w:rsid w:val="00A442D7"/>
    <w:rsid w:val="00A44F5C"/>
    <w:rsid w:val="00A46A61"/>
    <w:rsid w:val="00A52E2F"/>
    <w:rsid w:val="00A61034"/>
    <w:rsid w:val="00A72682"/>
    <w:rsid w:val="00A90201"/>
    <w:rsid w:val="00A93E9F"/>
    <w:rsid w:val="00A9708B"/>
    <w:rsid w:val="00AA4D7A"/>
    <w:rsid w:val="00AA6A7C"/>
    <w:rsid w:val="00AB296A"/>
    <w:rsid w:val="00AC0CC8"/>
    <w:rsid w:val="00AC72BB"/>
    <w:rsid w:val="00B067C1"/>
    <w:rsid w:val="00B120BA"/>
    <w:rsid w:val="00B14D82"/>
    <w:rsid w:val="00B2048D"/>
    <w:rsid w:val="00B2375D"/>
    <w:rsid w:val="00B27723"/>
    <w:rsid w:val="00B32F95"/>
    <w:rsid w:val="00B34035"/>
    <w:rsid w:val="00B3575F"/>
    <w:rsid w:val="00B3716C"/>
    <w:rsid w:val="00B41C1A"/>
    <w:rsid w:val="00B4523A"/>
    <w:rsid w:val="00B51CD3"/>
    <w:rsid w:val="00B55378"/>
    <w:rsid w:val="00B615A9"/>
    <w:rsid w:val="00B62841"/>
    <w:rsid w:val="00B757DB"/>
    <w:rsid w:val="00B77AC7"/>
    <w:rsid w:val="00B80432"/>
    <w:rsid w:val="00B902F1"/>
    <w:rsid w:val="00B91A34"/>
    <w:rsid w:val="00BA6E94"/>
    <w:rsid w:val="00BB6E5C"/>
    <w:rsid w:val="00BC14B8"/>
    <w:rsid w:val="00BC5FA0"/>
    <w:rsid w:val="00BD4D49"/>
    <w:rsid w:val="00BD6C3E"/>
    <w:rsid w:val="00BD6EC1"/>
    <w:rsid w:val="00BE0166"/>
    <w:rsid w:val="00BE1739"/>
    <w:rsid w:val="00BE289E"/>
    <w:rsid w:val="00BE548B"/>
    <w:rsid w:val="00BE700F"/>
    <w:rsid w:val="00BF01DF"/>
    <w:rsid w:val="00BF3D4A"/>
    <w:rsid w:val="00C00E33"/>
    <w:rsid w:val="00C012D5"/>
    <w:rsid w:val="00C04B58"/>
    <w:rsid w:val="00C13C8C"/>
    <w:rsid w:val="00C13D86"/>
    <w:rsid w:val="00C17520"/>
    <w:rsid w:val="00C2018A"/>
    <w:rsid w:val="00C20A5A"/>
    <w:rsid w:val="00C23D56"/>
    <w:rsid w:val="00C24472"/>
    <w:rsid w:val="00C26764"/>
    <w:rsid w:val="00C333D9"/>
    <w:rsid w:val="00C35952"/>
    <w:rsid w:val="00C43541"/>
    <w:rsid w:val="00C577E4"/>
    <w:rsid w:val="00C610ED"/>
    <w:rsid w:val="00C67C4C"/>
    <w:rsid w:val="00C73C60"/>
    <w:rsid w:val="00C84CC3"/>
    <w:rsid w:val="00C862D0"/>
    <w:rsid w:val="00C92461"/>
    <w:rsid w:val="00C9305F"/>
    <w:rsid w:val="00CA3272"/>
    <w:rsid w:val="00CA335F"/>
    <w:rsid w:val="00CA40EB"/>
    <w:rsid w:val="00CA5C0F"/>
    <w:rsid w:val="00CB3E8B"/>
    <w:rsid w:val="00CC4C1A"/>
    <w:rsid w:val="00CC4F4A"/>
    <w:rsid w:val="00CE1816"/>
    <w:rsid w:val="00CF12EF"/>
    <w:rsid w:val="00CF3D10"/>
    <w:rsid w:val="00CF4E64"/>
    <w:rsid w:val="00D044A8"/>
    <w:rsid w:val="00D108F5"/>
    <w:rsid w:val="00D11755"/>
    <w:rsid w:val="00D14203"/>
    <w:rsid w:val="00D20413"/>
    <w:rsid w:val="00D2267F"/>
    <w:rsid w:val="00D360DC"/>
    <w:rsid w:val="00D4031C"/>
    <w:rsid w:val="00D41012"/>
    <w:rsid w:val="00D51670"/>
    <w:rsid w:val="00D64754"/>
    <w:rsid w:val="00D65ED7"/>
    <w:rsid w:val="00D66378"/>
    <w:rsid w:val="00D735E2"/>
    <w:rsid w:val="00D96BCD"/>
    <w:rsid w:val="00DB4AD9"/>
    <w:rsid w:val="00DB6F47"/>
    <w:rsid w:val="00DB70F2"/>
    <w:rsid w:val="00DC227A"/>
    <w:rsid w:val="00DC2A1B"/>
    <w:rsid w:val="00DC5CF7"/>
    <w:rsid w:val="00DD1D4A"/>
    <w:rsid w:val="00DD23E6"/>
    <w:rsid w:val="00DD2784"/>
    <w:rsid w:val="00DD29A8"/>
    <w:rsid w:val="00DE56CE"/>
    <w:rsid w:val="00DE6440"/>
    <w:rsid w:val="00DF1FD9"/>
    <w:rsid w:val="00E10E55"/>
    <w:rsid w:val="00E325BD"/>
    <w:rsid w:val="00E45355"/>
    <w:rsid w:val="00E460D1"/>
    <w:rsid w:val="00E64469"/>
    <w:rsid w:val="00E6477E"/>
    <w:rsid w:val="00E73C06"/>
    <w:rsid w:val="00E76203"/>
    <w:rsid w:val="00E818C3"/>
    <w:rsid w:val="00E81F36"/>
    <w:rsid w:val="00E829B9"/>
    <w:rsid w:val="00E9232E"/>
    <w:rsid w:val="00EB4DEE"/>
    <w:rsid w:val="00EB72D1"/>
    <w:rsid w:val="00EC59C2"/>
    <w:rsid w:val="00ED48F3"/>
    <w:rsid w:val="00EE0B29"/>
    <w:rsid w:val="00EF4B14"/>
    <w:rsid w:val="00F0390A"/>
    <w:rsid w:val="00F04301"/>
    <w:rsid w:val="00F27A4F"/>
    <w:rsid w:val="00F3201B"/>
    <w:rsid w:val="00F35EDC"/>
    <w:rsid w:val="00F42B38"/>
    <w:rsid w:val="00F47D02"/>
    <w:rsid w:val="00F530F5"/>
    <w:rsid w:val="00F57F2B"/>
    <w:rsid w:val="00F61CEA"/>
    <w:rsid w:val="00F640E2"/>
    <w:rsid w:val="00F8103E"/>
    <w:rsid w:val="00F863C6"/>
    <w:rsid w:val="00F917AA"/>
    <w:rsid w:val="00F942A5"/>
    <w:rsid w:val="00FA32C2"/>
    <w:rsid w:val="00FA4057"/>
    <w:rsid w:val="00FA7214"/>
    <w:rsid w:val="00FB3A9F"/>
    <w:rsid w:val="00FC165F"/>
    <w:rsid w:val="00FC3EC3"/>
    <w:rsid w:val="00FC7BD0"/>
    <w:rsid w:val="00FE0DFD"/>
    <w:rsid w:val="00FE112B"/>
    <w:rsid w:val="00FE2D5F"/>
    <w:rsid w:val="00FF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paragraph" w:styleId="Heading1">
    <w:name w:val="heading 1"/>
    <w:basedOn w:val="Normal"/>
    <w:next w:val="Normal"/>
    <w:link w:val="Heading1Char"/>
    <w:qFormat/>
    <w:rsid w:val="00617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ListParagraph">
    <w:name w:val="List Paragraph"/>
    <w:basedOn w:val="Normal"/>
    <w:uiPriority w:val="34"/>
    <w:qFormat/>
    <w:rsid w:val="0076062B"/>
    <w:pPr>
      <w:ind w:left="720"/>
      <w:contextualSpacing/>
    </w:pPr>
  </w:style>
  <w:style w:type="paragraph" w:styleId="BalloonText">
    <w:name w:val="Balloon Text"/>
    <w:basedOn w:val="Normal"/>
    <w:link w:val="BalloonTextChar"/>
    <w:uiPriority w:val="99"/>
    <w:semiHidden/>
    <w:unhideWhenUsed/>
    <w:rsid w:val="00CF1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2EF"/>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36E83"/>
    <w:rPr>
      <w:sz w:val="16"/>
      <w:szCs w:val="16"/>
    </w:rPr>
  </w:style>
  <w:style w:type="paragraph" w:styleId="CommentText">
    <w:name w:val="annotation text"/>
    <w:basedOn w:val="Normal"/>
    <w:link w:val="CommentTextChar"/>
    <w:uiPriority w:val="99"/>
    <w:semiHidden/>
    <w:unhideWhenUsed/>
    <w:rsid w:val="00A36E83"/>
    <w:pPr>
      <w:spacing w:line="240" w:lineRule="auto"/>
    </w:pPr>
    <w:rPr>
      <w:sz w:val="20"/>
      <w:szCs w:val="20"/>
    </w:rPr>
  </w:style>
  <w:style w:type="character" w:customStyle="1" w:styleId="CommentTextChar">
    <w:name w:val="Comment Text Char"/>
    <w:basedOn w:val="DefaultParagraphFont"/>
    <w:link w:val="CommentText"/>
    <w:uiPriority w:val="99"/>
    <w:semiHidden/>
    <w:rsid w:val="00A36E83"/>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6E83"/>
    <w:rPr>
      <w:b/>
      <w:bCs/>
    </w:rPr>
  </w:style>
  <w:style w:type="character" w:customStyle="1" w:styleId="CommentSubjectChar">
    <w:name w:val="Comment Subject Char"/>
    <w:basedOn w:val="CommentTextChar"/>
    <w:link w:val="CommentSubject"/>
    <w:uiPriority w:val="99"/>
    <w:semiHidden/>
    <w:rsid w:val="00A36E83"/>
    <w:rPr>
      <w:rFonts w:ascii="Calibri" w:eastAsia="MS Mincho" w:hAnsi="Calibri" w:cs="Times New Roman"/>
      <w:b/>
      <w:bCs/>
      <w:sz w:val="20"/>
      <w:szCs w:val="20"/>
    </w:rPr>
  </w:style>
  <w:style w:type="character" w:styleId="Strong">
    <w:name w:val="Strong"/>
    <w:basedOn w:val="DefaultParagraphFont"/>
    <w:uiPriority w:val="22"/>
    <w:qFormat/>
    <w:rsid w:val="00B2375D"/>
    <w:rPr>
      <w:b/>
      <w:bCs/>
    </w:rPr>
  </w:style>
  <w:style w:type="character" w:styleId="Hyperlink">
    <w:name w:val="Hyperlink"/>
    <w:basedOn w:val="DefaultParagraphFont"/>
    <w:uiPriority w:val="99"/>
    <w:semiHidden/>
    <w:unhideWhenUsed/>
    <w:rsid w:val="00B2375D"/>
    <w:rPr>
      <w:color w:val="0000FF"/>
      <w:u w:val="single"/>
    </w:rPr>
  </w:style>
  <w:style w:type="character" w:customStyle="1" w:styleId="Heading1Char">
    <w:name w:val="Heading 1 Char"/>
    <w:basedOn w:val="DefaultParagraphFont"/>
    <w:link w:val="Heading1"/>
    <w:rsid w:val="00617A7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617A76"/>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rsid w:val="00617A76"/>
    <w:rPr>
      <w:rFonts w:ascii="Calibri" w:eastAsia="Calibri" w:hAnsi="Calibri" w:cs="Times New Roman"/>
      <w:sz w:val="20"/>
      <w:szCs w:val="20"/>
    </w:rPr>
  </w:style>
  <w:style w:type="character" w:styleId="FootnoteReference">
    <w:name w:val="footnote reference"/>
    <w:basedOn w:val="DefaultParagraphFont"/>
    <w:uiPriority w:val="99"/>
    <w:unhideWhenUsed/>
    <w:rsid w:val="00617A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paragraph" w:styleId="Heading1">
    <w:name w:val="heading 1"/>
    <w:basedOn w:val="Normal"/>
    <w:next w:val="Normal"/>
    <w:link w:val="Heading1Char"/>
    <w:qFormat/>
    <w:rsid w:val="00617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ListParagraph">
    <w:name w:val="List Paragraph"/>
    <w:basedOn w:val="Normal"/>
    <w:uiPriority w:val="34"/>
    <w:qFormat/>
    <w:rsid w:val="0076062B"/>
    <w:pPr>
      <w:ind w:left="720"/>
      <w:contextualSpacing/>
    </w:pPr>
  </w:style>
  <w:style w:type="paragraph" w:styleId="BalloonText">
    <w:name w:val="Balloon Text"/>
    <w:basedOn w:val="Normal"/>
    <w:link w:val="BalloonTextChar"/>
    <w:uiPriority w:val="99"/>
    <w:semiHidden/>
    <w:unhideWhenUsed/>
    <w:rsid w:val="00CF1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2EF"/>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36E83"/>
    <w:rPr>
      <w:sz w:val="16"/>
      <w:szCs w:val="16"/>
    </w:rPr>
  </w:style>
  <w:style w:type="paragraph" w:styleId="CommentText">
    <w:name w:val="annotation text"/>
    <w:basedOn w:val="Normal"/>
    <w:link w:val="CommentTextChar"/>
    <w:uiPriority w:val="99"/>
    <w:semiHidden/>
    <w:unhideWhenUsed/>
    <w:rsid w:val="00A36E83"/>
    <w:pPr>
      <w:spacing w:line="240" w:lineRule="auto"/>
    </w:pPr>
    <w:rPr>
      <w:sz w:val="20"/>
      <w:szCs w:val="20"/>
    </w:rPr>
  </w:style>
  <w:style w:type="character" w:customStyle="1" w:styleId="CommentTextChar">
    <w:name w:val="Comment Text Char"/>
    <w:basedOn w:val="DefaultParagraphFont"/>
    <w:link w:val="CommentText"/>
    <w:uiPriority w:val="99"/>
    <w:semiHidden/>
    <w:rsid w:val="00A36E83"/>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6E83"/>
    <w:rPr>
      <w:b/>
      <w:bCs/>
    </w:rPr>
  </w:style>
  <w:style w:type="character" w:customStyle="1" w:styleId="CommentSubjectChar">
    <w:name w:val="Comment Subject Char"/>
    <w:basedOn w:val="CommentTextChar"/>
    <w:link w:val="CommentSubject"/>
    <w:uiPriority w:val="99"/>
    <w:semiHidden/>
    <w:rsid w:val="00A36E83"/>
    <w:rPr>
      <w:rFonts w:ascii="Calibri" w:eastAsia="MS Mincho" w:hAnsi="Calibri" w:cs="Times New Roman"/>
      <w:b/>
      <w:bCs/>
      <w:sz w:val="20"/>
      <w:szCs w:val="20"/>
    </w:rPr>
  </w:style>
  <w:style w:type="character" w:styleId="Strong">
    <w:name w:val="Strong"/>
    <w:basedOn w:val="DefaultParagraphFont"/>
    <w:uiPriority w:val="22"/>
    <w:qFormat/>
    <w:rsid w:val="00B2375D"/>
    <w:rPr>
      <w:b/>
      <w:bCs/>
    </w:rPr>
  </w:style>
  <w:style w:type="character" w:styleId="Hyperlink">
    <w:name w:val="Hyperlink"/>
    <w:basedOn w:val="DefaultParagraphFont"/>
    <w:uiPriority w:val="99"/>
    <w:semiHidden/>
    <w:unhideWhenUsed/>
    <w:rsid w:val="00B2375D"/>
    <w:rPr>
      <w:color w:val="0000FF"/>
      <w:u w:val="single"/>
    </w:rPr>
  </w:style>
  <w:style w:type="character" w:customStyle="1" w:styleId="Heading1Char">
    <w:name w:val="Heading 1 Char"/>
    <w:basedOn w:val="DefaultParagraphFont"/>
    <w:link w:val="Heading1"/>
    <w:rsid w:val="00617A7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617A76"/>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rsid w:val="00617A76"/>
    <w:rPr>
      <w:rFonts w:ascii="Calibri" w:eastAsia="Calibri" w:hAnsi="Calibri" w:cs="Times New Roman"/>
      <w:sz w:val="20"/>
      <w:szCs w:val="20"/>
    </w:rPr>
  </w:style>
  <w:style w:type="character" w:styleId="FootnoteReference">
    <w:name w:val="footnote reference"/>
    <w:basedOn w:val="DefaultParagraphFont"/>
    <w:uiPriority w:val="99"/>
    <w:unhideWhenUsed/>
    <w:rsid w:val="00617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39243">
      <w:bodyDiv w:val="1"/>
      <w:marLeft w:val="0"/>
      <w:marRight w:val="0"/>
      <w:marTop w:val="0"/>
      <w:marBottom w:val="0"/>
      <w:divBdr>
        <w:top w:val="none" w:sz="0" w:space="0" w:color="auto"/>
        <w:left w:val="none" w:sz="0" w:space="0" w:color="auto"/>
        <w:bottom w:val="none" w:sz="0" w:space="0" w:color="auto"/>
        <w:right w:val="none" w:sz="0" w:space="0" w:color="auto"/>
      </w:divBdr>
    </w:div>
    <w:div w:id="946621887">
      <w:bodyDiv w:val="1"/>
      <w:marLeft w:val="0"/>
      <w:marRight w:val="0"/>
      <w:marTop w:val="0"/>
      <w:marBottom w:val="0"/>
      <w:divBdr>
        <w:top w:val="none" w:sz="0" w:space="0" w:color="auto"/>
        <w:left w:val="none" w:sz="0" w:space="0" w:color="auto"/>
        <w:bottom w:val="none" w:sz="0" w:space="0" w:color="auto"/>
        <w:right w:val="none" w:sz="0" w:space="0" w:color="auto"/>
      </w:divBdr>
    </w:div>
    <w:div w:id="1072852985">
      <w:bodyDiv w:val="1"/>
      <w:marLeft w:val="0"/>
      <w:marRight w:val="0"/>
      <w:marTop w:val="0"/>
      <w:marBottom w:val="0"/>
      <w:divBdr>
        <w:top w:val="none" w:sz="0" w:space="0" w:color="auto"/>
        <w:left w:val="none" w:sz="0" w:space="0" w:color="auto"/>
        <w:bottom w:val="none" w:sz="0" w:space="0" w:color="auto"/>
        <w:right w:val="none" w:sz="0" w:space="0" w:color="auto"/>
      </w:divBdr>
    </w:div>
    <w:div w:id="1088960165">
      <w:bodyDiv w:val="1"/>
      <w:marLeft w:val="0"/>
      <w:marRight w:val="0"/>
      <w:marTop w:val="0"/>
      <w:marBottom w:val="0"/>
      <w:divBdr>
        <w:top w:val="none" w:sz="0" w:space="0" w:color="auto"/>
        <w:left w:val="none" w:sz="0" w:space="0" w:color="auto"/>
        <w:bottom w:val="none" w:sz="0" w:space="0" w:color="auto"/>
        <w:right w:val="none" w:sz="0" w:space="0" w:color="auto"/>
      </w:divBdr>
    </w:div>
    <w:div w:id="1169757988">
      <w:bodyDiv w:val="1"/>
      <w:marLeft w:val="0"/>
      <w:marRight w:val="0"/>
      <w:marTop w:val="0"/>
      <w:marBottom w:val="0"/>
      <w:divBdr>
        <w:top w:val="none" w:sz="0" w:space="0" w:color="auto"/>
        <w:left w:val="none" w:sz="0" w:space="0" w:color="auto"/>
        <w:bottom w:val="none" w:sz="0" w:space="0" w:color="auto"/>
        <w:right w:val="none" w:sz="0" w:space="0" w:color="auto"/>
      </w:divBdr>
    </w:div>
    <w:div w:id="1253319765">
      <w:bodyDiv w:val="1"/>
      <w:marLeft w:val="0"/>
      <w:marRight w:val="0"/>
      <w:marTop w:val="0"/>
      <w:marBottom w:val="0"/>
      <w:divBdr>
        <w:top w:val="none" w:sz="0" w:space="0" w:color="auto"/>
        <w:left w:val="none" w:sz="0" w:space="0" w:color="auto"/>
        <w:bottom w:val="none" w:sz="0" w:space="0" w:color="auto"/>
        <w:right w:val="none" w:sz="0" w:space="0" w:color="auto"/>
      </w:divBdr>
    </w:div>
    <w:div w:id="1264652023">
      <w:bodyDiv w:val="1"/>
      <w:marLeft w:val="0"/>
      <w:marRight w:val="0"/>
      <w:marTop w:val="0"/>
      <w:marBottom w:val="0"/>
      <w:divBdr>
        <w:top w:val="none" w:sz="0" w:space="0" w:color="auto"/>
        <w:left w:val="none" w:sz="0" w:space="0" w:color="auto"/>
        <w:bottom w:val="none" w:sz="0" w:space="0" w:color="auto"/>
        <w:right w:val="none" w:sz="0" w:space="0" w:color="auto"/>
      </w:divBdr>
    </w:div>
    <w:div w:id="1747799121">
      <w:bodyDiv w:val="1"/>
      <w:marLeft w:val="0"/>
      <w:marRight w:val="0"/>
      <w:marTop w:val="0"/>
      <w:marBottom w:val="0"/>
      <w:divBdr>
        <w:top w:val="none" w:sz="0" w:space="0" w:color="auto"/>
        <w:left w:val="none" w:sz="0" w:space="0" w:color="auto"/>
        <w:bottom w:val="none" w:sz="0" w:space="0" w:color="auto"/>
        <w:right w:val="none" w:sz="0" w:space="0" w:color="auto"/>
      </w:divBdr>
    </w:div>
    <w:div w:id="1926693304">
      <w:bodyDiv w:val="1"/>
      <w:marLeft w:val="0"/>
      <w:marRight w:val="0"/>
      <w:marTop w:val="0"/>
      <w:marBottom w:val="0"/>
      <w:divBdr>
        <w:top w:val="none" w:sz="0" w:space="0" w:color="auto"/>
        <w:left w:val="none" w:sz="0" w:space="0" w:color="auto"/>
        <w:bottom w:val="none" w:sz="0" w:space="0" w:color="auto"/>
        <w:right w:val="none" w:sz="0" w:space="0" w:color="auto"/>
      </w:divBdr>
    </w:div>
    <w:div w:id="21262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40F4-B9DE-4267-A9AB-F3FA24AC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3231</Words>
  <Characters>18420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FDNY BTDS</dc:creator>
  <cp:lastModifiedBy>Caitlin Collins</cp:lastModifiedBy>
  <cp:revision>2</cp:revision>
  <cp:lastPrinted>2015-04-09T13:23:00Z</cp:lastPrinted>
  <dcterms:created xsi:type="dcterms:W3CDTF">2015-05-01T18:23:00Z</dcterms:created>
  <dcterms:modified xsi:type="dcterms:W3CDTF">2015-05-01T18:23:00Z</dcterms:modified>
</cp:coreProperties>
</file>