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64" w:rsidRPr="00A36FD5" w:rsidRDefault="00FF2964" w:rsidP="00FF2964">
      <w:pPr>
        <w:spacing w:after="0" w:line="240" w:lineRule="auto"/>
        <w:jc w:val="center"/>
        <w:rPr>
          <w:rFonts w:ascii="Times New Roman" w:hAnsi="Times New Roman" w:cs="Times New Roman"/>
          <w:b/>
          <w:sz w:val="28"/>
          <w:szCs w:val="28"/>
          <w:u w:val="single"/>
        </w:rPr>
      </w:pPr>
      <w:bookmarkStart w:id="0" w:name="_Toc319063347"/>
      <w:bookmarkStart w:id="1" w:name="_Toc319063740"/>
      <w:bookmarkStart w:id="2" w:name="_Toc319063813"/>
      <w:bookmarkStart w:id="3" w:name="_Toc319064368"/>
      <w:r w:rsidRPr="00A36FD5">
        <w:rPr>
          <w:rFonts w:ascii="Times New Roman" w:hAnsi="Times New Roman" w:cs="Times New Roman"/>
          <w:b/>
          <w:sz w:val="28"/>
          <w:szCs w:val="28"/>
          <w:u w:val="single"/>
        </w:rPr>
        <w:t>Office of the National Coordinator for Health IT</w:t>
      </w:r>
    </w:p>
    <w:p w:rsidR="00FF2964" w:rsidRPr="00A36FD5" w:rsidRDefault="0049254A" w:rsidP="00FF2964">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Governance RFI</w:t>
      </w:r>
    </w:p>
    <w:p w:rsidR="00FF2964" w:rsidRPr="00A36FD5" w:rsidRDefault="00A62CE2" w:rsidP="001E51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bookmarkEnd w:id="0"/>
    <w:bookmarkEnd w:id="1"/>
    <w:bookmarkEnd w:id="2"/>
    <w:bookmarkEnd w:id="3"/>
    <w:p w:rsidR="001E514C" w:rsidRDefault="00394FA3" w:rsidP="004A25DC">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Establishing a G</w:t>
      </w:r>
      <w:r w:rsidR="0049254A" w:rsidRPr="00394FA3">
        <w:rPr>
          <w:rFonts w:ascii="Times New Roman" w:hAnsi="Times New Roman" w:cs="Times New Roman"/>
          <w:b/>
          <w:sz w:val="28"/>
          <w:szCs w:val="24"/>
        </w:rPr>
        <w:t>overnance</w:t>
      </w:r>
      <w:r>
        <w:rPr>
          <w:rFonts w:ascii="Times New Roman" w:hAnsi="Times New Roman" w:cs="Times New Roman"/>
          <w:b/>
          <w:sz w:val="28"/>
          <w:szCs w:val="24"/>
        </w:rPr>
        <w:t xml:space="preserve"> M</w:t>
      </w:r>
      <w:r w:rsidR="0049254A" w:rsidRPr="00394FA3">
        <w:rPr>
          <w:rFonts w:ascii="Times New Roman" w:hAnsi="Times New Roman" w:cs="Times New Roman"/>
          <w:b/>
          <w:sz w:val="28"/>
          <w:szCs w:val="24"/>
        </w:rPr>
        <w:t>echanism for the</w:t>
      </w:r>
      <w:r>
        <w:rPr>
          <w:rFonts w:ascii="Times New Roman" w:hAnsi="Times New Roman" w:cs="Times New Roman"/>
          <w:b/>
          <w:sz w:val="28"/>
          <w:szCs w:val="24"/>
        </w:rPr>
        <w:t xml:space="preserve"> Nationwide Health Information N</w:t>
      </w:r>
      <w:r w:rsidR="0049254A" w:rsidRPr="00394FA3">
        <w:rPr>
          <w:rFonts w:ascii="Times New Roman" w:hAnsi="Times New Roman" w:cs="Times New Roman"/>
          <w:b/>
          <w:sz w:val="28"/>
          <w:szCs w:val="24"/>
        </w:rPr>
        <w:t>etwork</w:t>
      </w:r>
    </w:p>
    <w:p w:rsidR="00BE7989" w:rsidRDefault="00BE7989" w:rsidP="004A25DC">
      <w:pPr>
        <w:spacing w:after="0" w:line="240" w:lineRule="auto"/>
        <w:jc w:val="center"/>
        <w:rPr>
          <w:rFonts w:ascii="Times New Roman" w:hAnsi="Times New Roman" w:cs="Times New Roman"/>
          <w:b/>
          <w:sz w:val="28"/>
          <w:szCs w:val="24"/>
        </w:rPr>
      </w:pPr>
    </w:p>
    <w:p w:rsidR="004A25DC" w:rsidRDefault="00BE7989" w:rsidP="004A25DC">
      <w:pPr>
        <w:spacing w:after="0" w:line="240" w:lineRule="auto"/>
        <w:jc w:val="center"/>
        <w:rPr>
          <w:rFonts w:ascii="Times New Roman" w:hAnsi="Times New Roman" w:cs="Times New Roman"/>
          <w:b/>
          <w:sz w:val="24"/>
          <w:szCs w:val="24"/>
        </w:rPr>
      </w:pPr>
      <w:r>
        <w:rPr>
          <w:rFonts w:ascii="Times New Roman" w:hAnsi="Times New Roman" w:cs="Times New Roman"/>
          <w:b/>
          <w:sz w:val="28"/>
          <w:szCs w:val="24"/>
        </w:rPr>
        <w:t>HIT</w:t>
      </w:r>
      <w:r w:rsidR="00264089">
        <w:rPr>
          <w:rFonts w:ascii="Times New Roman" w:hAnsi="Times New Roman" w:cs="Times New Roman"/>
          <w:b/>
          <w:sz w:val="28"/>
          <w:szCs w:val="24"/>
        </w:rPr>
        <w:t xml:space="preserve"> Policy Committee</w:t>
      </w:r>
      <w:r w:rsidR="009D7B8F">
        <w:rPr>
          <w:rFonts w:ascii="Times New Roman" w:hAnsi="Times New Roman" w:cs="Times New Roman"/>
          <w:b/>
          <w:sz w:val="28"/>
          <w:szCs w:val="24"/>
        </w:rPr>
        <w:t xml:space="preserve"> (HITPC)</w:t>
      </w:r>
      <w:r w:rsidR="00264089">
        <w:rPr>
          <w:rFonts w:ascii="Times New Roman" w:hAnsi="Times New Roman" w:cs="Times New Roman"/>
          <w:b/>
          <w:sz w:val="28"/>
          <w:szCs w:val="24"/>
        </w:rPr>
        <w:t xml:space="preserve"> Comments</w:t>
      </w:r>
    </w:p>
    <w:p w:rsidR="0049254A" w:rsidRDefault="0049254A" w:rsidP="004A25DC">
      <w:pPr>
        <w:spacing w:after="0" w:line="240" w:lineRule="auto"/>
        <w:jc w:val="center"/>
        <w:rPr>
          <w:rFonts w:ascii="Times New Roman" w:hAnsi="Times New Roman" w:cs="Times New Roman"/>
          <w:b/>
          <w:sz w:val="24"/>
          <w:szCs w:val="24"/>
        </w:rPr>
      </w:pPr>
    </w:p>
    <w:p w:rsidR="00AB2CFD" w:rsidRDefault="00AB2CFD" w:rsidP="00AB2CFD">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Comment</w:t>
      </w:r>
      <w:r w:rsidR="00802161">
        <w:rPr>
          <w:rFonts w:ascii="Times New Roman" w:hAnsi="Times New Roman" w:cs="Times New Roman"/>
          <w:b/>
          <w:sz w:val="24"/>
          <w:szCs w:val="24"/>
        </w:rPr>
        <w:t>s</w:t>
      </w:r>
      <w:r>
        <w:rPr>
          <w:rFonts w:ascii="Times New Roman" w:hAnsi="Times New Roman" w:cs="Times New Roman"/>
          <w:b/>
          <w:sz w:val="24"/>
          <w:szCs w:val="24"/>
        </w:rPr>
        <w:t xml:space="preserve">: </w:t>
      </w:r>
    </w:p>
    <w:p w:rsidR="00802161" w:rsidRDefault="00802161" w:rsidP="003471D3">
      <w:pPr>
        <w:spacing w:after="0" w:line="240" w:lineRule="auto"/>
        <w:rPr>
          <w:rFonts w:ascii="Times New Roman" w:hAnsi="Times New Roman" w:cs="Times New Roman"/>
          <w:b/>
          <w:sz w:val="24"/>
          <w:szCs w:val="24"/>
        </w:rPr>
      </w:pPr>
    </w:p>
    <w:p w:rsidR="00802161" w:rsidRPr="009C625E" w:rsidRDefault="00802161" w:rsidP="003471D3">
      <w:pPr>
        <w:spacing w:after="0" w:line="240" w:lineRule="auto"/>
        <w:rPr>
          <w:rFonts w:ascii="Times New Roman" w:hAnsi="Times New Roman" w:cs="Times New Roman"/>
        </w:rPr>
      </w:pPr>
      <w:r w:rsidRPr="009C625E">
        <w:rPr>
          <w:rFonts w:ascii="Times New Roman" w:hAnsi="Times New Roman" w:cs="Times New Roman"/>
        </w:rPr>
        <w:t xml:space="preserve">The ultimate test of governance is to enable trust and the flow </w:t>
      </w:r>
      <w:r w:rsidR="003471D3" w:rsidRPr="009C625E">
        <w:rPr>
          <w:rFonts w:ascii="Times New Roman" w:hAnsi="Times New Roman" w:cs="Times New Roman"/>
        </w:rPr>
        <w:t xml:space="preserve">of information such that data </w:t>
      </w:r>
      <w:r w:rsidRPr="009C625E">
        <w:rPr>
          <w:rFonts w:ascii="Times New Roman" w:hAnsi="Times New Roman" w:cs="Times New Roman"/>
        </w:rPr>
        <w:t xml:space="preserve">follows the patients across any organizational or technology boundaries, enabling them and their caregiver(s) to make the appropriate decisions.  </w:t>
      </w:r>
    </w:p>
    <w:p w:rsidR="00836084" w:rsidRPr="009C625E" w:rsidRDefault="00836084" w:rsidP="003471D3">
      <w:pPr>
        <w:spacing w:after="0" w:line="240" w:lineRule="auto"/>
        <w:rPr>
          <w:rFonts w:ascii="Times New Roman" w:hAnsi="Times New Roman" w:cs="Times New Roman"/>
        </w:rPr>
      </w:pPr>
    </w:p>
    <w:p w:rsidR="003471D3" w:rsidRPr="009C625E" w:rsidRDefault="00802161" w:rsidP="00F4784F">
      <w:pPr>
        <w:spacing w:after="0" w:line="240" w:lineRule="auto"/>
        <w:rPr>
          <w:rFonts w:ascii="Times New Roman" w:hAnsi="Times New Roman" w:cs="Times New Roman"/>
          <w:b/>
          <w:sz w:val="24"/>
          <w:szCs w:val="24"/>
        </w:rPr>
      </w:pPr>
      <w:r w:rsidRPr="009C625E">
        <w:rPr>
          <w:rFonts w:ascii="Times New Roman" w:hAnsi="Times New Roman" w:cs="Times New Roman"/>
        </w:rPr>
        <w:t xml:space="preserve">Nationwide governance is needed to reduce the cost of exchange, and eliminate the need for redundant local or </w:t>
      </w:r>
      <w:r w:rsidR="00B13B37" w:rsidRPr="009C625E">
        <w:rPr>
          <w:rFonts w:ascii="Times New Roman" w:hAnsi="Times New Roman" w:cs="Times New Roman"/>
        </w:rPr>
        <w:t xml:space="preserve">otherwise limited governance. </w:t>
      </w:r>
      <w:r w:rsidR="00011470" w:rsidRPr="009C625E">
        <w:rPr>
          <w:rFonts w:ascii="Times New Roman" w:hAnsi="Times New Roman" w:cs="Times New Roman"/>
        </w:rPr>
        <w:t xml:space="preserve">  However, because the technology is still nascent, govern</w:t>
      </w:r>
      <w:r w:rsidR="00D2388B">
        <w:rPr>
          <w:rFonts w:ascii="Times New Roman" w:hAnsi="Times New Roman" w:cs="Times New Roman"/>
        </w:rPr>
        <w:t xml:space="preserve">ance should not restrict innovation </w:t>
      </w:r>
      <w:r w:rsidR="00011470" w:rsidRPr="009C625E">
        <w:rPr>
          <w:rFonts w:ascii="Times New Roman" w:hAnsi="Times New Roman" w:cs="Times New Roman"/>
        </w:rPr>
        <w:t xml:space="preserve">and should be responsive to the evolution of processes of exchange. </w:t>
      </w:r>
    </w:p>
    <w:p w:rsidR="00F4784F" w:rsidRPr="009C625E" w:rsidRDefault="00F4784F" w:rsidP="00F4784F">
      <w:pPr>
        <w:spacing w:after="0" w:line="240" w:lineRule="auto"/>
        <w:rPr>
          <w:rFonts w:ascii="Times New Roman" w:hAnsi="Times New Roman" w:cs="Times New Roman"/>
          <w:b/>
          <w:sz w:val="24"/>
          <w:szCs w:val="24"/>
        </w:rPr>
      </w:pPr>
    </w:p>
    <w:p w:rsidR="000D7EB3" w:rsidRPr="009C625E" w:rsidRDefault="00E64E2B" w:rsidP="003471D3">
      <w:pPr>
        <w:spacing w:line="240" w:lineRule="auto"/>
        <w:rPr>
          <w:rFonts w:ascii="Times New Roman" w:hAnsi="Times New Roman" w:cs="Times New Roman"/>
          <w:b/>
          <w:sz w:val="24"/>
          <w:szCs w:val="24"/>
        </w:rPr>
      </w:pPr>
      <w:r w:rsidRPr="009C625E">
        <w:rPr>
          <w:rFonts w:ascii="Times New Roman" w:hAnsi="Times New Roman" w:cs="Times New Roman"/>
        </w:rPr>
        <w:t xml:space="preserve">The </w:t>
      </w:r>
      <w:r w:rsidR="009D7B8F">
        <w:rPr>
          <w:rFonts w:ascii="Times New Roman" w:hAnsi="Times New Roman" w:cs="Times New Roman"/>
        </w:rPr>
        <w:t xml:space="preserve">HITPC </w:t>
      </w:r>
      <w:r w:rsidR="00AB2CFD" w:rsidRPr="009C625E">
        <w:rPr>
          <w:rFonts w:ascii="Times New Roman" w:hAnsi="Times New Roman" w:cs="Times New Roman"/>
        </w:rPr>
        <w:t>recommends that governance seek to achieve a balance, recognizing that there is not yet a mature health information exchange marketplace where market checks and balances could limit anti-competitive behavior, so some intervention to protect the public interest is required.  In the early stages, it is possible that one or more players establishes a dominance which is counter to the public interest</w:t>
      </w:r>
      <w:r w:rsidR="00D2388B">
        <w:rPr>
          <w:rFonts w:ascii="Times New Roman" w:hAnsi="Times New Roman" w:cs="Times New Roman"/>
        </w:rPr>
        <w:t>,</w:t>
      </w:r>
      <w:r w:rsidR="00AB2CFD" w:rsidRPr="009C625E">
        <w:rPr>
          <w:rFonts w:ascii="Times New Roman" w:hAnsi="Times New Roman" w:cs="Times New Roman"/>
        </w:rPr>
        <w:t xml:space="preserve"> and it could be difficult to correct the situation because changing vendors and systems can be costly and complicated for end users.    On the other hand, health information exchange is not a utility that requires strong regulation.    Business models are still evolving.  </w:t>
      </w:r>
      <w:r w:rsidR="00802161" w:rsidRPr="009C625E">
        <w:rPr>
          <w:rFonts w:ascii="Times New Roman" w:hAnsi="Times New Roman" w:cs="Times New Roman"/>
        </w:rPr>
        <w:t xml:space="preserve">The </w:t>
      </w:r>
      <w:r w:rsidR="009D7B8F">
        <w:rPr>
          <w:rFonts w:ascii="Times New Roman" w:hAnsi="Times New Roman" w:cs="Times New Roman"/>
        </w:rPr>
        <w:t>HITPC</w:t>
      </w:r>
      <w:r w:rsidR="009D7B8F" w:rsidRPr="009C625E">
        <w:rPr>
          <w:rFonts w:ascii="Times New Roman" w:hAnsi="Times New Roman" w:cs="Times New Roman"/>
        </w:rPr>
        <w:t xml:space="preserve"> </w:t>
      </w:r>
      <w:r w:rsidR="00802161" w:rsidRPr="009C625E">
        <w:rPr>
          <w:rFonts w:ascii="Times New Roman" w:hAnsi="Times New Roman" w:cs="Times New Roman"/>
        </w:rPr>
        <w:t xml:space="preserve">recommends that ONC develop more information on market forces and monitor the HIE connectivity space to ensure that consumer interests are protected.  </w:t>
      </w:r>
    </w:p>
    <w:p w:rsidR="00AB2CFD" w:rsidRPr="003A2022" w:rsidRDefault="00AB2CFD" w:rsidP="004A25DC">
      <w:pPr>
        <w:spacing w:after="0" w:line="240" w:lineRule="auto"/>
        <w:jc w:val="center"/>
        <w:rPr>
          <w:rFonts w:ascii="Times New Roman" w:hAnsi="Times New Roman" w:cs="Times New Roman"/>
          <w:b/>
          <w:sz w:val="24"/>
          <w:szCs w:val="24"/>
        </w:rPr>
      </w:pPr>
    </w:p>
    <w:tbl>
      <w:tblPr>
        <w:tblStyle w:val="MediumShading1-Accent11"/>
        <w:tblW w:w="5000" w:type="pct"/>
        <w:jc w:val="center"/>
        <w:tblLook w:val="04A0"/>
      </w:tblPr>
      <w:tblGrid>
        <w:gridCol w:w="14616"/>
      </w:tblGrid>
      <w:tr w:rsidR="007570E1" w:rsidRPr="003A2022">
        <w:trPr>
          <w:cnfStyle w:val="100000000000"/>
          <w:jc w:val="center"/>
        </w:trPr>
        <w:tc>
          <w:tcPr>
            <w:cnfStyle w:val="001000000000"/>
            <w:tcW w:w="5000" w:type="pct"/>
          </w:tcPr>
          <w:p w:rsidR="007570E1" w:rsidRPr="003A2022" w:rsidRDefault="003A2022" w:rsidP="00DD1178">
            <w:pPr>
              <w:rPr>
                <w:rFonts w:ascii="Times New Roman" w:hAnsi="Times New Roman" w:cs="Times New Roman"/>
                <w:b w:val="0"/>
                <w:sz w:val="24"/>
                <w:szCs w:val="24"/>
              </w:rPr>
            </w:pPr>
            <w:r w:rsidRPr="003A2022">
              <w:rPr>
                <w:rFonts w:ascii="Times New Roman" w:hAnsi="Times New Roman" w:cs="Times New Roman"/>
                <w:sz w:val="24"/>
                <w:szCs w:val="24"/>
              </w:rPr>
              <w:t>Establishing a Governance Mechanism</w:t>
            </w:r>
          </w:p>
        </w:tc>
      </w:tr>
      <w:tr w:rsidR="007570E1" w:rsidRPr="00A36FD5">
        <w:trPr>
          <w:cnfStyle w:val="000000100000"/>
          <w:trHeight w:val="667"/>
          <w:jc w:val="center"/>
        </w:trPr>
        <w:tc>
          <w:tcPr>
            <w:cnfStyle w:val="001000000000"/>
            <w:tcW w:w="5000" w:type="pct"/>
            <w:shd w:val="clear" w:color="auto" w:fill="DBE5F1" w:themeFill="accent1" w:themeFillTint="33"/>
          </w:tcPr>
          <w:p w:rsidR="00DD1178" w:rsidRPr="003752AE" w:rsidRDefault="00DD1178" w:rsidP="00264089">
            <w:pPr>
              <w:pStyle w:val="ListParagraph"/>
              <w:numPr>
                <w:ilvl w:val="0"/>
                <w:numId w:val="2"/>
              </w:numPr>
              <w:ind w:left="0" w:firstLine="0"/>
              <w:rPr>
                <w:rFonts w:ascii="Times New Roman" w:hAnsi="Times New Roman"/>
                <w:sz w:val="24"/>
                <w:szCs w:val="24"/>
              </w:rPr>
            </w:pPr>
            <w:r w:rsidRPr="003752AE">
              <w:rPr>
                <w:rFonts w:ascii="Times New Roman" w:hAnsi="Times New Roman"/>
                <w:sz w:val="24"/>
                <w:szCs w:val="24"/>
              </w:rPr>
              <w:t>Would these categories comprehensively reflect the types of CTEs needed to govern the nationwide health information network? If not, what other categories should we consider?</w:t>
            </w:r>
          </w:p>
          <w:p w:rsidR="007570E1" w:rsidRPr="00A36FD5" w:rsidRDefault="007570E1" w:rsidP="00531E56">
            <w:pPr>
              <w:ind w:firstLine="90"/>
              <w:rPr>
                <w:b w:val="0"/>
                <w:bCs w:val="0"/>
                <w:sz w:val="20"/>
                <w:szCs w:val="20"/>
              </w:rPr>
            </w:pPr>
          </w:p>
        </w:tc>
      </w:tr>
      <w:tr w:rsidR="007570E1" w:rsidRPr="00A36FD5">
        <w:trPr>
          <w:cnfStyle w:val="000000010000"/>
          <w:trHeight w:val="703"/>
          <w:jc w:val="center"/>
        </w:trPr>
        <w:tc>
          <w:tcPr>
            <w:cnfStyle w:val="001000000000"/>
            <w:tcW w:w="5000" w:type="pct"/>
            <w:shd w:val="clear" w:color="auto" w:fill="DBE5F1" w:themeFill="accent1" w:themeFillTint="33"/>
          </w:tcPr>
          <w:p w:rsidR="0049254A" w:rsidRPr="00150CC1" w:rsidRDefault="0049254A" w:rsidP="0049254A">
            <w:pPr>
              <w:rPr>
                <w:rFonts w:ascii="Times New Roman" w:hAnsi="Times New Roman"/>
                <w:sz w:val="24"/>
                <w:szCs w:val="24"/>
              </w:rPr>
            </w:pPr>
            <w:r>
              <w:rPr>
                <w:rFonts w:ascii="Times New Roman" w:hAnsi="Times New Roman"/>
                <w:sz w:val="24"/>
                <w:szCs w:val="24"/>
                <w:u w:val="single"/>
              </w:rPr>
              <w:t xml:space="preserve">Question Context: </w:t>
            </w:r>
            <w:r>
              <w:rPr>
                <w:rFonts w:ascii="Times New Roman" w:hAnsi="Times New Roman"/>
                <w:sz w:val="24"/>
                <w:szCs w:val="24"/>
              </w:rPr>
              <w:t>The question solicits input on the CTE categories ONC has proposed: Safeguards, Interoperability, and Business Practices.</w:t>
            </w:r>
          </w:p>
          <w:p w:rsidR="007570E1" w:rsidRPr="00A36FD5" w:rsidRDefault="007570E1" w:rsidP="00DD1178">
            <w:pPr>
              <w:spacing w:after="60"/>
              <w:ind w:left="90"/>
              <w:rPr>
                <w:b w:val="0"/>
                <w:sz w:val="20"/>
                <w:szCs w:val="20"/>
              </w:rPr>
            </w:pPr>
          </w:p>
        </w:tc>
      </w:tr>
      <w:tr w:rsidR="007570E1" w:rsidRPr="00A36FD5">
        <w:trPr>
          <w:cnfStyle w:val="000000100000"/>
          <w:jc w:val="center"/>
        </w:trPr>
        <w:tc>
          <w:tcPr>
            <w:cnfStyle w:val="001000000000"/>
            <w:tcW w:w="5000" w:type="pct"/>
            <w:shd w:val="clear" w:color="auto" w:fill="FFFFFF" w:themeFill="background1"/>
          </w:tcPr>
          <w:p w:rsidR="00CB0021" w:rsidRPr="009C625E" w:rsidRDefault="006B70B7" w:rsidP="006B70B7">
            <w:pPr>
              <w:rPr>
                <w:rFonts w:ascii="Times New Roman" w:hAnsi="Times New Roman" w:cs="Times New Roman"/>
                <w:b w:val="0"/>
              </w:rPr>
            </w:pPr>
            <w:r w:rsidRPr="009C625E">
              <w:rPr>
                <w:rFonts w:ascii="Times New Roman" w:hAnsi="Times New Roman" w:cs="Times New Roman"/>
                <w:b w:val="0"/>
              </w:rPr>
              <w:t xml:space="preserve">Yes, these three categories are valid.  </w:t>
            </w:r>
          </w:p>
          <w:p w:rsidR="00CB0021" w:rsidRPr="009C625E" w:rsidRDefault="00CB0021" w:rsidP="006B70B7">
            <w:pPr>
              <w:rPr>
                <w:rFonts w:ascii="Times New Roman" w:hAnsi="Times New Roman" w:cs="Times New Roman"/>
                <w:b w:val="0"/>
              </w:rPr>
            </w:pPr>
          </w:p>
          <w:p w:rsidR="00CB0021" w:rsidRPr="009C625E" w:rsidRDefault="006B70B7" w:rsidP="006B70B7">
            <w:pPr>
              <w:rPr>
                <w:rFonts w:ascii="Times New Roman" w:hAnsi="Times New Roman" w:cs="Times New Roman"/>
                <w:b w:val="0"/>
              </w:rPr>
            </w:pPr>
            <w:r w:rsidRPr="009C625E">
              <w:rPr>
                <w:rFonts w:ascii="Times New Roman" w:hAnsi="Times New Roman" w:cs="Times New Roman"/>
                <w:b w:val="0"/>
              </w:rPr>
              <w:t xml:space="preserve">However, </w:t>
            </w:r>
            <w:r w:rsidR="00D45B18" w:rsidRPr="009C625E">
              <w:rPr>
                <w:rFonts w:ascii="Times New Roman" w:hAnsi="Times New Roman" w:cs="Times New Roman"/>
                <w:b w:val="0"/>
              </w:rPr>
              <w:t xml:space="preserve">the </w:t>
            </w:r>
            <w:r w:rsidR="00482E81">
              <w:rPr>
                <w:rFonts w:ascii="Times New Roman" w:hAnsi="Times New Roman" w:cs="Times New Roman"/>
                <w:b w:val="0"/>
              </w:rPr>
              <w:t xml:space="preserve">HITPC </w:t>
            </w:r>
            <w:r w:rsidRPr="009C625E">
              <w:rPr>
                <w:rFonts w:ascii="Times New Roman" w:hAnsi="Times New Roman" w:cs="Times New Roman"/>
                <w:b w:val="0"/>
              </w:rPr>
              <w:t xml:space="preserve">is concerned that there is a level missing in general.  Many of the CTEs are expressed at the level of an accreditation or certification criteria.  </w:t>
            </w:r>
            <w:r w:rsidR="00F159E6" w:rsidRPr="009C625E">
              <w:rPr>
                <w:rFonts w:ascii="Times New Roman" w:hAnsi="Times New Roman" w:cs="Times New Roman"/>
                <w:b w:val="0"/>
              </w:rPr>
              <w:t>The</w:t>
            </w:r>
            <w:r w:rsidR="00C20EF4">
              <w:rPr>
                <w:rFonts w:ascii="Times New Roman" w:hAnsi="Times New Roman" w:cs="Times New Roman"/>
                <w:b w:val="0"/>
              </w:rPr>
              <w:t xml:space="preserve"> </w:t>
            </w:r>
            <w:r w:rsidR="00482E81">
              <w:rPr>
                <w:rFonts w:ascii="Times New Roman" w:hAnsi="Times New Roman" w:cs="Times New Roman"/>
                <w:b w:val="0"/>
              </w:rPr>
              <w:t>HITPC</w:t>
            </w:r>
            <w:r w:rsidR="00482E81" w:rsidRPr="009C625E">
              <w:rPr>
                <w:rFonts w:ascii="Times New Roman" w:hAnsi="Times New Roman" w:cs="Times New Roman"/>
                <w:b w:val="0"/>
              </w:rPr>
              <w:t xml:space="preserve"> </w:t>
            </w:r>
            <w:r w:rsidR="0038296A" w:rsidRPr="009C625E">
              <w:rPr>
                <w:rFonts w:ascii="Times New Roman" w:hAnsi="Times New Roman" w:cs="Times New Roman"/>
                <w:b w:val="0"/>
              </w:rPr>
              <w:t>recommends that t</w:t>
            </w:r>
            <w:r w:rsidRPr="009C625E">
              <w:rPr>
                <w:rFonts w:ascii="Times New Roman" w:hAnsi="Times New Roman" w:cs="Times New Roman"/>
                <w:b w:val="0"/>
              </w:rPr>
              <w:t xml:space="preserve">he governance process should first focus on establishing and defining the policy objectives in and across each category. There should subsequently be a process for identifying the detailed accreditation/certification criteria that would achieve the policy objective, and which would then be validated by an accreditation or certifying body. </w:t>
            </w:r>
            <w:r w:rsidR="00CB0021" w:rsidRPr="009C625E">
              <w:rPr>
                <w:rFonts w:ascii="Times New Roman" w:hAnsi="Times New Roman" w:cs="Times New Roman"/>
                <w:b w:val="0"/>
              </w:rPr>
              <w:t xml:space="preserve"> The policy objectives are likely to change only slowly over time whereas the associated standards, implementation guidance and accreditation and certification criteria will be subject to more rapid change.  </w:t>
            </w:r>
            <w:r w:rsidR="00650DF9" w:rsidRPr="009C625E">
              <w:rPr>
                <w:rFonts w:ascii="Times New Roman" w:hAnsi="Times New Roman" w:cs="Times New Roman"/>
                <w:b w:val="0"/>
              </w:rPr>
              <w:t>T</w:t>
            </w:r>
            <w:r w:rsidR="00C20EF4">
              <w:rPr>
                <w:rFonts w:ascii="Times New Roman" w:hAnsi="Times New Roman" w:cs="Times New Roman"/>
                <w:b w:val="0"/>
              </w:rPr>
              <w:t>he rule should</w:t>
            </w:r>
            <w:r w:rsidR="00CB0021" w:rsidRPr="009C625E">
              <w:rPr>
                <w:rFonts w:ascii="Times New Roman" w:hAnsi="Times New Roman" w:cs="Times New Roman"/>
                <w:b w:val="0"/>
              </w:rPr>
              <w:t xml:space="preserve"> </w:t>
            </w:r>
            <w:r w:rsidR="00650DF9" w:rsidRPr="009C625E">
              <w:rPr>
                <w:rFonts w:ascii="Times New Roman" w:hAnsi="Times New Roman" w:cs="Times New Roman"/>
                <w:b w:val="0"/>
              </w:rPr>
              <w:t>describe</w:t>
            </w:r>
            <w:r w:rsidR="00CB0021" w:rsidRPr="009C625E">
              <w:rPr>
                <w:rFonts w:ascii="Times New Roman" w:hAnsi="Times New Roman" w:cs="Times New Roman"/>
                <w:b w:val="0"/>
              </w:rPr>
              <w:t xml:space="preserve"> a specific process for </w:t>
            </w:r>
            <w:r w:rsidR="00CB0021" w:rsidRPr="009C625E">
              <w:rPr>
                <w:rFonts w:ascii="Times New Roman" w:hAnsi="Times New Roman" w:cs="Times New Roman"/>
                <w:b w:val="0"/>
              </w:rPr>
              <w:lastRenderedPageBreak/>
              <w:t>developing, maintaining and revising accreditation and certification criteria associated with the policy level CTEs</w:t>
            </w:r>
            <w:r w:rsidR="00CB5054" w:rsidRPr="009C625E">
              <w:rPr>
                <w:rFonts w:ascii="Times New Roman" w:hAnsi="Times New Roman" w:cs="Times New Roman"/>
                <w:b w:val="0"/>
              </w:rPr>
              <w:t>,</w:t>
            </w:r>
            <w:r w:rsidR="00650DF9" w:rsidRPr="009C625E">
              <w:rPr>
                <w:rFonts w:ascii="Times New Roman" w:hAnsi="Times New Roman" w:cs="Times New Roman"/>
                <w:b w:val="0"/>
              </w:rPr>
              <w:t xml:space="preserve"> which may be different from validation of other CTEs</w:t>
            </w:r>
            <w:r w:rsidR="00CB0021" w:rsidRPr="009C625E">
              <w:rPr>
                <w:rFonts w:ascii="Times New Roman" w:hAnsi="Times New Roman" w:cs="Times New Roman"/>
                <w:b w:val="0"/>
              </w:rPr>
              <w:t>.</w:t>
            </w:r>
          </w:p>
          <w:p w:rsidR="006B70B7" w:rsidRPr="009C625E" w:rsidRDefault="006B70B7" w:rsidP="006B70B7">
            <w:pPr>
              <w:rPr>
                <w:rFonts w:ascii="Times New Roman" w:hAnsi="Times New Roman" w:cs="Times New Roman"/>
                <w:b w:val="0"/>
              </w:rPr>
            </w:pPr>
          </w:p>
          <w:p w:rsidR="00BB7627" w:rsidRDefault="00B857C8" w:rsidP="00CB0021">
            <w:pPr>
              <w:rPr>
                <w:rFonts w:ascii="Times New Roman" w:hAnsi="Times New Roman" w:cs="Times New Roman"/>
                <w:b w:val="0"/>
              </w:rPr>
            </w:pPr>
            <w:r w:rsidRPr="009C625E">
              <w:rPr>
                <w:rFonts w:ascii="Times New Roman" w:hAnsi="Times New Roman" w:cs="Times New Roman"/>
                <w:b w:val="0"/>
              </w:rPr>
              <w:t>The</w:t>
            </w:r>
            <w:r w:rsidR="00482E81">
              <w:rPr>
                <w:rFonts w:ascii="Times New Roman" w:hAnsi="Times New Roman" w:cs="Times New Roman"/>
                <w:b w:val="0"/>
              </w:rPr>
              <w:t xml:space="preserve"> HITPC </w:t>
            </w:r>
            <w:r w:rsidR="006B70B7" w:rsidRPr="009C625E">
              <w:rPr>
                <w:rFonts w:ascii="Times New Roman" w:hAnsi="Times New Roman" w:cs="Times New Roman"/>
                <w:b w:val="0"/>
              </w:rPr>
              <w:t>notes that the applicability for Safeguard and Business Practice CTEs is broad across multiple categories and types of exchange, but the applicability of Interoperability CTEs is focused on the business and clinical purpose for which the Interoperability CTE is intended. In addition, for Interoperability CTEs, there is a tradeoff between ensuring interoperability and being open to innovation and change. Accordingly, we recommend that most Safeguard and Business Practice CTEs be applicable broadly to NVEs</w:t>
            </w:r>
            <w:r w:rsidR="00B7654C">
              <w:rPr>
                <w:rFonts w:ascii="Times New Roman" w:hAnsi="Times New Roman" w:cs="Times New Roman"/>
                <w:b w:val="0"/>
              </w:rPr>
              <w:t xml:space="preserve">.  Interoperability CTEs should be applied to NVEs </w:t>
            </w:r>
            <w:r w:rsidR="006D5577">
              <w:rPr>
                <w:rFonts w:ascii="Times New Roman" w:hAnsi="Times New Roman" w:cs="Times New Roman"/>
                <w:b w:val="0"/>
              </w:rPr>
              <w:t>where relevant to</w:t>
            </w:r>
            <w:bookmarkStart w:id="4" w:name="_GoBack"/>
            <w:bookmarkEnd w:id="4"/>
            <w:r w:rsidR="006D5577">
              <w:rPr>
                <w:rFonts w:ascii="Times New Roman" w:hAnsi="Times New Roman" w:cs="Times New Roman"/>
                <w:b w:val="0"/>
              </w:rPr>
              <w:t xml:space="preserve"> their HIE model</w:t>
            </w:r>
            <w:r w:rsidR="00B7654C">
              <w:rPr>
                <w:rFonts w:ascii="Times New Roman" w:hAnsi="Times New Roman" w:cs="Times New Roman"/>
                <w:b w:val="0"/>
              </w:rPr>
              <w:t>, and can be applied</w:t>
            </w:r>
            <w:r w:rsidR="006B70B7" w:rsidRPr="009C625E">
              <w:rPr>
                <w:rFonts w:ascii="Times New Roman" w:hAnsi="Times New Roman" w:cs="Times New Roman"/>
                <w:b w:val="0"/>
              </w:rPr>
              <w:t xml:space="preserve"> on a modular </w:t>
            </w:r>
            <w:r w:rsidR="00864FA7" w:rsidRPr="009C625E">
              <w:rPr>
                <w:rFonts w:ascii="Times New Roman" w:hAnsi="Times New Roman" w:cs="Times New Roman"/>
                <w:b w:val="0"/>
              </w:rPr>
              <w:t>basis</w:t>
            </w:r>
            <w:r w:rsidR="00B7654C">
              <w:rPr>
                <w:rFonts w:ascii="Times New Roman" w:hAnsi="Times New Roman" w:cs="Times New Roman"/>
                <w:b w:val="0"/>
              </w:rPr>
              <w:t>.  C</w:t>
            </w:r>
            <w:r w:rsidR="006B70B7" w:rsidRPr="009C625E">
              <w:rPr>
                <w:rFonts w:ascii="Times New Roman" w:hAnsi="Times New Roman" w:cs="Times New Roman"/>
                <w:b w:val="0"/>
              </w:rPr>
              <w:t xml:space="preserve">ertification to an Interoperability CTE </w:t>
            </w:r>
            <w:r w:rsidR="00B7654C">
              <w:rPr>
                <w:rFonts w:ascii="Times New Roman" w:hAnsi="Times New Roman" w:cs="Times New Roman"/>
                <w:b w:val="0"/>
              </w:rPr>
              <w:t xml:space="preserve">should </w:t>
            </w:r>
            <w:r w:rsidR="006B70B7" w:rsidRPr="009C625E">
              <w:rPr>
                <w:rFonts w:ascii="Times New Roman" w:hAnsi="Times New Roman" w:cs="Times New Roman"/>
                <w:b w:val="0"/>
              </w:rPr>
              <w:t>not constrain the ability of the NVE to use other standards and implementation guidance, including “Emergence” phase standards and implementation guidance, to meet the policy objectives defined by the Interoperability CTE.</w:t>
            </w:r>
          </w:p>
          <w:p w:rsidR="00BB7627" w:rsidRDefault="00BB7627" w:rsidP="00CB0021">
            <w:pPr>
              <w:rPr>
                <w:rFonts w:ascii="Times New Roman" w:hAnsi="Times New Roman" w:cs="Times New Roman"/>
                <w:b w:val="0"/>
              </w:rPr>
            </w:pPr>
          </w:p>
          <w:p w:rsidR="00DF4A59" w:rsidRDefault="00AF561B" w:rsidP="00CB0021">
            <w:pPr>
              <w:rPr>
                <w:rFonts w:ascii="Times New Roman" w:hAnsi="Times New Roman" w:cs="Times New Roman"/>
                <w:b w:val="0"/>
                <w:i/>
              </w:rPr>
            </w:pPr>
            <w:r>
              <w:rPr>
                <w:rFonts w:ascii="Times New Roman" w:hAnsi="Times New Roman" w:cs="Times New Roman"/>
                <w:b w:val="0"/>
                <w:i/>
              </w:rPr>
              <w:t xml:space="preserve">The HITPC requests that ONC provide more detail on the modules that might be certifiable. </w:t>
            </w:r>
          </w:p>
          <w:p w:rsidR="00DB71A4" w:rsidRDefault="00DB71A4" w:rsidP="00CB0021">
            <w:pPr>
              <w:rPr>
                <w:rFonts w:ascii="Times New Roman" w:hAnsi="Times New Roman" w:cs="Times New Roman"/>
                <w:b w:val="0"/>
                <w:i/>
              </w:rPr>
            </w:pPr>
          </w:p>
          <w:p w:rsidR="00DB71A4" w:rsidRPr="00DB71A4" w:rsidRDefault="00DB71A4" w:rsidP="00DB71A4">
            <w:pPr>
              <w:rPr>
                <w:rFonts w:ascii="Times New Roman" w:hAnsi="Times New Roman" w:cs="Times New Roman"/>
                <w:b w:val="0"/>
              </w:rPr>
            </w:pPr>
            <w:r w:rsidRPr="00DB71A4">
              <w:rPr>
                <w:rFonts w:ascii="Times New Roman" w:hAnsi="Times New Roman" w:cs="Times New Roman"/>
                <w:b w:val="0"/>
              </w:rPr>
              <w:t>The HITPC believes that the proposed CTEs are sufficient for creating a governance structure for the nationwide health information network.</w:t>
            </w:r>
          </w:p>
          <w:p w:rsidR="00DB71A4" w:rsidRPr="00DB71A4" w:rsidRDefault="00DB71A4" w:rsidP="00DB71A4">
            <w:pPr>
              <w:rPr>
                <w:rFonts w:ascii="Times New Roman" w:hAnsi="Times New Roman" w:cs="Times New Roman"/>
                <w:b w:val="0"/>
              </w:rPr>
            </w:pPr>
            <w:r w:rsidRPr="00DB71A4">
              <w:rPr>
                <w:rFonts w:ascii="Times New Roman" w:hAnsi="Times New Roman" w:cs="Times New Roman"/>
                <w:b w:val="0"/>
              </w:rPr>
              <w:t>As outlined in response to question 56, the HITPC believes that a process for addressing grievances should be included in governance.</w:t>
            </w:r>
          </w:p>
          <w:p w:rsidR="00DB71A4" w:rsidRPr="00DB71A4" w:rsidRDefault="00DB71A4" w:rsidP="00DB71A4">
            <w:pPr>
              <w:rPr>
                <w:rFonts w:ascii="Times New Roman" w:hAnsi="Times New Roman" w:cs="Times New Roman"/>
                <w:b w:val="0"/>
              </w:rPr>
            </w:pPr>
            <w:r w:rsidRPr="00DB71A4">
              <w:rPr>
                <w:rFonts w:ascii="Times New Roman" w:hAnsi="Times New Roman" w:cs="Times New Roman"/>
                <w:b w:val="0"/>
              </w:rPr>
              <w:t>The HITPC does not believe that it would be appropriate or necessary for federal imposition or participation in the daily deliberations of each CTE.</w:t>
            </w:r>
          </w:p>
          <w:p w:rsidR="007570E1" w:rsidRDefault="007570E1" w:rsidP="00CB0021">
            <w:pPr>
              <w:rPr>
                <w:rFonts w:ascii="Times New Roman" w:hAnsi="Times New Roman" w:cs="Times New Roman"/>
                <w:b w:val="0"/>
                <w:sz w:val="20"/>
                <w:szCs w:val="20"/>
              </w:rPr>
            </w:pPr>
          </w:p>
          <w:p w:rsidR="00DB71A4" w:rsidRPr="00A36FD5" w:rsidRDefault="00DB71A4" w:rsidP="00CB0021">
            <w:pPr>
              <w:rPr>
                <w:rFonts w:ascii="Times New Roman" w:hAnsi="Times New Roman" w:cs="Times New Roman"/>
                <w:b w:val="0"/>
                <w:sz w:val="20"/>
                <w:szCs w:val="20"/>
              </w:rPr>
            </w:pPr>
          </w:p>
        </w:tc>
      </w:tr>
    </w:tbl>
    <w:p w:rsidR="00A328C4" w:rsidRPr="007570E1" w:rsidRDefault="00A328C4" w:rsidP="007570E1">
      <w:pPr>
        <w:pStyle w:val="ListParagraph"/>
        <w:rPr>
          <w:rFonts w:asciiTheme="majorHAnsi" w:hAnsiTheme="majorHAnsi"/>
          <w:b/>
          <w:i/>
        </w:rPr>
      </w:pPr>
    </w:p>
    <w:tbl>
      <w:tblPr>
        <w:tblStyle w:val="MediumShading1-Accent11"/>
        <w:tblW w:w="5000" w:type="pct"/>
        <w:jc w:val="center"/>
        <w:tblLook w:val="04A0"/>
      </w:tblPr>
      <w:tblGrid>
        <w:gridCol w:w="14616"/>
      </w:tblGrid>
      <w:tr w:rsidR="007570E1" w:rsidRPr="002E56FA">
        <w:trPr>
          <w:cnfStyle w:val="100000000000"/>
          <w:jc w:val="center"/>
        </w:trPr>
        <w:tc>
          <w:tcPr>
            <w:cnfStyle w:val="001000000000"/>
            <w:tcW w:w="5000" w:type="pct"/>
          </w:tcPr>
          <w:p w:rsidR="007570E1" w:rsidRPr="002E56FA" w:rsidRDefault="003A2022" w:rsidP="00DD1178">
            <w:r w:rsidRPr="003A2022">
              <w:rPr>
                <w:rFonts w:ascii="Times New Roman" w:hAnsi="Times New Roman" w:cs="Times New Roman"/>
                <w:sz w:val="24"/>
                <w:szCs w:val="24"/>
              </w:rPr>
              <w:t>Establishing a Governance Mechanism</w:t>
            </w:r>
          </w:p>
        </w:tc>
      </w:tr>
      <w:tr w:rsidR="007570E1" w:rsidRPr="00A36FD5">
        <w:trPr>
          <w:cnfStyle w:val="000000100000"/>
          <w:trHeight w:val="667"/>
          <w:jc w:val="center"/>
        </w:trPr>
        <w:tc>
          <w:tcPr>
            <w:cnfStyle w:val="001000000000"/>
            <w:tcW w:w="5000" w:type="pct"/>
            <w:shd w:val="clear" w:color="auto" w:fill="DBE5F1" w:themeFill="accent1" w:themeFillTint="33"/>
          </w:tcPr>
          <w:p w:rsidR="0049254A" w:rsidRPr="003752AE" w:rsidRDefault="0049254A" w:rsidP="00264089">
            <w:pPr>
              <w:pStyle w:val="ListParagraph"/>
              <w:numPr>
                <w:ilvl w:val="0"/>
                <w:numId w:val="2"/>
              </w:numPr>
              <w:ind w:left="0" w:firstLine="0"/>
              <w:rPr>
                <w:rFonts w:ascii="Times New Roman" w:hAnsi="Times New Roman"/>
                <w:sz w:val="24"/>
                <w:szCs w:val="24"/>
              </w:rPr>
            </w:pPr>
            <w:r w:rsidRPr="003752AE">
              <w:rPr>
                <w:rFonts w:ascii="Times New Roman" w:hAnsi="Times New Roman"/>
                <w:sz w:val="24"/>
                <w:szCs w:val="24"/>
              </w:rPr>
              <w:t xml:space="preserve">What kind of governance approach would best produce a trusted, secure, and interoperable electronic exchange nationwide? </w:t>
            </w:r>
          </w:p>
          <w:p w:rsidR="0049254A" w:rsidRDefault="0049254A" w:rsidP="0049254A">
            <w:pPr>
              <w:rPr>
                <w:rFonts w:ascii="Times New Roman" w:hAnsi="Times New Roman"/>
                <w:sz w:val="24"/>
                <w:szCs w:val="24"/>
              </w:rPr>
            </w:pPr>
          </w:p>
          <w:p w:rsidR="007570E1" w:rsidRPr="00A36FD5" w:rsidRDefault="007570E1" w:rsidP="0049254A">
            <w:pPr>
              <w:rPr>
                <w:b w:val="0"/>
                <w:bCs w:val="0"/>
                <w:sz w:val="20"/>
                <w:szCs w:val="20"/>
              </w:rPr>
            </w:pPr>
          </w:p>
        </w:tc>
      </w:tr>
      <w:tr w:rsidR="007570E1" w:rsidRPr="00A36FD5">
        <w:trPr>
          <w:cnfStyle w:val="000000010000"/>
          <w:trHeight w:val="703"/>
          <w:jc w:val="center"/>
        </w:trPr>
        <w:tc>
          <w:tcPr>
            <w:cnfStyle w:val="001000000000"/>
            <w:tcW w:w="5000" w:type="pct"/>
            <w:shd w:val="clear" w:color="auto" w:fill="DBE5F1" w:themeFill="accent1" w:themeFillTint="33"/>
          </w:tcPr>
          <w:p w:rsidR="0049254A" w:rsidRPr="00F11B5F" w:rsidRDefault="0049254A" w:rsidP="0049254A">
            <w:pPr>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Are there other approaches to governance that ONC should consider for the achieving the policy aim of trusted, secure and interoperable electronic exchange? </w:t>
            </w:r>
          </w:p>
          <w:p w:rsidR="007570E1" w:rsidRPr="00A36FD5" w:rsidRDefault="007570E1" w:rsidP="00DD1178">
            <w:pPr>
              <w:spacing w:after="60"/>
              <w:ind w:left="90"/>
              <w:rPr>
                <w:b w:val="0"/>
                <w:sz w:val="20"/>
                <w:szCs w:val="20"/>
              </w:rPr>
            </w:pPr>
          </w:p>
        </w:tc>
      </w:tr>
      <w:tr w:rsidR="0049254A" w:rsidRPr="00A36FD5">
        <w:trPr>
          <w:cnfStyle w:val="000000100000"/>
          <w:jc w:val="center"/>
        </w:trPr>
        <w:tc>
          <w:tcPr>
            <w:cnfStyle w:val="001000000000"/>
            <w:tcW w:w="5000" w:type="pct"/>
            <w:shd w:val="clear" w:color="auto" w:fill="FFFFFF" w:themeFill="background1"/>
          </w:tcPr>
          <w:p w:rsidR="00C842DB" w:rsidRPr="0004152B" w:rsidRDefault="00930D25" w:rsidP="00DD1178">
            <w:pPr>
              <w:rPr>
                <w:rFonts w:ascii="Times New Roman" w:hAnsi="Times New Roman" w:cs="Times New Roman"/>
                <w:b w:val="0"/>
              </w:rPr>
            </w:pPr>
            <w:r w:rsidRPr="0004152B">
              <w:rPr>
                <w:rFonts w:ascii="Times New Roman" w:hAnsi="Times New Roman" w:cs="Times New Roman"/>
              </w:rPr>
              <w:t xml:space="preserve">(In formulating a response, the </w:t>
            </w:r>
            <w:r w:rsidR="00776E47">
              <w:rPr>
                <w:rFonts w:ascii="Times New Roman" w:hAnsi="Times New Roman" w:cs="Times New Roman"/>
              </w:rPr>
              <w:t>HITPC</w:t>
            </w:r>
            <w:r w:rsidRPr="0004152B">
              <w:rPr>
                <w:rFonts w:ascii="Times New Roman" w:hAnsi="Times New Roman" w:cs="Times New Roman"/>
              </w:rPr>
              <w:t xml:space="preserve"> thought it appropriate to group Question 2 </w:t>
            </w:r>
            <w:r w:rsidR="00360793" w:rsidRPr="0004152B">
              <w:rPr>
                <w:rFonts w:ascii="Times New Roman" w:hAnsi="Times New Roman" w:cs="Times New Roman"/>
              </w:rPr>
              <w:t xml:space="preserve">along </w:t>
            </w:r>
            <w:r w:rsidRPr="0004152B">
              <w:rPr>
                <w:rFonts w:ascii="Times New Roman" w:hAnsi="Times New Roman" w:cs="Times New Roman"/>
              </w:rPr>
              <w:t xml:space="preserve">with Questions 4 and 7): </w:t>
            </w:r>
            <w:r w:rsidR="00B857C8" w:rsidRPr="0004152B">
              <w:rPr>
                <w:rFonts w:ascii="Times New Roman" w:hAnsi="Times New Roman" w:cs="Times New Roman"/>
                <w:b w:val="0"/>
              </w:rPr>
              <w:t>The</w:t>
            </w:r>
            <w:r w:rsidR="00482E81">
              <w:rPr>
                <w:rFonts w:ascii="Times New Roman" w:hAnsi="Times New Roman" w:cs="Times New Roman"/>
                <w:b w:val="0"/>
              </w:rPr>
              <w:t xml:space="preserve"> HITPC</w:t>
            </w:r>
            <w:r w:rsidR="006B70B7" w:rsidRPr="0004152B">
              <w:rPr>
                <w:rFonts w:ascii="Times New Roman" w:hAnsi="Times New Roman" w:cs="Times New Roman"/>
                <w:b w:val="0"/>
              </w:rPr>
              <w:t xml:space="preserve"> believes that it’s important to first define success criteria.  The objective of such criteria would be to identify an approach that</w:t>
            </w:r>
            <w:r w:rsidR="00C65F3B" w:rsidRPr="0004152B">
              <w:rPr>
                <w:rFonts w:ascii="Times New Roman" w:hAnsi="Times New Roman" w:cs="Times New Roman"/>
                <w:b w:val="0"/>
              </w:rPr>
              <w:t xml:space="preserve"> includes but is not limited to </w:t>
            </w:r>
            <w:r w:rsidR="006B70B7" w:rsidRPr="0004152B">
              <w:rPr>
                <w:rFonts w:ascii="Times New Roman" w:hAnsi="Times New Roman" w:cs="Times New Roman"/>
                <w:b w:val="0"/>
              </w:rPr>
              <w:t>: is cost effective in establishing interoperability and trusted exchange; is participative and accepted by a broad range of stakeholders (including consumers); raises the level of standards and interoperability maturity in the healthcare system and the associated level of real-world interoperability within and among NVEs; is sufficiently flexible to allow for dynamic changes in the market and in technologies; and helps states fulfill their responsibilities for their citizens without having to create structures of their own.   A voluntary approach</w:t>
            </w:r>
            <w:r w:rsidR="002C1740" w:rsidRPr="0004152B">
              <w:rPr>
                <w:rFonts w:ascii="Times New Roman" w:hAnsi="Times New Roman" w:cs="Times New Roman"/>
                <w:b w:val="0"/>
              </w:rPr>
              <w:t xml:space="preserve"> would be sufficient if, as the </w:t>
            </w:r>
            <w:r w:rsidR="00776E47">
              <w:rPr>
                <w:rFonts w:ascii="Times New Roman" w:hAnsi="Times New Roman" w:cs="Times New Roman"/>
                <w:b w:val="0"/>
              </w:rPr>
              <w:t>HITPC</w:t>
            </w:r>
            <w:r w:rsidR="002C1740" w:rsidRPr="0004152B">
              <w:rPr>
                <w:rFonts w:ascii="Times New Roman" w:hAnsi="Times New Roman" w:cs="Times New Roman"/>
                <w:b w:val="0"/>
              </w:rPr>
              <w:t xml:space="preserve"> </w:t>
            </w:r>
            <w:r w:rsidR="006B70B7" w:rsidRPr="0004152B">
              <w:rPr>
                <w:rFonts w:ascii="Times New Roman" w:hAnsi="Times New Roman" w:cs="Times New Roman"/>
                <w:b w:val="0"/>
              </w:rPr>
              <w:t>expects, other incentives are tied to them by other public or private entities, e.g. if Federal agencies make validation a condition of exchanging with them, or if companies make validation a condition in their business contracts.</w:t>
            </w:r>
          </w:p>
          <w:p w:rsidR="00C842DB" w:rsidRPr="0004152B" w:rsidRDefault="00C842DB" w:rsidP="00DD1178">
            <w:pPr>
              <w:rPr>
                <w:rFonts w:ascii="Times New Roman" w:hAnsi="Times New Roman" w:cs="Times New Roman"/>
                <w:b w:val="0"/>
              </w:rPr>
            </w:pPr>
          </w:p>
          <w:p w:rsidR="006E76C2" w:rsidRDefault="00C842DB" w:rsidP="00DD1178">
            <w:pPr>
              <w:rPr>
                <w:rFonts w:ascii="Times New Roman" w:hAnsi="Times New Roman" w:cs="Times New Roman"/>
              </w:rPr>
            </w:pPr>
            <w:r w:rsidRPr="0004152B">
              <w:rPr>
                <w:rFonts w:ascii="Times New Roman" w:hAnsi="Times New Roman" w:cs="Times New Roman"/>
                <w:b w:val="0"/>
              </w:rPr>
              <w:t xml:space="preserve">The </w:t>
            </w:r>
            <w:r w:rsidR="00482E81">
              <w:rPr>
                <w:rFonts w:ascii="Times New Roman" w:hAnsi="Times New Roman" w:cs="Times New Roman"/>
                <w:b w:val="0"/>
              </w:rPr>
              <w:t xml:space="preserve">HITPC </w:t>
            </w:r>
            <w:r w:rsidRPr="0004152B">
              <w:rPr>
                <w:rFonts w:ascii="Times New Roman" w:hAnsi="Times New Roman" w:cs="Times New Roman"/>
                <w:b w:val="0"/>
              </w:rPr>
              <w:t xml:space="preserve">also reaffirms the nine principles of sound governance that were accepted by the HITPC in December 2010, and which are mentioned in the RFI Preamble (p. 23).   </w:t>
            </w:r>
            <w:r w:rsidR="006B70B7" w:rsidRPr="0004152B">
              <w:rPr>
                <w:rFonts w:ascii="Times New Roman" w:hAnsi="Times New Roman" w:cs="Times New Roman"/>
              </w:rPr>
              <w:t xml:space="preserve">  </w:t>
            </w:r>
          </w:p>
          <w:p w:rsidR="00DB71A4" w:rsidRDefault="00DB71A4" w:rsidP="00DB71A4">
            <w:pPr>
              <w:rPr>
                <w:rFonts w:ascii="Times New Roman" w:hAnsi="Times New Roman"/>
                <w:b w:val="0"/>
              </w:rPr>
            </w:pPr>
          </w:p>
          <w:p w:rsidR="00DB71A4" w:rsidRPr="00DB71A4" w:rsidRDefault="00DB71A4" w:rsidP="00DB71A4">
            <w:pPr>
              <w:rPr>
                <w:rFonts w:ascii="Times New Roman" w:hAnsi="Times New Roman"/>
                <w:b w:val="0"/>
              </w:rPr>
            </w:pPr>
            <w:r w:rsidRPr="00DB71A4">
              <w:rPr>
                <w:rFonts w:ascii="Times New Roman" w:hAnsi="Times New Roman"/>
                <w:b w:val="0"/>
              </w:rPr>
              <w:t>The HITPC believes that a governance approach with validation and certification processes similar to those followed for electronic health record certification would create trusted, secure and interoperable electronic exchange nationwide.</w:t>
            </w:r>
          </w:p>
          <w:p w:rsidR="00DB71A4" w:rsidRPr="00DB71A4" w:rsidRDefault="00DB71A4" w:rsidP="00DB71A4">
            <w:pPr>
              <w:rPr>
                <w:rFonts w:ascii="Times New Roman" w:hAnsi="Times New Roman"/>
                <w:b w:val="0"/>
              </w:rPr>
            </w:pPr>
          </w:p>
          <w:p w:rsidR="00DB71A4" w:rsidRPr="00DB71A4" w:rsidRDefault="00DB71A4" w:rsidP="00DB71A4">
            <w:pPr>
              <w:rPr>
                <w:rFonts w:ascii="Times New Roman" w:hAnsi="Times New Roman"/>
                <w:b w:val="0"/>
              </w:rPr>
            </w:pPr>
            <w:r w:rsidRPr="00DB71A4">
              <w:rPr>
                <w:rFonts w:ascii="Times New Roman" w:hAnsi="Times New Roman"/>
                <w:b w:val="0"/>
              </w:rPr>
              <w:t>As noted in response to question 56, establishing an overarching policy for grievances as well as transparent and consistent accreditation and validation policies followed by all CTEs and NVEs operating in every state and territory will facilitate interoperability and encourage exchange.</w:t>
            </w:r>
          </w:p>
          <w:p w:rsidR="006E76C2" w:rsidRDefault="006E76C2" w:rsidP="00DD1178">
            <w:pPr>
              <w:rPr>
                <w:rFonts w:ascii="Times New Roman" w:hAnsi="Times New Roman" w:cs="Times New Roman"/>
              </w:rPr>
            </w:pPr>
          </w:p>
          <w:p w:rsidR="0049254A" w:rsidRPr="007D378E" w:rsidRDefault="001503E6" w:rsidP="00DD1178">
            <w:pPr>
              <w:rPr>
                <w:rFonts w:ascii="Times New Roman" w:hAnsi="Times New Roman" w:cs="Times New Roman"/>
                <w:b w:val="0"/>
                <w:i/>
              </w:rPr>
            </w:pPr>
            <w:r>
              <w:rPr>
                <w:rFonts w:ascii="Times New Roman" w:hAnsi="Times New Roman" w:cs="Times New Roman"/>
                <w:b w:val="0"/>
                <w:i/>
              </w:rPr>
              <w:t xml:space="preserve">The HITPC recommends that ONC identify other potential incentives, such as Meaningful Use. </w:t>
            </w:r>
          </w:p>
          <w:p w:rsidR="00930D25" w:rsidRPr="00A36FD5" w:rsidRDefault="00930D25" w:rsidP="00930D25">
            <w:pPr>
              <w:tabs>
                <w:tab w:val="left" w:pos="4483"/>
              </w:tabs>
              <w:rPr>
                <w:rFonts w:ascii="Times New Roman" w:hAnsi="Times New Roman" w:cs="Times New Roman"/>
                <w:b w:val="0"/>
                <w:sz w:val="20"/>
                <w:szCs w:val="20"/>
              </w:rPr>
            </w:pPr>
          </w:p>
        </w:tc>
      </w:tr>
    </w:tbl>
    <w:p w:rsidR="00A328C4" w:rsidRDefault="00A328C4" w:rsidP="00A328C4"/>
    <w:tbl>
      <w:tblPr>
        <w:tblStyle w:val="MediumShading1-Accent11"/>
        <w:tblW w:w="5000" w:type="pct"/>
        <w:jc w:val="center"/>
        <w:tblLook w:val="04A0"/>
      </w:tblPr>
      <w:tblGrid>
        <w:gridCol w:w="14616"/>
      </w:tblGrid>
      <w:tr w:rsidR="00F767C0" w:rsidRPr="002E56FA">
        <w:trPr>
          <w:cnfStyle w:val="100000000000"/>
          <w:jc w:val="center"/>
        </w:trPr>
        <w:tc>
          <w:tcPr>
            <w:cnfStyle w:val="001000000000"/>
            <w:tcW w:w="5000" w:type="pct"/>
          </w:tcPr>
          <w:p w:rsidR="00F767C0" w:rsidRPr="002E56FA" w:rsidRDefault="003A2022" w:rsidP="001D6DE1">
            <w:bookmarkStart w:id="5" w:name="OLE_LINK1"/>
            <w:bookmarkStart w:id="6" w:name="OLE_LINK2"/>
            <w:r w:rsidRPr="003A2022">
              <w:rPr>
                <w:rFonts w:ascii="Times New Roman" w:hAnsi="Times New Roman" w:cs="Times New Roman"/>
                <w:sz w:val="24"/>
                <w:szCs w:val="24"/>
              </w:rPr>
              <w:t>Establishing a Governance Mechanism</w:t>
            </w:r>
          </w:p>
        </w:tc>
      </w:tr>
      <w:tr w:rsidR="00717F30" w:rsidRPr="00A36FD5">
        <w:trPr>
          <w:cnfStyle w:val="000000100000"/>
          <w:trHeight w:val="667"/>
          <w:jc w:val="center"/>
        </w:trPr>
        <w:tc>
          <w:tcPr>
            <w:cnfStyle w:val="001000000000"/>
            <w:tcW w:w="5000" w:type="pct"/>
            <w:shd w:val="clear" w:color="auto" w:fill="DBE5F1" w:themeFill="accent1" w:themeFillTint="33"/>
          </w:tcPr>
          <w:p w:rsidR="008724A4" w:rsidRPr="003752AE" w:rsidRDefault="008724A4" w:rsidP="00264089">
            <w:pPr>
              <w:pStyle w:val="ListParagraph"/>
              <w:numPr>
                <w:ilvl w:val="0"/>
                <w:numId w:val="2"/>
              </w:numPr>
              <w:ind w:left="0" w:firstLine="0"/>
              <w:rPr>
                <w:rFonts w:ascii="Times New Roman" w:hAnsi="Times New Roman"/>
                <w:sz w:val="24"/>
                <w:szCs w:val="24"/>
              </w:rPr>
            </w:pPr>
            <w:r w:rsidRPr="003752AE">
              <w:rPr>
                <w:rFonts w:ascii="Times New Roman" w:hAnsi="Times New Roman"/>
                <w:sz w:val="24"/>
                <w:szCs w:val="24"/>
              </w:rPr>
              <w:t xml:space="preserve">How urgent is the need for a nationwide governance approach for electronic health information exchange? Conversely, please indicate if you believe that it is untimely for a nationwide approach to be developed and why.   </w:t>
            </w:r>
          </w:p>
          <w:p w:rsidR="00717F30" w:rsidRPr="00A36FD5" w:rsidRDefault="00717F30" w:rsidP="001D6DE1">
            <w:pPr>
              <w:ind w:firstLine="90"/>
              <w:rPr>
                <w:b w:val="0"/>
                <w:bCs w:val="0"/>
                <w:sz w:val="20"/>
                <w:szCs w:val="20"/>
              </w:rPr>
            </w:pPr>
          </w:p>
        </w:tc>
      </w:tr>
      <w:tr w:rsidR="00F767C0" w:rsidRPr="00A36FD5">
        <w:trPr>
          <w:cnfStyle w:val="000000010000"/>
          <w:trHeight w:val="703"/>
          <w:jc w:val="center"/>
        </w:trPr>
        <w:tc>
          <w:tcPr>
            <w:cnfStyle w:val="001000000000"/>
            <w:tcW w:w="5000" w:type="pct"/>
            <w:shd w:val="clear" w:color="auto" w:fill="DBE5F1" w:themeFill="accent1" w:themeFillTint="33"/>
          </w:tcPr>
          <w:p w:rsidR="00F767C0" w:rsidRPr="00A36FD5" w:rsidRDefault="00FB6174" w:rsidP="003A2022">
            <w:pPr>
              <w:spacing w:after="60"/>
              <w:rPr>
                <w:b w:val="0"/>
                <w:sz w:val="20"/>
                <w:szCs w:val="20"/>
              </w:rPr>
            </w:pPr>
            <w:r>
              <w:rPr>
                <w:rFonts w:ascii="Times New Roman" w:hAnsi="Times New Roman"/>
                <w:sz w:val="24"/>
                <w:szCs w:val="24"/>
                <w:u w:val="single"/>
              </w:rPr>
              <w:t>Question Context:</w:t>
            </w:r>
            <w:r>
              <w:rPr>
                <w:rFonts w:ascii="Times New Roman" w:hAnsi="Times New Roman"/>
                <w:sz w:val="24"/>
                <w:szCs w:val="24"/>
              </w:rPr>
              <w:t xml:space="preserve">  Why is it important for ONC to exercise its statutory authority to establish a governance mechanism now?</w:t>
            </w:r>
          </w:p>
        </w:tc>
      </w:tr>
      <w:tr w:rsidR="00F767C0" w:rsidRPr="00A36FD5">
        <w:trPr>
          <w:cnfStyle w:val="000000100000"/>
          <w:jc w:val="center"/>
        </w:trPr>
        <w:tc>
          <w:tcPr>
            <w:cnfStyle w:val="001000000000"/>
            <w:tcW w:w="5000" w:type="pct"/>
            <w:shd w:val="clear" w:color="auto" w:fill="FFFFFF" w:themeFill="background1"/>
          </w:tcPr>
          <w:p w:rsidR="00DB71A4" w:rsidRDefault="003577FD" w:rsidP="00930D25">
            <w:pPr>
              <w:rPr>
                <w:rFonts w:ascii="Times New Roman" w:hAnsi="Times New Roman" w:cs="Times New Roman"/>
                <w:b w:val="0"/>
                <w:sz w:val="20"/>
                <w:szCs w:val="20"/>
              </w:rPr>
            </w:pPr>
            <w:r>
              <w:rPr>
                <w:rFonts w:ascii="Times New Roman" w:hAnsi="Times New Roman" w:cs="Times New Roman"/>
                <w:b w:val="0"/>
                <w:szCs w:val="20"/>
              </w:rPr>
              <w:t>There is</w:t>
            </w:r>
            <w:r w:rsidR="002D7E68" w:rsidRPr="003601FB">
              <w:rPr>
                <w:rFonts w:ascii="Times New Roman" w:hAnsi="Times New Roman" w:cs="Times New Roman"/>
                <w:b w:val="0"/>
                <w:szCs w:val="20"/>
              </w:rPr>
              <w:t xml:space="preserve"> a need for a rational nationwide governance framework</w:t>
            </w:r>
            <w:r w:rsidR="002D7E68">
              <w:rPr>
                <w:rFonts w:ascii="Times New Roman" w:hAnsi="Times New Roman" w:cs="Times New Roman"/>
                <w:b w:val="0"/>
                <w:szCs w:val="20"/>
              </w:rPr>
              <w:t xml:space="preserve">.  </w:t>
            </w:r>
            <w:r w:rsidR="00930D25" w:rsidRPr="003601FB">
              <w:rPr>
                <w:rFonts w:ascii="Times New Roman" w:hAnsi="Times New Roman" w:cs="Times New Roman"/>
                <w:b w:val="0"/>
                <w:szCs w:val="20"/>
              </w:rPr>
              <w:t>Absence of nationwide governance has not prevented the establishment of health i</w:t>
            </w:r>
            <w:r w:rsidR="00405E7C" w:rsidRPr="003601FB">
              <w:rPr>
                <w:rFonts w:ascii="Times New Roman" w:hAnsi="Times New Roman" w:cs="Times New Roman"/>
                <w:b w:val="0"/>
                <w:szCs w:val="20"/>
              </w:rPr>
              <w:t>nformation exchange, but</w:t>
            </w:r>
            <w:r w:rsidR="00930D25" w:rsidRPr="003601FB">
              <w:rPr>
                <w:rFonts w:ascii="Times New Roman" w:hAnsi="Times New Roman" w:cs="Times New Roman"/>
                <w:b w:val="0"/>
                <w:szCs w:val="20"/>
              </w:rPr>
              <w:t xml:space="preserve"> the disparate efforts to create local, regional and statewide governance approaches has increased the cost and burdens substantially. In addition, the fragmentation of governance methods and approaches has increased the time, cost, and complexity of exchange-to-exchange governance. The framework should be lightweight initially, leveraging the federal government’s coordinati</w:t>
            </w:r>
            <w:r w:rsidR="00DD6510" w:rsidRPr="003601FB">
              <w:rPr>
                <w:rFonts w:ascii="Times New Roman" w:hAnsi="Times New Roman" w:cs="Times New Roman"/>
                <w:b w:val="0"/>
                <w:szCs w:val="20"/>
              </w:rPr>
              <w:t xml:space="preserve">on function and convening role </w:t>
            </w:r>
            <w:r w:rsidR="00930D25" w:rsidRPr="003601FB">
              <w:rPr>
                <w:rFonts w:ascii="Times New Roman" w:hAnsi="Times New Roman" w:cs="Times New Roman"/>
                <w:b w:val="0"/>
                <w:szCs w:val="20"/>
              </w:rPr>
              <w:t>- facilit</w:t>
            </w:r>
            <w:r w:rsidR="002D7E68">
              <w:rPr>
                <w:rFonts w:ascii="Times New Roman" w:hAnsi="Times New Roman" w:cs="Times New Roman"/>
                <w:b w:val="0"/>
                <w:szCs w:val="20"/>
              </w:rPr>
              <w:t>ating dialogue and deliberation</w:t>
            </w:r>
            <w:r w:rsidR="00930D25" w:rsidRPr="003601FB">
              <w:rPr>
                <w:rFonts w:ascii="Times New Roman" w:hAnsi="Times New Roman" w:cs="Times New Roman"/>
                <w:b w:val="0"/>
                <w:szCs w:val="20"/>
              </w:rPr>
              <w:t xml:space="preserve">, while not limiting opportunities in the </w:t>
            </w:r>
            <w:r w:rsidR="00482E81" w:rsidRPr="003601FB">
              <w:rPr>
                <w:rFonts w:ascii="Times New Roman" w:hAnsi="Times New Roman" w:cs="Times New Roman"/>
                <w:b w:val="0"/>
                <w:szCs w:val="20"/>
              </w:rPr>
              <w:t>marketplace,</w:t>
            </w:r>
            <w:r w:rsidR="00930D25" w:rsidRPr="003601FB">
              <w:rPr>
                <w:rFonts w:ascii="Times New Roman" w:hAnsi="Times New Roman" w:cs="Times New Roman"/>
                <w:b w:val="0"/>
                <w:szCs w:val="20"/>
              </w:rPr>
              <w:t xml:space="preserve"> including innovation in how to share health data.</w:t>
            </w:r>
            <w:r w:rsidR="00930D25" w:rsidRPr="003601FB">
              <w:rPr>
                <w:rFonts w:ascii="Times New Roman" w:hAnsi="Times New Roman" w:cs="Times New Roman"/>
                <w:b w:val="0"/>
                <w:sz w:val="20"/>
                <w:szCs w:val="20"/>
              </w:rPr>
              <w:t xml:space="preserve">  </w:t>
            </w:r>
          </w:p>
          <w:p w:rsidR="00DB71A4" w:rsidRDefault="00DB71A4" w:rsidP="00930D25">
            <w:pPr>
              <w:rPr>
                <w:rFonts w:ascii="Times New Roman" w:hAnsi="Times New Roman"/>
                <w:b w:val="0"/>
              </w:rPr>
            </w:pPr>
          </w:p>
          <w:p w:rsidR="00930D25" w:rsidRPr="00DB71A4" w:rsidRDefault="00DB71A4" w:rsidP="00930D25">
            <w:pPr>
              <w:rPr>
                <w:rFonts w:ascii="Times New Roman" w:hAnsi="Times New Roman" w:cs="Times New Roman"/>
                <w:b w:val="0"/>
                <w:sz w:val="20"/>
                <w:szCs w:val="20"/>
              </w:rPr>
            </w:pPr>
            <w:r w:rsidRPr="00DB71A4">
              <w:rPr>
                <w:rFonts w:ascii="Times New Roman" w:hAnsi="Times New Roman"/>
                <w:b w:val="0"/>
              </w:rPr>
              <w:t>The HITPC believes that there is an urgent need for a clear and robust governance structure to encourage participation in health information exchange nationwide.</w:t>
            </w:r>
          </w:p>
          <w:p w:rsidR="006375B2" w:rsidRPr="003601FB" w:rsidRDefault="006375B2" w:rsidP="001D6DE1">
            <w:pPr>
              <w:rPr>
                <w:rFonts w:ascii="Times New Roman" w:hAnsi="Times New Roman" w:cs="Times New Roman"/>
                <w:b w:val="0"/>
                <w:sz w:val="20"/>
                <w:szCs w:val="20"/>
              </w:rPr>
            </w:pPr>
          </w:p>
        </w:tc>
      </w:tr>
      <w:bookmarkEnd w:id="5"/>
      <w:bookmarkEnd w:id="6"/>
    </w:tbl>
    <w:p w:rsidR="00F767C0" w:rsidRPr="00A36FD5" w:rsidRDefault="00F767C0" w:rsidP="00A328C4"/>
    <w:tbl>
      <w:tblPr>
        <w:tblStyle w:val="MediumShading1-Accent11"/>
        <w:tblW w:w="5000" w:type="pct"/>
        <w:jc w:val="center"/>
        <w:tblCellMar>
          <w:left w:w="115" w:type="dxa"/>
          <w:right w:w="115" w:type="dxa"/>
        </w:tblCellMar>
        <w:tblLook w:val="06A0"/>
      </w:tblPr>
      <w:tblGrid>
        <w:gridCol w:w="14630"/>
      </w:tblGrid>
      <w:tr w:rsidR="001D6DE1" w:rsidRPr="002E56FA">
        <w:trPr>
          <w:cnfStyle w:val="100000000000"/>
          <w:cantSplit/>
          <w:trHeight w:val="296"/>
          <w:tblHeader/>
          <w:jc w:val="center"/>
        </w:trPr>
        <w:tc>
          <w:tcPr>
            <w:cnfStyle w:val="001000000000"/>
            <w:tcW w:w="5000" w:type="pct"/>
          </w:tcPr>
          <w:p w:rsidR="001D6DE1" w:rsidRPr="002E56FA" w:rsidRDefault="003A2022" w:rsidP="001D6DE1">
            <w:r w:rsidRPr="003A2022">
              <w:rPr>
                <w:rFonts w:ascii="Times New Roman" w:hAnsi="Times New Roman" w:cs="Times New Roman"/>
                <w:sz w:val="24"/>
                <w:szCs w:val="24"/>
              </w:rPr>
              <w:t>Establishing a Governance Mechanism</w:t>
            </w:r>
          </w:p>
        </w:tc>
      </w:tr>
      <w:tr w:rsidR="001D6DE1" w:rsidRPr="00A36FD5">
        <w:trPr>
          <w:cantSplit/>
          <w:trHeight w:val="840"/>
          <w:jc w:val="center"/>
        </w:trPr>
        <w:tc>
          <w:tcPr>
            <w:cnfStyle w:val="001000000000"/>
            <w:tcW w:w="5000" w:type="pct"/>
            <w:shd w:val="clear" w:color="auto" w:fill="DBE5F1" w:themeFill="accent1" w:themeFillTint="33"/>
          </w:tcPr>
          <w:p w:rsidR="00FB6174" w:rsidRPr="003752AE" w:rsidRDefault="00FB6174" w:rsidP="00264089">
            <w:pPr>
              <w:pStyle w:val="ListParagraph"/>
              <w:numPr>
                <w:ilvl w:val="0"/>
                <w:numId w:val="2"/>
              </w:numPr>
              <w:ind w:left="0" w:firstLine="0"/>
              <w:rPr>
                <w:rFonts w:ascii="Times New Roman" w:hAnsi="Times New Roman"/>
                <w:sz w:val="24"/>
                <w:szCs w:val="24"/>
              </w:rPr>
            </w:pPr>
            <w:r w:rsidRPr="003752AE">
              <w:rPr>
                <w:rFonts w:ascii="Times New Roman" w:hAnsi="Times New Roman"/>
                <w:sz w:val="24"/>
                <w:szCs w:val="24"/>
              </w:rPr>
              <w:t>Would a voluntary validation approach as described above sufficiently achieve this goal? If not, why?</w:t>
            </w:r>
          </w:p>
          <w:p w:rsidR="001D6DE1" w:rsidRPr="00A36FD5" w:rsidRDefault="001D6DE1" w:rsidP="001D6DE1">
            <w:pPr>
              <w:ind w:left="90"/>
              <w:rPr>
                <w:b w:val="0"/>
                <w:bCs w:val="0"/>
                <w:sz w:val="20"/>
                <w:szCs w:val="20"/>
              </w:rPr>
            </w:pPr>
          </w:p>
        </w:tc>
      </w:tr>
      <w:tr w:rsidR="001D6DE1" w:rsidRPr="00A36FD5">
        <w:trPr>
          <w:cantSplit/>
          <w:trHeight w:val="1042"/>
          <w:jc w:val="center"/>
        </w:trPr>
        <w:tc>
          <w:tcPr>
            <w:cnfStyle w:val="001000000000"/>
            <w:tcW w:w="5000" w:type="pct"/>
            <w:shd w:val="clear" w:color="auto" w:fill="DBE5F1" w:themeFill="accent1" w:themeFillTint="33"/>
          </w:tcPr>
          <w:p w:rsidR="001D6DE1" w:rsidRPr="00A36FD5" w:rsidRDefault="00FB6174" w:rsidP="003A2022">
            <w:pPr>
              <w:rPr>
                <w:b w:val="0"/>
                <w:sz w:val="20"/>
                <w:szCs w:val="20"/>
              </w:rPr>
            </w:pPr>
            <w:r>
              <w:rPr>
                <w:rFonts w:ascii="Times New Roman" w:hAnsi="Times New Roman"/>
                <w:sz w:val="24"/>
                <w:szCs w:val="24"/>
                <w:u w:val="single"/>
              </w:rPr>
              <w:t>Question Context:</w:t>
            </w:r>
            <w:r>
              <w:rPr>
                <w:rFonts w:ascii="Times New Roman" w:hAnsi="Times New Roman"/>
                <w:sz w:val="24"/>
                <w:szCs w:val="24"/>
              </w:rPr>
              <w:t xml:space="preserve">  As part of the governance mechanism, ONC is considering to include a validation process where entities that facilitate electronic exchange would, voluntarily, demonstrate compliance with the CTEs.</w:t>
            </w:r>
          </w:p>
        </w:tc>
      </w:tr>
      <w:tr w:rsidR="001D6DE1" w:rsidRPr="00A36FD5" w:rsidTr="00A946D8">
        <w:trPr>
          <w:cantSplit/>
          <w:trHeight w:val="394"/>
          <w:jc w:val="center"/>
        </w:trPr>
        <w:tc>
          <w:tcPr>
            <w:cnfStyle w:val="001000000000"/>
            <w:tcW w:w="5000" w:type="pct"/>
          </w:tcPr>
          <w:p w:rsidR="001D6DE1" w:rsidRPr="00A946D8" w:rsidRDefault="002847B8" w:rsidP="001D6DE1">
            <w:pPr>
              <w:rPr>
                <w:rFonts w:ascii="Times New Roman" w:hAnsi="Times New Roman" w:cs="Times New Roman"/>
                <w:b w:val="0"/>
              </w:rPr>
            </w:pPr>
            <w:r w:rsidRPr="004171C4">
              <w:rPr>
                <w:rFonts w:ascii="Times New Roman" w:hAnsi="Times New Roman" w:cs="Times New Roman"/>
                <w:b w:val="0"/>
              </w:rPr>
              <w:t>See response to Question 2.</w:t>
            </w:r>
          </w:p>
        </w:tc>
      </w:tr>
    </w:tbl>
    <w:p w:rsidR="001D6DE1" w:rsidRDefault="001D6DE1"/>
    <w:p w:rsidR="00A946D8" w:rsidRPr="00A36FD5" w:rsidRDefault="00A946D8"/>
    <w:tbl>
      <w:tblPr>
        <w:tblStyle w:val="MediumShading1-Accent11"/>
        <w:tblW w:w="5000" w:type="pct"/>
        <w:tblLook w:val="04A0"/>
      </w:tblPr>
      <w:tblGrid>
        <w:gridCol w:w="14616"/>
      </w:tblGrid>
      <w:tr w:rsidR="00E62A0C" w:rsidRPr="002E56FA">
        <w:trPr>
          <w:cnfStyle w:val="100000000000"/>
          <w:tblHeader/>
        </w:trPr>
        <w:tc>
          <w:tcPr>
            <w:cnfStyle w:val="001000000000"/>
            <w:tcW w:w="5000" w:type="pct"/>
          </w:tcPr>
          <w:p w:rsidR="00E62A0C" w:rsidRPr="002E56FA" w:rsidRDefault="003A2022" w:rsidP="00BE0A5A">
            <w:r w:rsidRPr="003A2022">
              <w:rPr>
                <w:rFonts w:ascii="Times New Roman" w:hAnsi="Times New Roman" w:cs="Times New Roman"/>
                <w:sz w:val="24"/>
                <w:szCs w:val="24"/>
              </w:rPr>
              <w:lastRenderedPageBreak/>
              <w:t>Establishing a Governance Mechanism</w:t>
            </w:r>
          </w:p>
        </w:tc>
      </w:tr>
      <w:tr w:rsidR="00C36C3C" w:rsidRPr="00A36FD5">
        <w:trPr>
          <w:cnfStyle w:val="000000100000"/>
        </w:trPr>
        <w:tc>
          <w:tcPr>
            <w:cnfStyle w:val="001000000000"/>
            <w:tcW w:w="5000" w:type="pct"/>
            <w:shd w:val="clear" w:color="auto" w:fill="DBE5F1" w:themeFill="accent1" w:themeFillTint="33"/>
          </w:tcPr>
          <w:p w:rsidR="00FB6174" w:rsidRPr="003752AE" w:rsidRDefault="00FB6174" w:rsidP="006F4BDD">
            <w:pPr>
              <w:pStyle w:val="ListParagraph"/>
              <w:numPr>
                <w:ilvl w:val="0"/>
                <w:numId w:val="2"/>
              </w:numPr>
              <w:rPr>
                <w:rFonts w:ascii="Times New Roman" w:hAnsi="Times New Roman"/>
                <w:sz w:val="24"/>
                <w:szCs w:val="24"/>
              </w:rPr>
            </w:pPr>
            <w:r w:rsidRPr="003752AE">
              <w:rPr>
                <w:rFonts w:ascii="Times New Roman" w:hAnsi="Times New Roman"/>
                <w:sz w:val="24"/>
                <w:szCs w:val="24"/>
              </w:rPr>
              <w:t xml:space="preserve">Would establishing a national validation process as described above effectively relieve any burden on the States to regulate local and regional health information exchange markets?  </w:t>
            </w:r>
          </w:p>
          <w:p w:rsidR="00531EC6" w:rsidRPr="00A36FD5" w:rsidRDefault="00531EC6" w:rsidP="00870417">
            <w:pPr>
              <w:ind w:left="90"/>
              <w:rPr>
                <w:b w:val="0"/>
                <w:bCs w:val="0"/>
                <w:sz w:val="20"/>
                <w:szCs w:val="20"/>
              </w:rPr>
            </w:pPr>
          </w:p>
        </w:tc>
      </w:tr>
      <w:tr w:rsidR="00531EC6" w:rsidRPr="00A36FD5">
        <w:trPr>
          <w:cnfStyle w:val="000000010000"/>
        </w:trPr>
        <w:tc>
          <w:tcPr>
            <w:cnfStyle w:val="001000000000"/>
            <w:tcW w:w="5000" w:type="pct"/>
            <w:shd w:val="clear" w:color="auto" w:fill="DBE5F1" w:themeFill="accent1" w:themeFillTint="33"/>
          </w:tcPr>
          <w:p w:rsidR="00531EC6" w:rsidRPr="00A36FD5" w:rsidRDefault="00FB6174" w:rsidP="003752AE">
            <w:pPr>
              <w:spacing w:after="60"/>
              <w:rPr>
                <w:b w:val="0"/>
                <w:sz w:val="20"/>
                <w:szCs w:val="20"/>
              </w:rPr>
            </w:pPr>
            <w:r>
              <w:rPr>
                <w:rFonts w:ascii="Times New Roman" w:hAnsi="Times New Roman"/>
                <w:sz w:val="24"/>
                <w:szCs w:val="24"/>
                <w:u w:val="single"/>
              </w:rPr>
              <w:t>Question Context:</w:t>
            </w:r>
            <w:r>
              <w:rPr>
                <w:rFonts w:ascii="Times New Roman" w:hAnsi="Times New Roman"/>
                <w:sz w:val="24"/>
                <w:szCs w:val="24"/>
              </w:rPr>
              <w:t xml:space="preserve">  </w:t>
            </w:r>
          </w:p>
        </w:tc>
      </w:tr>
      <w:tr w:rsidR="00465BA1" w:rsidRPr="00A36FD5">
        <w:trPr>
          <w:cnfStyle w:val="000000100000"/>
        </w:trPr>
        <w:tc>
          <w:tcPr>
            <w:cnfStyle w:val="001000000000"/>
            <w:tcW w:w="5000" w:type="pct"/>
            <w:shd w:val="clear" w:color="auto" w:fill="FFFFFF" w:themeFill="background1"/>
          </w:tcPr>
          <w:p w:rsidR="00E978EE" w:rsidRPr="003D7B4D" w:rsidRDefault="006B70B7" w:rsidP="00E978EE">
            <w:pPr>
              <w:rPr>
                <w:rFonts w:ascii="Times New Roman" w:hAnsi="Times New Roman" w:cs="Times New Roman"/>
                <w:b w:val="0"/>
                <w:sz w:val="24"/>
                <w:szCs w:val="24"/>
              </w:rPr>
            </w:pPr>
            <w:r w:rsidRPr="003D7B4D">
              <w:rPr>
                <w:rFonts w:ascii="Times New Roman" w:hAnsi="Times New Roman" w:cs="Times New Roman"/>
                <w:b w:val="0"/>
              </w:rPr>
              <w:t>Yes, see answer</w:t>
            </w:r>
            <w:r w:rsidR="00F674A8" w:rsidRPr="003D7B4D">
              <w:rPr>
                <w:rFonts w:ascii="Times New Roman" w:hAnsi="Times New Roman" w:cs="Times New Roman"/>
                <w:b w:val="0"/>
              </w:rPr>
              <w:t>s to questions 2, 3, 4, and 7</w:t>
            </w:r>
            <w:r w:rsidRPr="003D7B4D">
              <w:rPr>
                <w:rFonts w:ascii="Times New Roman" w:hAnsi="Times New Roman" w:cs="Times New Roman"/>
                <w:b w:val="0"/>
              </w:rPr>
              <w:t>.</w:t>
            </w:r>
          </w:p>
          <w:p w:rsidR="00DB71A4" w:rsidRDefault="00DB71A4" w:rsidP="00DB71A4">
            <w:pPr>
              <w:rPr>
                <w:rFonts w:ascii="Times New Roman" w:hAnsi="Times New Roman"/>
              </w:rPr>
            </w:pPr>
          </w:p>
          <w:p w:rsidR="00DB71A4" w:rsidRPr="00DB71A4" w:rsidRDefault="00DB71A4" w:rsidP="00DB71A4">
            <w:pPr>
              <w:rPr>
                <w:rFonts w:ascii="Times New Roman" w:hAnsi="Times New Roman"/>
                <w:b w:val="0"/>
              </w:rPr>
            </w:pPr>
            <w:r w:rsidRPr="00DB71A4">
              <w:rPr>
                <w:rFonts w:ascii="Times New Roman" w:hAnsi="Times New Roman"/>
                <w:b w:val="0"/>
              </w:rPr>
              <w:t>The HITPC believes that for states that have established their own validations processes for health information exchange, establishing a national validation process that offers clear and rigorous privacy, interoperability, and business requirements may allow them to discontinue these activities and therefore alleviate states’ burden.</w:t>
            </w:r>
          </w:p>
          <w:p w:rsidR="00DB71A4" w:rsidRPr="00DB71A4" w:rsidRDefault="00DB71A4" w:rsidP="00DB71A4">
            <w:pPr>
              <w:rPr>
                <w:rFonts w:ascii="Times New Roman" w:hAnsi="Times New Roman"/>
                <w:b w:val="0"/>
              </w:rPr>
            </w:pPr>
          </w:p>
          <w:p w:rsidR="00DB71A4" w:rsidRPr="00DB71A4" w:rsidRDefault="00DB71A4" w:rsidP="00DB71A4">
            <w:pPr>
              <w:rPr>
                <w:rFonts w:ascii="Times New Roman" w:hAnsi="Times New Roman"/>
                <w:b w:val="0"/>
              </w:rPr>
            </w:pPr>
            <w:r w:rsidRPr="00DB71A4">
              <w:rPr>
                <w:rFonts w:ascii="Times New Roman" w:hAnsi="Times New Roman"/>
                <w:b w:val="0"/>
              </w:rPr>
              <w:t xml:space="preserve">However, for states with stringent privacy and security requirements, it is likely they will feel a continued need for additional policies and regulation in addition to those included in the proposed governance RFI. </w:t>
            </w:r>
          </w:p>
          <w:p w:rsidR="00531EC6" w:rsidRPr="003D7B4D" w:rsidRDefault="00531EC6" w:rsidP="00465BA1">
            <w:pPr>
              <w:rPr>
                <w:rFonts w:ascii="Times New Roman" w:hAnsi="Times New Roman" w:cs="Times New Roman"/>
                <w:b w:val="0"/>
                <w:sz w:val="20"/>
                <w:szCs w:val="20"/>
              </w:rPr>
            </w:pPr>
          </w:p>
        </w:tc>
      </w:tr>
    </w:tbl>
    <w:p w:rsidR="00E62A0C" w:rsidRDefault="00E62A0C"/>
    <w:tbl>
      <w:tblPr>
        <w:tblStyle w:val="MediumShading1-Accent11"/>
        <w:tblW w:w="5000" w:type="pct"/>
        <w:jc w:val="center"/>
        <w:tblLook w:val="04A0"/>
      </w:tblPr>
      <w:tblGrid>
        <w:gridCol w:w="14616"/>
      </w:tblGrid>
      <w:tr w:rsidR="005668B1" w:rsidRPr="002E56FA">
        <w:trPr>
          <w:cnfStyle w:val="100000000000"/>
          <w:cantSplit/>
          <w:trHeight w:val="296"/>
          <w:tblHeader/>
          <w:jc w:val="center"/>
        </w:trPr>
        <w:tc>
          <w:tcPr>
            <w:cnfStyle w:val="001000000000"/>
            <w:tcW w:w="5000" w:type="pct"/>
          </w:tcPr>
          <w:p w:rsidR="005668B1" w:rsidRPr="002E56FA" w:rsidRDefault="003A2022" w:rsidP="00BE0A5A">
            <w:r w:rsidRPr="003A2022">
              <w:rPr>
                <w:rFonts w:ascii="Times New Roman" w:hAnsi="Times New Roman" w:cs="Times New Roman"/>
                <w:sz w:val="24"/>
                <w:szCs w:val="24"/>
              </w:rPr>
              <w:t>Establishing a Governance Mechanism</w:t>
            </w:r>
          </w:p>
        </w:tc>
      </w:tr>
      <w:tr w:rsidR="009D293E" w:rsidRPr="00A36FD5">
        <w:trPr>
          <w:cnfStyle w:val="000000100000"/>
          <w:cantSplit/>
          <w:trHeight w:val="700"/>
          <w:jc w:val="center"/>
        </w:trPr>
        <w:tc>
          <w:tcPr>
            <w:cnfStyle w:val="001000000000"/>
            <w:tcW w:w="5000" w:type="pct"/>
            <w:shd w:val="clear" w:color="auto" w:fill="DBE5F1" w:themeFill="accent1" w:themeFillTint="33"/>
          </w:tcPr>
          <w:p w:rsidR="00FB6174" w:rsidRPr="003752AE" w:rsidRDefault="00FB6174" w:rsidP="006F4BDD">
            <w:pPr>
              <w:pStyle w:val="ListParagraph"/>
              <w:numPr>
                <w:ilvl w:val="0"/>
                <w:numId w:val="2"/>
              </w:numPr>
              <w:rPr>
                <w:rFonts w:ascii="Times New Roman" w:hAnsi="Times New Roman"/>
                <w:sz w:val="24"/>
                <w:szCs w:val="24"/>
              </w:rPr>
            </w:pPr>
            <w:r w:rsidRPr="003752AE">
              <w:rPr>
                <w:rFonts w:ascii="Times New Roman" w:hAnsi="Times New Roman"/>
                <w:sz w:val="24"/>
                <w:szCs w:val="24"/>
              </w:rPr>
              <w:t>How could we ensure alignment between the governance mechanism and existing State governance approaches?</w:t>
            </w:r>
          </w:p>
          <w:p w:rsidR="009D293E" w:rsidRPr="00A36FD5" w:rsidRDefault="009D293E" w:rsidP="009D293E">
            <w:pPr>
              <w:ind w:left="90"/>
              <w:rPr>
                <w:b w:val="0"/>
                <w:sz w:val="20"/>
                <w:szCs w:val="20"/>
              </w:rPr>
            </w:pPr>
          </w:p>
        </w:tc>
      </w:tr>
      <w:tr w:rsidR="00280708" w:rsidRPr="00A36FD5">
        <w:trPr>
          <w:cnfStyle w:val="000000010000"/>
          <w:cantSplit/>
          <w:trHeight w:val="565"/>
          <w:jc w:val="center"/>
        </w:trPr>
        <w:tc>
          <w:tcPr>
            <w:cnfStyle w:val="001000000000"/>
            <w:tcW w:w="5000" w:type="pct"/>
            <w:tcBorders>
              <w:bottom w:val="single" w:sz="8" w:space="0" w:color="7BA0CD" w:themeColor="accent1" w:themeTint="BF"/>
            </w:tcBorders>
            <w:shd w:val="clear" w:color="auto" w:fill="DBE5F1" w:themeFill="accent1" w:themeFillTint="33"/>
          </w:tcPr>
          <w:p w:rsidR="00280708" w:rsidRPr="00A36FD5" w:rsidRDefault="00FB6174" w:rsidP="003752AE">
            <w:pPr>
              <w:spacing w:after="60"/>
              <w:rPr>
                <w:sz w:val="20"/>
                <w:szCs w:val="20"/>
              </w:rPr>
            </w:pPr>
            <w:r>
              <w:rPr>
                <w:rFonts w:ascii="Times New Roman" w:hAnsi="Times New Roman"/>
                <w:sz w:val="24"/>
                <w:szCs w:val="24"/>
                <w:u w:val="single"/>
              </w:rPr>
              <w:t>Question Context:</w:t>
            </w:r>
            <w:r>
              <w:rPr>
                <w:rFonts w:ascii="Times New Roman" w:hAnsi="Times New Roman"/>
                <w:sz w:val="24"/>
                <w:szCs w:val="24"/>
              </w:rPr>
              <w:t xml:space="preserve">  </w:t>
            </w:r>
          </w:p>
        </w:tc>
      </w:tr>
      <w:tr w:rsidR="009D293E" w:rsidRPr="00A36FD5">
        <w:trPr>
          <w:cnfStyle w:val="000000100000"/>
          <w:cantSplit/>
          <w:trHeight w:val="881"/>
          <w:jc w:val="center"/>
        </w:trPr>
        <w:tc>
          <w:tcPr>
            <w:cnfStyle w:val="001000000000"/>
            <w:tcW w:w="5000" w:type="pct"/>
            <w:shd w:val="clear" w:color="auto" w:fill="FFFFFF" w:themeFill="background1"/>
          </w:tcPr>
          <w:p w:rsidR="009D293E" w:rsidRDefault="00F674A8" w:rsidP="00BE0A5A">
            <w:pPr>
              <w:spacing w:after="60"/>
              <w:rPr>
                <w:rFonts w:ascii="Times New Roman" w:hAnsi="Times New Roman" w:cs="Times New Roman"/>
                <w:b w:val="0"/>
              </w:rPr>
            </w:pPr>
            <w:r w:rsidRPr="00033E5C">
              <w:rPr>
                <w:rFonts w:ascii="Times New Roman" w:hAnsi="Times New Roman" w:cs="Times New Roman"/>
                <w:b w:val="0"/>
              </w:rPr>
              <w:t>Acceptance and alignment with State governance approaches should be a success criterion as noted in the answer to questions 2, 3, 4 and 7. In addition, existing and future grants have voluntary and other policy levers to encourage alignment with the national framework</w:t>
            </w:r>
            <w:r w:rsidR="0087211D" w:rsidRPr="00033E5C">
              <w:rPr>
                <w:rFonts w:ascii="Times New Roman" w:hAnsi="Times New Roman" w:cs="Times New Roman"/>
                <w:b w:val="0"/>
              </w:rPr>
              <w:t>.</w:t>
            </w:r>
          </w:p>
          <w:p w:rsidR="00DB71A4" w:rsidRDefault="00DB71A4" w:rsidP="00BE0A5A">
            <w:pPr>
              <w:spacing w:after="60"/>
              <w:rPr>
                <w:rFonts w:ascii="Times New Roman" w:hAnsi="Times New Roman" w:cs="Times New Roman"/>
                <w:b w:val="0"/>
                <w:i/>
              </w:rPr>
            </w:pPr>
          </w:p>
          <w:p w:rsidR="004D288F" w:rsidRDefault="004D288F" w:rsidP="00BE0A5A">
            <w:pPr>
              <w:spacing w:after="60"/>
              <w:rPr>
                <w:rFonts w:ascii="Times New Roman" w:hAnsi="Times New Roman" w:cs="Times New Roman"/>
                <w:b w:val="0"/>
                <w:i/>
              </w:rPr>
            </w:pPr>
            <w:r>
              <w:rPr>
                <w:rFonts w:ascii="Times New Roman" w:hAnsi="Times New Roman" w:cs="Times New Roman"/>
                <w:b w:val="0"/>
                <w:i/>
              </w:rPr>
              <w:t>The HITPC recommends that ONC provide guidance to State legislatures on the direction of governance planning as early as possible, and follow up with additional guidance/information/education as appropria</w:t>
            </w:r>
            <w:r w:rsidR="00AE2484">
              <w:rPr>
                <w:rFonts w:ascii="Times New Roman" w:hAnsi="Times New Roman" w:cs="Times New Roman"/>
                <w:b w:val="0"/>
                <w:i/>
              </w:rPr>
              <w:t>te</w:t>
            </w:r>
            <w:r>
              <w:rPr>
                <w:rFonts w:ascii="Times New Roman" w:hAnsi="Times New Roman" w:cs="Times New Roman"/>
                <w:b w:val="0"/>
                <w:i/>
              </w:rPr>
              <w:t xml:space="preserve"> in advance of the final rule.  </w:t>
            </w:r>
          </w:p>
          <w:p w:rsidR="00BF424A" w:rsidRPr="004D288F" w:rsidRDefault="00BF424A" w:rsidP="00BE0A5A">
            <w:pPr>
              <w:spacing w:after="60"/>
              <w:rPr>
                <w:rFonts w:ascii="Times New Roman" w:hAnsi="Times New Roman" w:cs="Times New Roman"/>
                <w:i/>
                <w:sz w:val="20"/>
                <w:szCs w:val="20"/>
              </w:rPr>
            </w:pPr>
          </w:p>
          <w:p w:rsidR="00DB71A4" w:rsidRPr="00DB71A4" w:rsidRDefault="00DB71A4" w:rsidP="00DB71A4">
            <w:pPr>
              <w:rPr>
                <w:rFonts w:ascii="Times New Roman" w:hAnsi="Times New Roman"/>
                <w:b w:val="0"/>
              </w:rPr>
            </w:pPr>
            <w:r w:rsidRPr="00DB71A4">
              <w:rPr>
                <w:rFonts w:ascii="Times New Roman" w:hAnsi="Times New Roman"/>
                <w:b w:val="0"/>
              </w:rPr>
              <w:t xml:space="preserve">The HITPC believes that clear and rigorous privacy, interoperability, and business CTE requirements will encourage support from public and private sectors as well as patient communities that will encourage states to align their own governance approaches with national standards. </w:t>
            </w:r>
          </w:p>
          <w:p w:rsidR="00DB71A4" w:rsidRDefault="00DB71A4" w:rsidP="00DB71A4">
            <w:pPr>
              <w:rPr>
                <w:rFonts w:ascii="Times New Roman" w:hAnsi="Times New Roman"/>
                <w:b w:val="0"/>
              </w:rPr>
            </w:pPr>
          </w:p>
          <w:p w:rsidR="00DB71A4" w:rsidRPr="00DB71A4" w:rsidRDefault="00DB71A4" w:rsidP="00DB71A4">
            <w:pPr>
              <w:rPr>
                <w:rFonts w:ascii="Times New Roman" w:hAnsi="Times New Roman"/>
                <w:b w:val="0"/>
              </w:rPr>
            </w:pPr>
            <w:r w:rsidRPr="00DB71A4">
              <w:rPr>
                <w:rFonts w:ascii="Times New Roman" w:hAnsi="Times New Roman"/>
                <w:b w:val="0"/>
              </w:rPr>
              <w:t>The benefits will be particularly striking for interstate exchange. States pursuing interstate exchange will have a natural incentive to follow national guidance, reducing the need to develop specific policies or navigate conflicting state approaches.</w:t>
            </w:r>
          </w:p>
          <w:p w:rsidR="00DB71A4" w:rsidRDefault="00DB71A4" w:rsidP="00DB71A4">
            <w:pPr>
              <w:spacing w:after="60"/>
              <w:rPr>
                <w:rFonts w:ascii="Times New Roman" w:hAnsi="Times New Roman"/>
                <w:b w:val="0"/>
              </w:rPr>
            </w:pPr>
          </w:p>
          <w:p w:rsidR="009D293E" w:rsidRPr="00185893" w:rsidRDefault="00DB71A4" w:rsidP="00DB71A4">
            <w:pPr>
              <w:spacing w:after="60"/>
              <w:rPr>
                <w:rFonts w:ascii="Times New Roman" w:hAnsi="Times New Roman" w:cs="Times New Roman"/>
                <w:b w:val="0"/>
                <w:sz w:val="20"/>
                <w:szCs w:val="20"/>
              </w:rPr>
            </w:pPr>
            <w:r w:rsidRPr="00DB71A4">
              <w:rPr>
                <w:rFonts w:ascii="Times New Roman" w:hAnsi="Times New Roman"/>
                <w:b w:val="0"/>
              </w:rPr>
              <w:t>The HITPC also believes that federal support for states transitioning to national governance—including assistance in conducting gap analysis to identify differences between state policies and national governance--will encourage states to align their policies with those of the proposed governance structure.</w:t>
            </w:r>
          </w:p>
        </w:tc>
      </w:tr>
    </w:tbl>
    <w:p w:rsidR="002D1BBC" w:rsidRDefault="002D1BBC"/>
    <w:tbl>
      <w:tblPr>
        <w:tblStyle w:val="MediumShading1-Accent11"/>
        <w:tblW w:w="5000" w:type="pct"/>
        <w:jc w:val="center"/>
        <w:tblLook w:val="04A0"/>
      </w:tblPr>
      <w:tblGrid>
        <w:gridCol w:w="14616"/>
      </w:tblGrid>
      <w:tr w:rsidR="003D17F1" w:rsidRPr="002E56FA">
        <w:trPr>
          <w:cnfStyle w:val="100000000000"/>
          <w:cantSplit/>
          <w:trHeight w:val="296"/>
          <w:tblHeader/>
          <w:jc w:val="center"/>
        </w:trPr>
        <w:tc>
          <w:tcPr>
            <w:cnfStyle w:val="001000000000"/>
            <w:tcW w:w="5000" w:type="pct"/>
          </w:tcPr>
          <w:p w:rsidR="003D17F1" w:rsidRPr="002E56FA" w:rsidRDefault="003A2022" w:rsidP="00B34CA9">
            <w:r w:rsidRPr="003A2022">
              <w:rPr>
                <w:rFonts w:ascii="Times New Roman" w:hAnsi="Times New Roman" w:cs="Times New Roman"/>
                <w:sz w:val="24"/>
                <w:szCs w:val="24"/>
              </w:rPr>
              <w:lastRenderedPageBreak/>
              <w:t>Establishing a Governance Mechanism</w:t>
            </w:r>
          </w:p>
        </w:tc>
      </w:tr>
      <w:tr w:rsidR="009D293E" w:rsidRPr="00A36FD5">
        <w:trPr>
          <w:cnfStyle w:val="000000100000"/>
          <w:cantSplit/>
          <w:trHeight w:val="604"/>
          <w:jc w:val="center"/>
        </w:trPr>
        <w:tc>
          <w:tcPr>
            <w:cnfStyle w:val="001000000000"/>
            <w:tcW w:w="5000" w:type="pct"/>
            <w:shd w:val="clear" w:color="auto" w:fill="DBE5F1" w:themeFill="accent1" w:themeFillTint="33"/>
          </w:tcPr>
          <w:p w:rsidR="00FB6174" w:rsidRPr="003752AE" w:rsidRDefault="00FB6174" w:rsidP="006F4BDD">
            <w:pPr>
              <w:pStyle w:val="ListParagraph"/>
              <w:numPr>
                <w:ilvl w:val="0"/>
                <w:numId w:val="2"/>
              </w:numPr>
              <w:rPr>
                <w:rFonts w:ascii="Times New Roman" w:hAnsi="Times New Roman"/>
                <w:sz w:val="24"/>
                <w:szCs w:val="24"/>
              </w:rPr>
            </w:pPr>
            <w:r w:rsidRPr="003752AE">
              <w:rPr>
                <w:rFonts w:ascii="Times New Roman" w:hAnsi="Times New Roman"/>
                <w:sz w:val="24"/>
                <w:szCs w:val="24"/>
              </w:rPr>
              <w:t>What other approaches to exercising our authority to establish a governance mechanism for the nationwide health information network should we consider?</w:t>
            </w:r>
          </w:p>
          <w:p w:rsidR="009D293E" w:rsidRPr="00A36FD5" w:rsidRDefault="009D293E" w:rsidP="009D293E">
            <w:pPr>
              <w:rPr>
                <w:b w:val="0"/>
                <w:bCs w:val="0"/>
                <w:sz w:val="20"/>
                <w:szCs w:val="20"/>
              </w:rPr>
            </w:pPr>
          </w:p>
        </w:tc>
      </w:tr>
      <w:tr w:rsidR="003D17F1" w:rsidRPr="00A36FD5">
        <w:trPr>
          <w:cnfStyle w:val="000000010000"/>
          <w:cantSplit/>
          <w:trHeight w:val="349"/>
          <w:jc w:val="center"/>
        </w:trPr>
        <w:tc>
          <w:tcPr>
            <w:cnfStyle w:val="001000000000"/>
            <w:tcW w:w="5000" w:type="pct"/>
            <w:tcBorders>
              <w:bottom w:val="single" w:sz="8" w:space="0" w:color="7BA0CD" w:themeColor="accent1" w:themeTint="BF"/>
            </w:tcBorders>
            <w:shd w:val="clear" w:color="auto" w:fill="DBE5F1" w:themeFill="accent1" w:themeFillTint="33"/>
          </w:tcPr>
          <w:p w:rsidR="003D17F1" w:rsidRPr="00A36FD5" w:rsidRDefault="00FB6174" w:rsidP="003752AE">
            <w:pPr>
              <w:spacing w:after="60"/>
              <w:rPr>
                <w:sz w:val="20"/>
                <w:szCs w:val="20"/>
              </w:rPr>
            </w:pPr>
            <w:r>
              <w:rPr>
                <w:rFonts w:ascii="Times New Roman" w:hAnsi="Times New Roman"/>
                <w:sz w:val="24"/>
                <w:szCs w:val="24"/>
                <w:u w:val="single"/>
              </w:rPr>
              <w:t>Question Context:</w:t>
            </w:r>
            <w:r>
              <w:rPr>
                <w:rFonts w:ascii="Times New Roman" w:hAnsi="Times New Roman"/>
                <w:sz w:val="24"/>
                <w:szCs w:val="24"/>
              </w:rPr>
              <w:t xml:space="preserve">  </w:t>
            </w:r>
          </w:p>
        </w:tc>
      </w:tr>
      <w:tr w:rsidR="009D293E" w:rsidRPr="00A36FD5" w:rsidTr="00A946D8">
        <w:trPr>
          <w:cnfStyle w:val="000000100000"/>
          <w:cantSplit/>
          <w:trHeight w:val="556"/>
          <w:jc w:val="center"/>
        </w:trPr>
        <w:tc>
          <w:tcPr>
            <w:cnfStyle w:val="001000000000"/>
            <w:tcW w:w="5000" w:type="pct"/>
            <w:shd w:val="clear" w:color="auto" w:fill="FFFFFF" w:themeFill="background1"/>
          </w:tcPr>
          <w:p w:rsidR="002847B8" w:rsidRPr="002847B8" w:rsidRDefault="002847B8" w:rsidP="00717F30">
            <w:pPr>
              <w:spacing w:after="60"/>
              <w:rPr>
                <w:rFonts w:ascii="Times New Roman" w:hAnsi="Times New Roman" w:cs="Times New Roman"/>
                <w:sz w:val="20"/>
                <w:szCs w:val="20"/>
              </w:rPr>
            </w:pPr>
            <w:r w:rsidRPr="00185893">
              <w:rPr>
                <w:rFonts w:ascii="Times New Roman" w:hAnsi="Times New Roman" w:cs="Times New Roman"/>
                <w:b w:val="0"/>
                <w:szCs w:val="20"/>
              </w:rPr>
              <w:t>See response to Question 2.</w:t>
            </w:r>
          </w:p>
        </w:tc>
      </w:tr>
    </w:tbl>
    <w:p w:rsidR="002847B8" w:rsidRDefault="002847B8"/>
    <w:tbl>
      <w:tblPr>
        <w:tblStyle w:val="MediumShading1-Accent11"/>
        <w:tblW w:w="5000" w:type="pct"/>
        <w:jc w:val="center"/>
        <w:tblLook w:val="04A0"/>
      </w:tblPr>
      <w:tblGrid>
        <w:gridCol w:w="14616"/>
      </w:tblGrid>
      <w:tr w:rsidR="00225406" w:rsidRPr="002E56FA">
        <w:trPr>
          <w:cnfStyle w:val="100000000000"/>
          <w:cantSplit/>
          <w:trHeight w:val="296"/>
          <w:tblHeader/>
          <w:jc w:val="center"/>
        </w:trPr>
        <w:tc>
          <w:tcPr>
            <w:cnfStyle w:val="001000000000"/>
            <w:tcW w:w="5000" w:type="pct"/>
          </w:tcPr>
          <w:p w:rsidR="00225406" w:rsidRPr="002E56FA" w:rsidRDefault="003A2022" w:rsidP="00BE0A5A">
            <w:r>
              <w:rPr>
                <w:rFonts w:ascii="Times New Roman" w:hAnsi="Times New Roman"/>
                <w:sz w:val="24"/>
                <w:szCs w:val="24"/>
              </w:rPr>
              <w:t>Actors and Associated Responsibilities</w:t>
            </w:r>
          </w:p>
        </w:tc>
      </w:tr>
      <w:tr w:rsidR="009D293E" w:rsidRPr="00A36FD5">
        <w:trPr>
          <w:cnfStyle w:val="000000100000"/>
          <w:cantSplit/>
          <w:trHeight w:val="612"/>
          <w:jc w:val="center"/>
        </w:trPr>
        <w:tc>
          <w:tcPr>
            <w:cnfStyle w:val="001000000000"/>
            <w:tcW w:w="5000" w:type="pct"/>
            <w:shd w:val="clear" w:color="auto" w:fill="DBE5F1" w:themeFill="accent1" w:themeFillTint="33"/>
          </w:tcPr>
          <w:p w:rsidR="009D293E" w:rsidRPr="003752AE" w:rsidRDefault="00FB6174" w:rsidP="006F4BDD">
            <w:pPr>
              <w:pStyle w:val="ListParagraph"/>
              <w:numPr>
                <w:ilvl w:val="0"/>
                <w:numId w:val="2"/>
              </w:numPr>
              <w:rPr>
                <w:b w:val="0"/>
                <w:bCs w:val="0"/>
                <w:sz w:val="20"/>
                <w:szCs w:val="20"/>
              </w:rPr>
            </w:pPr>
            <w:r w:rsidRPr="003752AE">
              <w:rPr>
                <w:rFonts w:ascii="Times New Roman" w:hAnsi="Times New Roman"/>
                <w:sz w:val="24"/>
                <w:szCs w:val="24"/>
              </w:rPr>
              <w:t>We solicit feedback on the appropriateness of ONC’s role in coordinating the governance mechanism and whether certain responsibilities might be better delegated to, and/or fulfilled by, the private sector.</w:t>
            </w:r>
          </w:p>
          <w:p w:rsidR="00FB6174" w:rsidRPr="00FB6174" w:rsidRDefault="00FB6174" w:rsidP="00FB6174">
            <w:pPr>
              <w:pStyle w:val="ListParagraph"/>
              <w:ind w:left="360"/>
              <w:rPr>
                <w:b w:val="0"/>
                <w:bCs w:val="0"/>
                <w:sz w:val="20"/>
                <w:szCs w:val="20"/>
                <w:u w:val="single"/>
              </w:rPr>
            </w:pPr>
          </w:p>
        </w:tc>
      </w:tr>
      <w:tr w:rsidR="00225406" w:rsidRPr="00A36FD5">
        <w:trPr>
          <w:cnfStyle w:val="000000010000"/>
          <w:cantSplit/>
          <w:trHeight w:val="610"/>
          <w:jc w:val="center"/>
        </w:trPr>
        <w:tc>
          <w:tcPr>
            <w:cnfStyle w:val="001000000000"/>
            <w:tcW w:w="5000" w:type="pct"/>
            <w:tcBorders>
              <w:bottom w:val="single" w:sz="8" w:space="0" w:color="7BA0CD" w:themeColor="accent1" w:themeTint="BF"/>
            </w:tcBorders>
            <w:shd w:val="clear" w:color="auto" w:fill="DBE5F1" w:themeFill="accent1" w:themeFillTint="33"/>
          </w:tcPr>
          <w:p w:rsidR="00225406" w:rsidRPr="00A36FD5" w:rsidRDefault="00FB6174" w:rsidP="003752AE">
            <w:pPr>
              <w:rPr>
                <w:sz w:val="20"/>
                <w:szCs w:val="20"/>
              </w:rPr>
            </w:pPr>
            <w:r>
              <w:rPr>
                <w:rFonts w:ascii="Times New Roman" w:hAnsi="Times New Roman"/>
                <w:sz w:val="24"/>
                <w:szCs w:val="24"/>
                <w:u w:val="single"/>
              </w:rPr>
              <w:t>Question Context:</w:t>
            </w:r>
            <w:r>
              <w:rPr>
                <w:rFonts w:ascii="Times New Roman" w:hAnsi="Times New Roman"/>
                <w:sz w:val="24"/>
                <w:szCs w:val="24"/>
              </w:rPr>
              <w:t xml:space="preserve">  </w:t>
            </w:r>
          </w:p>
        </w:tc>
      </w:tr>
      <w:tr w:rsidR="009D293E" w:rsidRPr="00A36FD5">
        <w:trPr>
          <w:cnfStyle w:val="000000100000"/>
          <w:cantSplit/>
          <w:trHeight w:val="809"/>
          <w:jc w:val="center"/>
        </w:trPr>
        <w:tc>
          <w:tcPr>
            <w:cnfStyle w:val="001000000000"/>
            <w:tcW w:w="5000" w:type="pct"/>
            <w:shd w:val="clear" w:color="auto" w:fill="FFFFFF" w:themeFill="background1"/>
          </w:tcPr>
          <w:p w:rsidR="00DD6510" w:rsidRPr="00333CB6" w:rsidRDefault="00DD6510" w:rsidP="00482E81">
            <w:pPr>
              <w:tabs>
                <w:tab w:val="left" w:pos="1685"/>
              </w:tabs>
              <w:spacing w:after="60"/>
              <w:rPr>
                <w:rFonts w:ascii="Times New Roman" w:hAnsi="Times New Roman" w:cs="Times New Roman"/>
                <w:b w:val="0"/>
                <w:szCs w:val="20"/>
              </w:rPr>
            </w:pPr>
            <w:r w:rsidRPr="00333CB6">
              <w:rPr>
                <w:rFonts w:ascii="Times New Roman" w:hAnsi="Times New Roman" w:cs="Times New Roman"/>
                <w:b w:val="0"/>
                <w:szCs w:val="20"/>
              </w:rPr>
              <w:t xml:space="preserve">The </w:t>
            </w:r>
            <w:r w:rsidR="00482E81">
              <w:rPr>
                <w:rFonts w:ascii="Times New Roman" w:hAnsi="Times New Roman" w:cs="Times New Roman"/>
                <w:b w:val="0"/>
                <w:szCs w:val="20"/>
              </w:rPr>
              <w:t>HITPC</w:t>
            </w:r>
            <w:r w:rsidRPr="00333CB6">
              <w:rPr>
                <w:rFonts w:ascii="Times New Roman" w:hAnsi="Times New Roman" w:cs="Times New Roman"/>
                <w:b w:val="0"/>
                <w:szCs w:val="20"/>
              </w:rPr>
              <w:t xml:space="preserve"> agrees that ONC has a critical role to play in coordinating NwHIN governance.  Specifically in:</w:t>
            </w:r>
          </w:p>
          <w:p w:rsidR="002847B8" w:rsidRPr="00333CB6" w:rsidRDefault="002847B8" w:rsidP="006F4BDD">
            <w:pPr>
              <w:numPr>
                <w:ilvl w:val="0"/>
                <w:numId w:val="5"/>
              </w:numPr>
              <w:tabs>
                <w:tab w:val="clear" w:pos="720"/>
                <w:tab w:val="num" w:pos="1080"/>
                <w:tab w:val="left" w:pos="1685"/>
              </w:tabs>
              <w:spacing w:after="60"/>
              <w:ind w:left="1080"/>
              <w:rPr>
                <w:rFonts w:ascii="Times New Roman" w:hAnsi="Times New Roman" w:cs="Times New Roman"/>
                <w:b w:val="0"/>
                <w:szCs w:val="20"/>
              </w:rPr>
            </w:pPr>
            <w:r w:rsidRPr="00333CB6">
              <w:rPr>
                <w:rFonts w:ascii="Times New Roman" w:hAnsi="Times New Roman" w:cs="Times New Roman"/>
                <w:b w:val="0"/>
                <w:szCs w:val="20"/>
              </w:rPr>
              <w:t>Endorsing and adopting CTEs and publishing guidance</w:t>
            </w:r>
          </w:p>
          <w:p w:rsidR="002847B8" w:rsidRPr="00333CB6" w:rsidRDefault="002847B8" w:rsidP="006F4BDD">
            <w:pPr>
              <w:numPr>
                <w:ilvl w:val="0"/>
                <w:numId w:val="5"/>
              </w:numPr>
              <w:tabs>
                <w:tab w:val="clear" w:pos="720"/>
                <w:tab w:val="num" w:pos="1080"/>
                <w:tab w:val="left" w:pos="1685"/>
              </w:tabs>
              <w:spacing w:after="60"/>
              <w:ind w:left="1080"/>
              <w:rPr>
                <w:rFonts w:ascii="Times New Roman" w:hAnsi="Times New Roman" w:cs="Times New Roman"/>
                <w:b w:val="0"/>
                <w:szCs w:val="20"/>
              </w:rPr>
            </w:pPr>
            <w:r w:rsidRPr="00333CB6">
              <w:rPr>
                <w:rFonts w:ascii="Times New Roman" w:hAnsi="Times New Roman" w:cs="Times New Roman"/>
                <w:b w:val="0"/>
                <w:szCs w:val="20"/>
              </w:rPr>
              <w:t>Facilitating input from/to the HIT Policy and Standards Committees on: revisions to CTEs,  creating new CTEs, and retirement of CTEs</w:t>
            </w:r>
          </w:p>
          <w:p w:rsidR="002847B8" w:rsidRPr="00333CB6" w:rsidRDefault="002847B8" w:rsidP="006F4BDD">
            <w:pPr>
              <w:numPr>
                <w:ilvl w:val="0"/>
                <w:numId w:val="5"/>
              </w:numPr>
              <w:tabs>
                <w:tab w:val="clear" w:pos="720"/>
                <w:tab w:val="num" w:pos="1080"/>
                <w:tab w:val="left" w:pos="1685"/>
              </w:tabs>
              <w:spacing w:after="60"/>
              <w:ind w:left="1080"/>
              <w:rPr>
                <w:rFonts w:ascii="Times New Roman" w:hAnsi="Times New Roman" w:cs="Times New Roman"/>
                <w:b w:val="0"/>
                <w:szCs w:val="20"/>
              </w:rPr>
            </w:pPr>
            <w:r w:rsidRPr="00333CB6">
              <w:rPr>
                <w:rFonts w:ascii="Times New Roman" w:hAnsi="Times New Roman" w:cs="Times New Roman"/>
                <w:b w:val="0"/>
                <w:szCs w:val="20"/>
              </w:rPr>
              <w:t>Selection and oversight processes for an accreditation body</w:t>
            </w:r>
          </w:p>
          <w:p w:rsidR="002847B8" w:rsidRPr="00776E47" w:rsidRDefault="002847B8" w:rsidP="006F4BDD">
            <w:pPr>
              <w:numPr>
                <w:ilvl w:val="0"/>
                <w:numId w:val="5"/>
              </w:numPr>
              <w:tabs>
                <w:tab w:val="clear" w:pos="720"/>
                <w:tab w:val="num" w:pos="1080"/>
                <w:tab w:val="left" w:pos="1685"/>
              </w:tabs>
              <w:spacing w:after="60"/>
              <w:ind w:left="1080"/>
              <w:rPr>
                <w:rFonts w:ascii="Times New Roman" w:hAnsi="Times New Roman" w:cs="Times New Roman"/>
                <w:b w:val="0"/>
                <w:szCs w:val="20"/>
              </w:rPr>
            </w:pPr>
            <w:r w:rsidRPr="00776E47">
              <w:rPr>
                <w:rFonts w:ascii="Times New Roman" w:hAnsi="Times New Roman" w:cs="Times New Roman"/>
                <w:b w:val="0"/>
                <w:szCs w:val="20"/>
              </w:rPr>
              <w:t>Overall oversight of all entities and processes established as part of the governance mechanism.</w:t>
            </w:r>
          </w:p>
          <w:p w:rsidR="00DD6510" w:rsidRPr="00776E47" w:rsidRDefault="00DD6510" w:rsidP="00482E81">
            <w:pPr>
              <w:tabs>
                <w:tab w:val="left" w:pos="1685"/>
              </w:tabs>
              <w:spacing w:after="60"/>
              <w:rPr>
                <w:rFonts w:ascii="Times New Roman" w:hAnsi="Times New Roman" w:cs="Times New Roman"/>
                <w:b w:val="0"/>
                <w:szCs w:val="20"/>
              </w:rPr>
            </w:pPr>
            <w:r w:rsidRPr="00776E47">
              <w:rPr>
                <w:rFonts w:ascii="Times New Roman" w:hAnsi="Times New Roman" w:cs="Times New Roman"/>
                <w:b w:val="0"/>
                <w:szCs w:val="20"/>
              </w:rPr>
              <w:t xml:space="preserve">The </w:t>
            </w:r>
            <w:r w:rsidR="00482E81" w:rsidRPr="00776E47">
              <w:rPr>
                <w:rFonts w:ascii="Times New Roman" w:hAnsi="Times New Roman" w:cs="Times New Roman"/>
                <w:b w:val="0"/>
                <w:szCs w:val="20"/>
              </w:rPr>
              <w:t>HITPC</w:t>
            </w:r>
            <w:r w:rsidRPr="00776E47">
              <w:rPr>
                <w:rFonts w:ascii="Times New Roman" w:hAnsi="Times New Roman" w:cs="Times New Roman"/>
                <w:b w:val="0"/>
                <w:szCs w:val="20"/>
              </w:rPr>
              <w:t xml:space="preserve"> further believes that while ONC should ultimately oversee the process for selecting and overse</w:t>
            </w:r>
            <w:r w:rsidR="000116CA" w:rsidRPr="00776E47">
              <w:rPr>
                <w:rFonts w:ascii="Times New Roman" w:hAnsi="Times New Roman" w:cs="Times New Roman"/>
                <w:b w:val="0"/>
                <w:szCs w:val="20"/>
              </w:rPr>
              <w:t xml:space="preserve">eing an accreditation body, </w:t>
            </w:r>
            <w:r w:rsidRPr="00776E47">
              <w:rPr>
                <w:rFonts w:ascii="Times New Roman" w:hAnsi="Times New Roman" w:cs="Times New Roman"/>
                <w:b w:val="0"/>
                <w:szCs w:val="20"/>
              </w:rPr>
              <w:t xml:space="preserve">that the day-to-day validation and oversight of NVEs should fall to private sector entities </w:t>
            </w:r>
            <w:r w:rsidR="00185893" w:rsidRPr="00776E47">
              <w:rPr>
                <w:rFonts w:ascii="Times New Roman" w:hAnsi="Times New Roman" w:cs="Times New Roman"/>
                <w:b w:val="0"/>
                <w:szCs w:val="20"/>
              </w:rPr>
              <w:t xml:space="preserve">(validation bodies) </w:t>
            </w:r>
            <w:r w:rsidRPr="00776E47">
              <w:rPr>
                <w:rFonts w:ascii="Times New Roman" w:hAnsi="Times New Roman" w:cs="Times New Roman"/>
                <w:b w:val="0"/>
                <w:szCs w:val="20"/>
              </w:rPr>
              <w:t>overseen by the accreditation body.</w:t>
            </w:r>
            <w:r w:rsidR="00185893" w:rsidRPr="00776E47">
              <w:rPr>
                <w:rFonts w:ascii="Times New Roman" w:hAnsi="Times New Roman" w:cs="Times New Roman"/>
                <w:b w:val="0"/>
                <w:szCs w:val="20"/>
              </w:rPr>
              <w:t xml:space="preserve"> </w:t>
            </w:r>
          </w:p>
          <w:p w:rsidR="00996574" w:rsidRPr="00776E47" w:rsidRDefault="00996574" w:rsidP="00482E81">
            <w:pPr>
              <w:tabs>
                <w:tab w:val="left" w:pos="1685"/>
              </w:tabs>
              <w:spacing w:after="60"/>
              <w:rPr>
                <w:rFonts w:ascii="Times New Roman" w:hAnsi="Times New Roman" w:cs="Times New Roman"/>
                <w:b w:val="0"/>
                <w:szCs w:val="20"/>
              </w:rPr>
            </w:pPr>
            <w:r w:rsidRPr="00776E47">
              <w:rPr>
                <w:rFonts w:ascii="Times New Roman" w:hAnsi="Times New Roman" w:cs="Times New Roman"/>
                <w:b w:val="0"/>
                <w:szCs w:val="20"/>
              </w:rPr>
              <w:t>The</w:t>
            </w:r>
            <w:r w:rsidR="00482E81" w:rsidRPr="00776E47">
              <w:rPr>
                <w:rFonts w:ascii="Times New Roman" w:hAnsi="Times New Roman" w:cs="Times New Roman"/>
                <w:b w:val="0"/>
                <w:szCs w:val="20"/>
              </w:rPr>
              <w:t xml:space="preserve"> HITPC</w:t>
            </w:r>
            <w:r w:rsidRPr="00776E47">
              <w:rPr>
                <w:rFonts w:ascii="Times New Roman" w:hAnsi="Times New Roman" w:cs="Times New Roman"/>
                <w:b w:val="0"/>
                <w:szCs w:val="20"/>
              </w:rPr>
              <w:t xml:space="preserve"> recommends that ONC should play an arbiter role for any disputes that may arise between actors (accreditation body, validation bodies and NVEs), to reconcile disputes and ensure that the intent of the CTEs are followed in practice. The</w:t>
            </w:r>
            <w:r w:rsidR="00776E47">
              <w:rPr>
                <w:rFonts w:ascii="Times New Roman" w:hAnsi="Times New Roman" w:cs="Times New Roman"/>
                <w:b w:val="0"/>
                <w:szCs w:val="20"/>
              </w:rPr>
              <w:t xml:space="preserve"> HITPC</w:t>
            </w:r>
            <w:r w:rsidRPr="00776E47">
              <w:rPr>
                <w:rFonts w:ascii="Times New Roman" w:hAnsi="Times New Roman" w:cs="Times New Roman"/>
                <w:b w:val="0"/>
                <w:szCs w:val="20"/>
              </w:rPr>
              <w:t xml:space="preserve"> recommends that the dispute resolution process should be spelled out in the rule.</w:t>
            </w:r>
          </w:p>
          <w:p w:rsidR="00E6748E" w:rsidRPr="00776E47" w:rsidRDefault="00DD6510" w:rsidP="00482E81">
            <w:pPr>
              <w:tabs>
                <w:tab w:val="left" w:pos="1685"/>
              </w:tabs>
              <w:spacing w:after="60"/>
              <w:rPr>
                <w:rFonts w:ascii="Times New Roman" w:hAnsi="Times New Roman" w:cs="Times New Roman"/>
                <w:b w:val="0"/>
                <w:szCs w:val="20"/>
              </w:rPr>
            </w:pPr>
            <w:r w:rsidRPr="00776E47">
              <w:rPr>
                <w:rFonts w:ascii="Times New Roman" w:hAnsi="Times New Roman" w:cs="Times New Roman"/>
                <w:b w:val="0"/>
                <w:szCs w:val="20"/>
              </w:rPr>
              <w:t xml:space="preserve">The </w:t>
            </w:r>
            <w:r w:rsidR="00482E81" w:rsidRPr="00776E47">
              <w:rPr>
                <w:rFonts w:ascii="Times New Roman" w:hAnsi="Times New Roman" w:cs="Times New Roman"/>
                <w:b w:val="0"/>
                <w:szCs w:val="20"/>
              </w:rPr>
              <w:t>HITPC</w:t>
            </w:r>
            <w:r w:rsidRPr="00776E47">
              <w:rPr>
                <w:rFonts w:ascii="Times New Roman" w:hAnsi="Times New Roman" w:cs="Times New Roman"/>
                <w:b w:val="0"/>
                <w:szCs w:val="20"/>
              </w:rPr>
              <w:t xml:space="preserve"> recommends that ONC produce operationally defied descriptions of CTEs and be responsible for updating and clarifying those definitions over time</w:t>
            </w:r>
          </w:p>
          <w:p w:rsidR="00F000FF" w:rsidRPr="00776E47" w:rsidRDefault="00DD6510" w:rsidP="00482E81">
            <w:pPr>
              <w:tabs>
                <w:tab w:val="left" w:pos="1685"/>
              </w:tabs>
              <w:spacing w:after="60"/>
              <w:rPr>
                <w:rFonts w:ascii="Times New Roman" w:hAnsi="Times New Roman" w:cs="Times New Roman"/>
                <w:b w:val="0"/>
                <w:szCs w:val="20"/>
              </w:rPr>
            </w:pPr>
            <w:r w:rsidRPr="00776E47">
              <w:rPr>
                <w:rFonts w:ascii="Times New Roman" w:hAnsi="Times New Roman" w:cs="Times New Roman"/>
                <w:b w:val="0"/>
                <w:szCs w:val="20"/>
              </w:rPr>
              <w:t xml:space="preserve">The </w:t>
            </w:r>
            <w:r w:rsidR="00482E81" w:rsidRPr="00776E47">
              <w:rPr>
                <w:rFonts w:ascii="Times New Roman" w:hAnsi="Times New Roman" w:cs="Times New Roman"/>
                <w:b w:val="0"/>
                <w:szCs w:val="20"/>
              </w:rPr>
              <w:t xml:space="preserve">HITPC </w:t>
            </w:r>
            <w:r w:rsidRPr="00776E47">
              <w:rPr>
                <w:rFonts w:ascii="Times New Roman" w:hAnsi="Times New Roman" w:cs="Times New Roman"/>
                <w:b w:val="0"/>
                <w:szCs w:val="20"/>
              </w:rPr>
              <w:t xml:space="preserve">recommends that other private entities may have a significant role to play in the adoption and use of standards and implementation specifications to support interoperability related to CTEs. </w:t>
            </w:r>
            <w:r w:rsidR="009F3452" w:rsidRPr="00776E47">
              <w:rPr>
                <w:rFonts w:ascii="Times New Roman" w:hAnsi="Times New Roman" w:cs="Times New Roman"/>
                <w:b w:val="0"/>
                <w:szCs w:val="20"/>
              </w:rPr>
              <w:t xml:space="preserve"> </w:t>
            </w:r>
            <w:r w:rsidR="00CD2B09" w:rsidRPr="00776E47">
              <w:rPr>
                <w:rFonts w:ascii="Times New Roman" w:hAnsi="Times New Roman" w:cs="Times New Roman"/>
                <w:b w:val="0"/>
                <w:szCs w:val="20"/>
              </w:rPr>
              <w:t xml:space="preserve">The </w:t>
            </w:r>
            <w:r w:rsidR="00776E47" w:rsidRPr="00776E47">
              <w:rPr>
                <w:rFonts w:ascii="Times New Roman" w:hAnsi="Times New Roman" w:cs="Times New Roman"/>
                <w:b w:val="0"/>
                <w:szCs w:val="20"/>
              </w:rPr>
              <w:t xml:space="preserve">HITPC </w:t>
            </w:r>
            <w:r w:rsidR="00CD2B09" w:rsidRPr="00776E47">
              <w:rPr>
                <w:rFonts w:ascii="Times New Roman" w:hAnsi="Times New Roman" w:cs="Times New Roman"/>
                <w:b w:val="0"/>
                <w:szCs w:val="20"/>
              </w:rPr>
              <w:t xml:space="preserve">believes that entities currently playing roles in the certification of EHRs for Meaningful Use could also play a role in certification for governance.  Also, as noted in reply to question #1, there would need to be accreditation bodies for the policy-oriented CTEs. </w:t>
            </w:r>
          </w:p>
          <w:p w:rsidR="00A4712F" w:rsidRDefault="00A4712F" w:rsidP="00F000FF">
            <w:pPr>
              <w:tabs>
                <w:tab w:val="left" w:pos="1685"/>
              </w:tabs>
              <w:spacing w:after="60"/>
              <w:rPr>
                <w:rFonts w:ascii="Times New Roman" w:hAnsi="Times New Roman" w:cs="Times New Roman"/>
                <w:szCs w:val="20"/>
              </w:rPr>
            </w:pPr>
          </w:p>
          <w:p w:rsidR="00DD6510" w:rsidRPr="00A4712F" w:rsidRDefault="00C40CD9" w:rsidP="00F000FF">
            <w:pPr>
              <w:tabs>
                <w:tab w:val="left" w:pos="1685"/>
              </w:tabs>
              <w:spacing w:after="60"/>
              <w:rPr>
                <w:rFonts w:ascii="Times New Roman" w:hAnsi="Times New Roman" w:cs="Times New Roman"/>
                <w:b w:val="0"/>
                <w:szCs w:val="20"/>
              </w:rPr>
            </w:pPr>
            <w:r>
              <w:rPr>
                <w:rFonts w:ascii="Times New Roman" w:hAnsi="Times New Roman" w:cs="Times New Roman"/>
                <w:b w:val="0"/>
                <w:i/>
                <w:szCs w:val="20"/>
              </w:rPr>
              <w:t xml:space="preserve">The HITPC recommends ONC add detail on the process of sanctions </w:t>
            </w:r>
            <w:r w:rsidR="00265BE1">
              <w:rPr>
                <w:rFonts w:ascii="Times New Roman" w:hAnsi="Times New Roman" w:cs="Times New Roman"/>
                <w:b w:val="0"/>
                <w:i/>
                <w:szCs w:val="20"/>
              </w:rPr>
              <w:t xml:space="preserve">for </w:t>
            </w:r>
            <w:r>
              <w:rPr>
                <w:rFonts w:ascii="Times New Roman" w:hAnsi="Times New Roman" w:cs="Times New Roman"/>
                <w:b w:val="0"/>
                <w:i/>
                <w:szCs w:val="20"/>
              </w:rPr>
              <w:t>NVEs</w:t>
            </w:r>
            <w:r w:rsidR="00CF7736">
              <w:rPr>
                <w:rFonts w:ascii="Times New Roman" w:hAnsi="Times New Roman" w:cs="Times New Roman"/>
                <w:b w:val="0"/>
                <w:i/>
                <w:szCs w:val="20"/>
              </w:rPr>
              <w:t>’</w:t>
            </w:r>
            <w:r>
              <w:rPr>
                <w:rFonts w:ascii="Times New Roman" w:hAnsi="Times New Roman" w:cs="Times New Roman"/>
                <w:b w:val="0"/>
                <w:i/>
                <w:szCs w:val="20"/>
              </w:rPr>
              <w:t xml:space="preserve"> </w:t>
            </w:r>
            <w:r w:rsidR="00265BE1">
              <w:rPr>
                <w:rFonts w:ascii="Times New Roman" w:hAnsi="Times New Roman" w:cs="Times New Roman"/>
                <w:b w:val="0"/>
                <w:i/>
                <w:szCs w:val="20"/>
              </w:rPr>
              <w:t xml:space="preserve">“bad actors” and </w:t>
            </w:r>
            <w:r>
              <w:rPr>
                <w:rFonts w:ascii="Times New Roman" w:hAnsi="Times New Roman" w:cs="Times New Roman"/>
                <w:b w:val="0"/>
                <w:i/>
                <w:szCs w:val="20"/>
              </w:rPr>
              <w:t>violations</w:t>
            </w:r>
            <w:r w:rsidR="006950D7">
              <w:rPr>
                <w:rFonts w:ascii="Times New Roman" w:hAnsi="Times New Roman" w:cs="Times New Roman"/>
                <w:b w:val="0"/>
                <w:i/>
                <w:szCs w:val="20"/>
              </w:rPr>
              <w:t xml:space="preserve"> where there are no existing legal remedies</w:t>
            </w:r>
            <w:r>
              <w:rPr>
                <w:rFonts w:ascii="Times New Roman" w:hAnsi="Times New Roman" w:cs="Times New Roman"/>
                <w:b w:val="0"/>
                <w:i/>
                <w:szCs w:val="20"/>
              </w:rPr>
              <w:t>.</w:t>
            </w:r>
          </w:p>
          <w:p w:rsidR="009D293E" w:rsidRPr="00A36FD5" w:rsidRDefault="009D293E" w:rsidP="00BE0A5A">
            <w:pPr>
              <w:spacing w:after="60"/>
              <w:rPr>
                <w:rFonts w:ascii="Times New Roman" w:hAnsi="Times New Roman" w:cs="Times New Roman"/>
                <w:b w:val="0"/>
                <w:sz w:val="20"/>
                <w:szCs w:val="20"/>
              </w:rPr>
            </w:pPr>
          </w:p>
        </w:tc>
      </w:tr>
    </w:tbl>
    <w:p w:rsidR="003A2022" w:rsidRDefault="003A2022"/>
    <w:p w:rsidR="00A946D8" w:rsidRDefault="00A946D8"/>
    <w:tbl>
      <w:tblPr>
        <w:tblStyle w:val="MediumShading1-Accent11"/>
        <w:tblW w:w="5000" w:type="pct"/>
        <w:jc w:val="center"/>
        <w:tblLook w:val="04A0"/>
      </w:tblPr>
      <w:tblGrid>
        <w:gridCol w:w="14616"/>
      </w:tblGrid>
      <w:tr w:rsidR="003E240C" w:rsidRPr="002E56FA">
        <w:trPr>
          <w:cnfStyle w:val="100000000000"/>
          <w:cantSplit/>
          <w:trHeight w:val="296"/>
          <w:tblHeader/>
          <w:jc w:val="center"/>
        </w:trPr>
        <w:tc>
          <w:tcPr>
            <w:cnfStyle w:val="001000000000"/>
            <w:tcW w:w="5000" w:type="pct"/>
          </w:tcPr>
          <w:p w:rsidR="003E240C" w:rsidRPr="002E56FA" w:rsidRDefault="003752AE" w:rsidP="00BE0A5A">
            <w:r>
              <w:rPr>
                <w:rFonts w:ascii="Times New Roman" w:hAnsi="Times New Roman"/>
                <w:sz w:val="24"/>
                <w:szCs w:val="24"/>
              </w:rPr>
              <w:t>Actors and Associated Responsibilities</w:t>
            </w:r>
          </w:p>
        </w:tc>
      </w:tr>
      <w:tr w:rsidR="00AD65DD" w:rsidRPr="00A36FD5">
        <w:trPr>
          <w:cnfStyle w:val="000000100000"/>
          <w:cantSplit/>
          <w:trHeight w:val="673"/>
          <w:jc w:val="center"/>
        </w:trPr>
        <w:tc>
          <w:tcPr>
            <w:cnfStyle w:val="001000000000"/>
            <w:tcW w:w="5000" w:type="pct"/>
            <w:shd w:val="clear" w:color="auto" w:fill="DBE5F1" w:themeFill="accent1" w:themeFillTint="33"/>
          </w:tcPr>
          <w:p w:rsidR="00AD65DD" w:rsidRPr="003752AE" w:rsidRDefault="00A819E4" w:rsidP="006F4BDD">
            <w:pPr>
              <w:pStyle w:val="ListParagraph"/>
              <w:numPr>
                <w:ilvl w:val="0"/>
                <w:numId w:val="2"/>
              </w:numPr>
              <w:rPr>
                <w:b w:val="0"/>
                <w:bCs w:val="0"/>
                <w:sz w:val="20"/>
                <w:szCs w:val="20"/>
              </w:rPr>
            </w:pPr>
            <w:r w:rsidRPr="003752AE">
              <w:rPr>
                <w:rFonts w:ascii="Times New Roman" w:hAnsi="Times New Roman"/>
                <w:sz w:val="24"/>
                <w:szCs w:val="24"/>
              </w:rPr>
              <w:t xml:space="preserve">Would a voluntary validation process be effective for ensuring that entities engaged in facilitating electronic exchange continue to comply with adopted CTEs? If not, what other validation processes could be leveraged for validating conformance with adopted CTEs?  If you identify existing processes, please explain the focus of each and its scope.   </w:t>
            </w:r>
          </w:p>
          <w:p w:rsidR="00A819E4" w:rsidRPr="00A819E4" w:rsidRDefault="00A819E4" w:rsidP="00A819E4">
            <w:pPr>
              <w:pStyle w:val="ListParagraph"/>
              <w:ind w:left="360"/>
              <w:rPr>
                <w:b w:val="0"/>
                <w:bCs w:val="0"/>
                <w:sz w:val="20"/>
                <w:szCs w:val="20"/>
                <w:u w:val="single"/>
              </w:rPr>
            </w:pPr>
          </w:p>
        </w:tc>
      </w:tr>
      <w:tr w:rsidR="005E2449" w:rsidRPr="00A36FD5">
        <w:trPr>
          <w:cnfStyle w:val="000000010000"/>
          <w:cantSplit/>
          <w:trHeight w:val="430"/>
          <w:jc w:val="center"/>
        </w:trPr>
        <w:tc>
          <w:tcPr>
            <w:cnfStyle w:val="001000000000"/>
            <w:tcW w:w="5000" w:type="pct"/>
            <w:tcBorders>
              <w:bottom w:val="single" w:sz="8" w:space="0" w:color="7BA0CD" w:themeColor="accent1" w:themeTint="BF"/>
            </w:tcBorders>
            <w:shd w:val="clear" w:color="auto" w:fill="DBE5F1" w:themeFill="accent1" w:themeFillTint="33"/>
          </w:tcPr>
          <w:p w:rsidR="005E2449" w:rsidRPr="00A36FD5" w:rsidRDefault="00A819E4" w:rsidP="003752AE">
            <w:pPr>
              <w:spacing w:after="60"/>
              <w:rPr>
                <w:sz w:val="20"/>
                <w:szCs w:val="20"/>
              </w:rPr>
            </w:pPr>
            <w:r>
              <w:rPr>
                <w:rFonts w:ascii="Times New Roman" w:hAnsi="Times New Roman"/>
                <w:sz w:val="24"/>
                <w:szCs w:val="24"/>
                <w:u w:val="single"/>
              </w:rPr>
              <w:t>Question Context:</w:t>
            </w:r>
            <w:r>
              <w:rPr>
                <w:rFonts w:ascii="Times New Roman" w:hAnsi="Times New Roman"/>
                <w:sz w:val="24"/>
                <w:szCs w:val="24"/>
              </w:rPr>
              <w:t xml:space="preserve"> </w:t>
            </w:r>
          </w:p>
        </w:tc>
      </w:tr>
      <w:tr w:rsidR="00A819E4" w:rsidRPr="00A36FD5">
        <w:trPr>
          <w:cnfStyle w:val="000000100000"/>
          <w:cantSplit/>
          <w:trHeight w:val="809"/>
          <w:jc w:val="center"/>
        </w:trPr>
        <w:tc>
          <w:tcPr>
            <w:cnfStyle w:val="001000000000"/>
            <w:tcW w:w="5000" w:type="pct"/>
            <w:shd w:val="clear" w:color="auto" w:fill="FFFFFF" w:themeFill="background1"/>
          </w:tcPr>
          <w:p w:rsidR="00996574" w:rsidRPr="007A6B0B" w:rsidRDefault="00996574" w:rsidP="00996574">
            <w:pPr>
              <w:tabs>
                <w:tab w:val="left" w:pos="1685"/>
              </w:tabs>
              <w:spacing w:after="60"/>
              <w:rPr>
                <w:rFonts w:ascii="Times New Roman" w:hAnsi="Times New Roman" w:cs="Times New Roman"/>
                <w:b w:val="0"/>
                <w:szCs w:val="20"/>
              </w:rPr>
            </w:pPr>
            <w:r w:rsidRPr="007A6B0B">
              <w:rPr>
                <w:rFonts w:ascii="Times New Roman" w:hAnsi="Times New Roman" w:cs="Times New Roman"/>
                <w:b w:val="0"/>
                <w:szCs w:val="20"/>
              </w:rPr>
              <w:t xml:space="preserve">The </w:t>
            </w:r>
            <w:r w:rsidR="00776E47">
              <w:rPr>
                <w:rFonts w:ascii="Times New Roman" w:hAnsi="Times New Roman" w:cs="Times New Roman"/>
                <w:b w:val="0"/>
                <w:szCs w:val="20"/>
              </w:rPr>
              <w:t>HITPC</w:t>
            </w:r>
            <w:r w:rsidRPr="007A6B0B">
              <w:rPr>
                <w:rFonts w:ascii="Times New Roman" w:hAnsi="Times New Roman" w:cs="Times New Roman"/>
                <w:b w:val="0"/>
                <w:szCs w:val="20"/>
              </w:rPr>
              <w:t xml:space="preserve"> felt it was important to clarify the intent of this question as it was not clear what was intended by a “voluntary validation” process. The </w:t>
            </w:r>
            <w:r w:rsidR="00776E47">
              <w:rPr>
                <w:rFonts w:ascii="Times New Roman" w:hAnsi="Times New Roman" w:cs="Times New Roman"/>
                <w:b w:val="0"/>
                <w:szCs w:val="20"/>
              </w:rPr>
              <w:t>HITPC</w:t>
            </w:r>
            <w:r w:rsidRPr="007A6B0B">
              <w:rPr>
                <w:rFonts w:ascii="Times New Roman" w:hAnsi="Times New Roman" w:cs="Times New Roman"/>
                <w:b w:val="0"/>
                <w:szCs w:val="20"/>
              </w:rPr>
              <w:t xml:space="preserve"> assumed that a “voluntary validation process” implies that it is voluntary (not required) for entities to adopt CTEs when exchanging PHI with other entities.</w:t>
            </w:r>
            <w:r w:rsidR="007F0BEE" w:rsidRPr="007A6B0B">
              <w:rPr>
                <w:rFonts w:ascii="Times New Roman" w:hAnsi="Times New Roman" w:cs="Times New Roman"/>
                <w:b w:val="0"/>
                <w:szCs w:val="20"/>
              </w:rPr>
              <w:t xml:space="preserve">  </w:t>
            </w:r>
            <w:r w:rsidR="002C1740">
              <w:rPr>
                <w:rFonts w:ascii="Times New Roman" w:hAnsi="Times New Roman" w:cs="Times New Roman"/>
                <w:b w:val="0"/>
                <w:szCs w:val="20"/>
              </w:rPr>
              <w:t xml:space="preserve">The </w:t>
            </w:r>
            <w:r w:rsidR="00776E47">
              <w:rPr>
                <w:rFonts w:ascii="Times New Roman" w:hAnsi="Times New Roman" w:cs="Times New Roman"/>
                <w:b w:val="0"/>
                <w:szCs w:val="20"/>
              </w:rPr>
              <w:t>HITPC</w:t>
            </w:r>
            <w:r w:rsidR="002C1740">
              <w:rPr>
                <w:rFonts w:ascii="Times New Roman" w:hAnsi="Times New Roman" w:cs="Times New Roman"/>
                <w:b w:val="0"/>
                <w:szCs w:val="20"/>
              </w:rPr>
              <w:t xml:space="preserve"> </w:t>
            </w:r>
            <w:r w:rsidR="007F0BEE" w:rsidRPr="007A6B0B">
              <w:rPr>
                <w:rFonts w:ascii="Times New Roman" w:hAnsi="Times New Roman" w:cs="Times New Roman"/>
                <w:b w:val="0"/>
                <w:szCs w:val="20"/>
              </w:rPr>
              <w:t xml:space="preserve">believes that a voluntary approach to validation will only work if there are sufficient incentives to encourage widespread participation, e.g. a requirement by Federal agencies that exchange partners be NVEs, incorporation of NVE status into MU requirements, safe harbors, </w:t>
            </w:r>
            <w:proofErr w:type="gramStart"/>
            <w:r w:rsidR="007F0BEE" w:rsidRPr="007A6B0B">
              <w:rPr>
                <w:rFonts w:ascii="Times New Roman" w:hAnsi="Times New Roman" w:cs="Times New Roman"/>
                <w:b w:val="0"/>
                <w:szCs w:val="20"/>
              </w:rPr>
              <w:t>financial</w:t>
            </w:r>
            <w:proofErr w:type="gramEnd"/>
            <w:r w:rsidR="007F0BEE" w:rsidRPr="007A6B0B">
              <w:rPr>
                <w:rFonts w:ascii="Times New Roman" w:hAnsi="Times New Roman" w:cs="Times New Roman"/>
                <w:b w:val="0"/>
                <w:szCs w:val="20"/>
              </w:rPr>
              <w:t xml:space="preserve"> incentives.</w:t>
            </w:r>
          </w:p>
          <w:p w:rsidR="00996574" w:rsidRPr="007A6B0B" w:rsidRDefault="00996574" w:rsidP="00996574">
            <w:pPr>
              <w:tabs>
                <w:tab w:val="left" w:pos="1685"/>
              </w:tabs>
              <w:spacing w:after="60"/>
              <w:rPr>
                <w:rFonts w:ascii="Times New Roman" w:hAnsi="Times New Roman" w:cs="Times New Roman"/>
                <w:b w:val="0"/>
                <w:szCs w:val="20"/>
              </w:rPr>
            </w:pPr>
          </w:p>
          <w:p w:rsidR="00CE6FBB" w:rsidRPr="007A6B0B" w:rsidRDefault="001746EA" w:rsidP="00996574">
            <w:pPr>
              <w:tabs>
                <w:tab w:val="left" w:pos="1685"/>
              </w:tabs>
              <w:spacing w:after="60"/>
              <w:rPr>
                <w:rFonts w:ascii="Times New Roman" w:hAnsi="Times New Roman" w:cs="Times New Roman"/>
                <w:b w:val="0"/>
                <w:szCs w:val="20"/>
              </w:rPr>
            </w:pPr>
            <w:r w:rsidRPr="007A6B0B">
              <w:rPr>
                <w:rFonts w:ascii="Times New Roman" w:hAnsi="Times New Roman" w:cs="Times New Roman"/>
                <w:b w:val="0"/>
                <w:szCs w:val="20"/>
              </w:rPr>
              <w:t xml:space="preserve">The </w:t>
            </w:r>
            <w:r w:rsidR="00776E47">
              <w:rPr>
                <w:rFonts w:ascii="Times New Roman" w:hAnsi="Times New Roman" w:cs="Times New Roman"/>
                <w:b w:val="0"/>
                <w:szCs w:val="20"/>
              </w:rPr>
              <w:t>HITPC</w:t>
            </w:r>
            <w:r w:rsidRPr="007A6B0B">
              <w:rPr>
                <w:rFonts w:ascii="Times New Roman" w:hAnsi="Times New Roman" w:cs="Times New Roman"/>
                <w:b w:val="0"/>
                <w:szCs w:val="20"/>
              </w:rPr>
              <w:t xml:space="preserve"> has two recommendations: </w:t>
            </w:r>
          </w:p>
          <w:p w:rsidR="00996574" w:rsidRPr="007A6B0B" w:rsidRDefault="00996574" w:rsidP="00996574">
            <w:pPr>
              <w:tabs>
                <w:tab w:val="left" w:pos="1685"/>
              </w:tabs>
              <w:spacing w:after="60"/>
              <w:rPr>
                <w:rFonts w:ascii="Times New Roman" w:hAnsi="Times New Roman" w:cs="Times New Roman"/>
                <w:b w:val="0"/>
                <w:szCs w:val="20"/>
              </w:rPr>
            </w:pPr>
          </w:p>
          <w:p w:rsidR="00CE6FBB" w:rsidRPr="007A6B0B" w:rsidRDefault="001746EA" w:rsidP="00996574">
            <w:pPr>
              <w:tabs>
                <w:tab w:val="left" w:pos="1685"/>
              </w:tabs>
              <w:spacing w:after="60"/>
              <w:rPr>
                <w:rFonts w:ascii="Times New Roman" w:hAnsi="Times New Roman" w:cs="Times New Roman"/>
                <w:b w:val="0"/>
                <w:szCs w:val="20"/>
              </w:rPr>
            </w:pPr>
            <w:r w:rsidRPr="007A6B0B">
              <w:rPr>
                <w:rFonts w:ascii="Times New Roman" w:hAnsi="Times New Roman" w:cs="Times New Roman"/>
                <w:b w:val="0"/>
                <w:szCs w:val="20"/>
              </w:rPr>
              <w:t xml:space="preserve">Recommendation #1. Adoption of CTEs should be voluntary, and not required for all entities that desire to share PHI with other entities. HIOs and HISPs may elect to do this because it can generate more business.  Individual providers may require HIOs/HISPs as a condition of doing business with them. </w:t>
            </w:r>
          </w:p>
          <w:p w:rsidR="00996574" w:rsidRPr="007A6B0B" w:rsidRDefault="00996574" w:rsidP="00996574">
            <w:pPr>
              <w:tabs>
                <w:tab w:val="left" w:pos="1685"/>
              </w:tabs>
              <w:spacing w:after="60"/>
              <w:rPr>
                <w:rFonts w:ascii="Times New Roman" w:hAnsi="Times New Roman" w:cs="Times New Roman"/>
                <w:b w:val="0"/>
                <w:szCs w:val="20"/>
              </w:rPr>
            </w:pPr>
          </w:p>
          <w:p w:rsidR="00CE6FBB" w:rsidRPr="007A6B0B" w:rsidRDefault="001746EA" w:rsidP="00996574">
            <w:pPr>
              <w:tabs>
                <w:tab w:val="left" w:pos="1685"/>
              </w:tabs>
              <w:spacing w:after="60"/>
              <w:rPr>
                <w:rFonts w:ascii="Times New Roman" w:hAnsi="Times New Roman" w:cs="Times New Roman"/>
                <w:b w:val="0"/>
                <w:szCs w:val="20"/>
              </w:rPr>
            </w:pPr>
            <w:r w:rsidRPr="007A6B0B">
              <w:rPr>
                <w:rFonts w:ascii="Times New Roman" w:hAnsi="Times New Roman" w:cs="Times New Roman"/>
                <w:b w:val="0"/>
                <w:szCs w:val="20"/>
              </w:rPr>
              <w:t>Recommendation #2.  For entities (HIOs, HISPs, etc.) that wish to be recognized as NVEs, adoption and compliance with CTEs should be mandatory.</w:t>
            </w:r>
          </w:p>
          <w:p w:rsidR="00996574" w:rsidRPr="007A6B0B" w:rsidRDefault="001746EA" w:rsidP="00996574">
            <w:pPr>
              <w:tabs>
                <w:tab w:val="left" w:pos="1685"/>
              </w:tabs>
              <w:spacing w:after="60"/>
              <w:rPr>
                <w:rFonts w:ascii="Times New Roman" w:hAnsi="Times New Roman" w:cs="Times New Roman"/>
                <w:b w:val="0"/>
                <w:szCs w:val="20"/>
              </w:rPr>
            </w:pPr>
            <w:r w:rsidRPr="007A6B0B">
              <w:rPr>
                <w:rFonts w:ascii="Times New Roman" w:hAnsi="Times New Roman" w:cs="Times New Roman"/>
                <w:b w:val="0"/>
                <w:szCs w:val="20"/>
              </w:rPr>
              <w:t xml:space="preserve">Rationale.  A voluntary process </w:t>
            </w:r>
            <w:r w:rsidR="00DF54AF" w:rsidRPr="007A6B0B">
              <w:rPr>
                <w:rFonts w:ascii="Times New Roman" w:hAnsi="Times New Roman" w:cs="Times New Roman"/>
                <w:b w:val="0"/>
                <w:szCs w:val="20"/>
              </w:rPr>
              <w:t xml:space="preserve">for obtaining validation </w:t>
            </w:r>
            <w:r w:rsidRPr="007A6B0B">
              <w:rPr>
                <w:rFonts w:ascii="Times New Roman" w:hAnsi="Times New Roman" w:cs="Times New Roman"/>
                <w:b w:val="0"/>
                <w:szCs w:val="20"/>
              </w:rPr>
              <w:t xml:space="preserve">would not be sufficient for entities to be recognized as compliant with federally determined CTEs.  A voluntary process does not adequately support a trust framework to assure NVEs that other NVEs will conform to the safeguard, interoperability and business process CTEs.  Further, without tight conformance to standards, the cost of participation would increase. </w:t>
            </w:r>
          </w:p>
          <w:p w:rsidR="00360793" w:rsidRPr="00A946D8" w:rsidRDefault="00996574" w:rsidP="00A946D8">
            <w:pPr>
              <w:tabs>
                <w:tab w:val="left" w:pos="1685"/>
              </w:tabs>
              <w:spacing w:after="60"/>
              <w:rPr>
                <w:rFonts w:ascii="Times New Roman" w:hAnsi="Times New Roman" w:cs="Times New Roman"/>
                <w:b w:val="0"/>
                <w:szCs w:val="20"/>
              </w:rPr>
            </w:pPr>
            <w:r w:rsidRPr="007A6B0B">
              <w:rPr>
                <w:rFonts w:ascii="Times New Roman" w:hAnsi="Times New Roman" w:cs="Times New Roman"/>
                <w:b w:val="0"/>
                <w:szCs w:val="20"/>
              </w:rPr>
              <w:t xml:space="preserve">The </w:t>
            </w:r>
            <w:r w:rsidR="00776E47">
              <w:rPr>
                <w:rFonts w:ascii="Times New Roman" w:hAnsi="Times New Roman" w:cs="Times New Roman"/>
                <w:b w:val="0"/>
                <w:szCs w:val="20"/>
              </w:rPr>
              <w:t>HITPC</w:t>
            </w:r>
            <w:r w:rsidRPr="007A6B0B">
              <w:rPr>
                <w:rFonts w:ascii="Times New Roman" w:hAnsi="Times New Roman" w:cs="Times New Roman"/>
                <w:b w:val="0"/>
                <w:szCs w:val="20"/>
              </w:rPr>
              <w:t xml:space="preserve"> recommends that the validation process likely would be a combination of certification, accreditation and self-attestation (further articulated in the subsequent question) and that a self-policing mechanism would be ineffective.</w:t>
            </w:r>
          </w:p>
          <w:p w:rsidR="00EF7780" w:rsidRPr="000D6B5E" w:rsidRDefault="00EF7780" w:rsidP="00BB16C1">
            <w:pPr>
              <w:tabs>
                <w:tab w:val="left" w:pos="1685"/>
              </w:tabs>
              <w:spacing w:after="60"/>
              <w:rPr>
                <w:rFonts w:ascii="Times New Roman" w:hAnsi="Times New Roman" w:cs="Times New Roman"/>
                <w:sz w:val="20"/>
                <w:szCs w:val="20"/>
              </w:rPr>
            </w:pPr>
          </w:p>
        </w:tc>
      </w:tr>
    </w:tbl>
    <w:p w:rsidR="00837F90" w:rsidRPr="00A36FD5" w:rsidRDefault="00837F90"/>
    <w:tbl>
      <w:tblPr>
        <w:tblStyle w:val="MediumShading1-Accent11"/>
        <w:tblW w:w="5000" w:type="pct"/>
        <w:jc w:val="center"/>
        <w:tblLook w:val="04A0"/>
      </w:tblPr>
      <w:tblGrid>
        <w:gridCol w:w="14616"/>
      </w:tblGrid>
      <w:tr w:rsidR="002D7A39" w:rsidRPr="002E56FA">
        <w:trPr>
          <w:cnfStyle w:val="100000000000"/>
          <w:cantSplit/>
          <w:trHeight w:val="296"/>
          <w:tblHeader/>
          <w:jc w:val="center"/>
        </w:trPr>
        <w:tc>
          <w:tcPr>
            <w:cnfStyle w:val="001000000000"/>
            <w:tcW w:w="5000" w:type="pct"/>
          </w:tcPr>
          <w:p w:rsidR="002D7A39" w:rsidRPr="002E56FA" w:rsidRDefault="003752AE" w:rsidP="00BE0A5A">
            <w:r>
              <w:rPr>
                <w:rFonts w:ascii="Times New Roman" w:hAnsi="Times New Roman"/>
                <w:sz w:val="24"/>
                <w:szCs w:val="24"/>
              </w:rPr>
              <w:t>Actors and Associated Responsibilities</w:t>
            </w:r>
          </w:p>
        </w:tc>
      </w:tr>
      <w:tr w:rsidR="00AD65DD" w:rsidRPr="00A36FD5">
        <w:trPr>
          <w:cnfStyle w:val="000000100000"/>
          <w:cantSplit/>
          <w:trHeight w:val="925"/>
          <w:jc w:val="center"/>
        </w:trPr>
        <w:tc>
          <w:tcPr>
            <w:cnfStyle w:val="001000000000"/>
            <w:tcW w:w="5000" w:type="pct"/>
            <w:shd w:val="clear" w:color="auto" w:fill="DBE5F1" w:themeFill="accent1" w:themeFillTint="33"/>
          </w:tcPr>
          <w:p w:rsidR="00A819E4" w:rsidRPr="003752AE" w:rsidRDefault="00A819E4" w:rsidP="006F4BDD">
            <w:pPr>
              <w:pStyle w:val="ListParagraph"/>
              <w:numPr>
                <w:ilvl w:val="0"/>
                <w:numId w:val="2"/>
              </w:numPr>
              <w:rPr>
                <w:b w:val="0"/>
                <w:bCs w:val="0"/>
                <w:sz w:val="20"/>
                <w:szCs w:val="20"/>
              </w:rPr>
            </w:pPr>
            <w:r>
              <w:rPr>
                <w:rFonts w:ascii="Times New Roman" w:hAnsi="Times New Roman"/>
                <w:sz w:val="24"/>
                <w:szCs w:val="24"/>
              </w:rPr>
              <w:t xml:space="preserve">  </w:t>
            </w:r>
            <w:r w:rsidRPr="003752AE">
              <w:rPr>
                <w:rFonts w:ascii="Times New Roman" w:hAnsi="Times New Roman"/>
                <w:sz w:val="24"/>
                <w:szCs w:val="24"/>
              </w:rPr>
              <w:t>Should the validation method vary by CTE?  Which methods would be most effective for ensuring compliance with the CTEs? (Before answering this question it may be useful to first review the CTEs we are considering to adopt, see section “VI. Conditions for Trusted Exchange.”</w:t>
            </w:r>
          </w:p>
          <w:p w:rsidR="003752AE" w:rsidRPr="00A819E4" w:rsidRDefault="003752AE" w:rsidP="003752AE">
            <w:pPr>
              <w:pStyle w:val="ListParagraph"/>
              <w:ind w:left="360"/>
              <w:rPr>
                <w:b w:val="0"/>
                <w:bCs w:val="0"/>
                <w:sz w:val="20"/>
                <w:szCs w:val="20"/>
                <w:u w:val="single"/>
              </w:rPr>
            </w:pPr>
          </w:p>
        </w:tc>
      </w:tr>
      <w:tr w:rsidR="0098003D" w:rsidRPr="00A36FD5">
        <w:trPr>
          <w:cnfStyle w:val="000000010000"/>
          <w:cantSplit/>
          <w:trHeight w:val="529"/>
          <w:jc w:val="center"/>
        </w:trPr>
        <w:tc>
          <w:tcPr>
            <w:cnfStyle w:val="001000000000"/>
            <w:tcW w:w="5000" w:type="pct"/>
            <w:tcBorders>
              <w:bottom w:val="single" w:sz="8" w:space="0" w:color="7BA0CD" w:themeColor="accent1" w:themeTint="BF"/>
            </w:tcBorders>
            <w:shd w:val="clear" w:color="auto" w:fill="DBE5F1" w:themeFill="accent1" w:themeFillTint="33"/>
          </w:tcPr>
          <w:p w:rsidR="0098003D" w:rsidRPr="00A36FD5" w:rsidRDefault="00A819E4" w:rsidP="003752AE">
            <w:pPr>
              <w:spacing w:after="60"/>
              <w:rPr>
                <w:sz w:val="20"/>
                <w:szCs w:val="20"/>
              </w:rPr>
            </w:pPr>
            <w:r>
              <w:rPr>
                <w:rFonts w:ascii="Times New Roman" w:hAnsi="Times New Roman"/>
                <w:sz w:val="24"/>
                <w:szCs w:val="24"/>
                <w:u w:val="single"/>
              </w:rPr>
              <w:t>Question Context:</w:t>
            </w:r>
          </w:p>
        </w:tc>
      </w:tr>
      <w:tr w:rsidR="00AD65DD" w:rsidRPr="00A36FD5">
        <w:trPr>
          <w:cnfStyle w:val="000000100000"/>
          <w:cantSplit/>
          <w:trHeight w:val="925"/>
          <w:jc w:val="center"/>
        </w:trPr>
        <w:tc>
          <w:tcPr>
            <w:cnfStyle w:val="001000000000"/>
            <w:tcW w:w="5000" w:type="pct"/>
            <w:shd w:val="clear" w:color="auto" w:fill="FFFFFF" w:themeFill="background1"/>
          </w:tcPr>
          <w:p w:rsidR="00AD65DD" w:rsidRPr="00776E47" w:rsidRDefault="003E4098" w:rsidP="00776E47">
            <w:pPr>
              <w:spacing w:after="60"/>
              <w:rPr>
                <w:rFonts w:ascii="Times New Roman" w:hAnsi="Times New Roman" w:cs="Times New Roman"/>
                <w:b w:val="0"/>
                <w:szCs w:val="20"/>
              </w:rPr>
            </w:pPr>
            <w:r w:rsidRPr="00776E47">
              <w:rPr>
                <w:rFonts w:ascii="Times New Roman" w:hAnsi="Times New Roman" w:cs="Times New Roman"/>
                <w:b w:val="0"/>
                <w:szCs w:val="20"/>
              </w:rPr>
              <w:lastRenderedPageBreak/>
              <w:t>Yes</w:t>
            </w:r>
            <w:r w:rsidR="00360793" w:rsidRPr="00776E47">
              <w:rPr>
                <w:rFonts w:ascii="Times New Roman" w:hAnsi="Times New Roman" w:cs="Times New Roman"/>
                <w:b w:val="0"/>
                <w:szCs w:val="20"/>
              </w:rPr>
              <w:t xml:space="preserve">.  The </w:t>
            </w:r>
            <w:r w:rsidR="00776E47" w:rsidRPr="00776E47">
              <w:rPr>
                <w:rFonts w:ascii="Times New Roman" w:hAnsi="Times New Roman" w:cs="Times New Roman"/>
                <w:b w:val="0"/>
                <w:szCs w:val="20"/>
              </w:rPr>
              <w:t>HITPC</w:t>
            </w:r>
            <w:r w:rsidR="00360793" w:rsidRPr="00776E47">
              <w:rPr>
                <w:rFonts w:ascii="Times New Roman" w:hAnsi="Times New Roman" w:cs="Times New Roman"/>
                <w:b w:val="0"/>
                <w:szCs w:val="20"/>
              </w:rPr>
              <w:t xml:space="preserve"> further suggests that validation methods be mutable over time, allowing for changes in methodology to accommodate changes to CTEs</w:t>
            </w:r>
          </w:p>
          <w:p w:rsidR="00F04EC8" w:rsidRPr="00776E47" w:rsidRDefault="00360793" w:rsidP="00776E47">
            <w:pPr>
              <w:spacing w:after="60"/>
              <w:rPr>
                <w:rFonts w:ascii="Times New Roman" w:hAnsi="Times New Roman" w:cs="Times New Roman"/>
                <w:b w:val="0"/>
                <w:sz w:val="20"/>
                <w:szCs w:val="20"/>
              </w:rPr>
            </w:pPr>
            <w:r w:rsidRPr="00776E47">
              <w:rPr>
                <w:rFonts w:ascii="Times New Roman" w:hAnsi="Times New Roman" w:cs="Times New Roman"/>
                <w:b w:val="0"/>
                <w:szCs w:val="20"/>
              </w:rPr>
              <w:t xml:space="preserve">As a principle, the </w:t>
            </w:r>
            <w:r w:rsidR="00776E47" w:rsidRPr="00776E47">
              <w:rPr>
                <w:rFonts w:ascii="Times New Roman" w:hAnsi="Times New Roman" w:cs="Times New Roman"/>
                <w:b w:val="0"/>
                <w:szCs w:val="20"/>
              </w:rPr>
              <w:t>HITPC</w:t>
            </w:r>
            <w:r w:rsidRPr="00776E47">
              <w:rPr>
                <w:rFonts w:ascii="Times New Roman" w:hAnsi="Times New Roman" w:cs="Times New Roman"/>
                <w:b w:val="0"/>
                <w:szCs w:val="20"/>
              </w:rPr>
              <w:t xml:space="preserve"> recommends tha</w:t>
            </w:r>
            <w:r w:rsidR="0038322A" w:rsidRPr="00776E47">
              <w:rPr>
                <w:rFonts w:ascii="Times New Roman" w:hAnsi="Times New Roman" w:cs="Times New Roman"/>
                <w:b w:val="0"/>
                <w:szCs w:val="20"/>
              </w:rPr>
              <w:t>t</w:t>
            </w:r>
            <w:r w:rsidRPr="00776E47">
              <w:rPr>
                <w:rFonts w:ascii="Times New Roman" w:hAnsi="Times New Roman" w:cs="Times New Roman"/>
                <w:b w:val="0"/>
                <w:szCs w:val="20"/>
              </w:rPr>
              <w:t xml:space="preserve"> a certification process would generally be most appropriate for CTEs that focus on standards and specifications (“technical CTEs”), while accreditation processes should be adopted for policy and process CTEs.  Accreditation for policy and process CTEs could be initially done through self-attestation. However, ONC should consider a more formal accreditation process (including audits and site visits), especially with respect to CTEs that don’t carry with them civil/monetary penalty implications/penalties or for which there are no other formal compliance processes (i.e., don’t invoke state of federal law such as HIPAA</w:t>
            </w:r>
            <w:proofErr w:type="gramStart"/>
            <w:r w:rsidRPr="00776E47">
              <w:rPr>
                <w:rFonts w:ascii="Times New Roman" w:hAnsi="Times New Roman" w:cs="Times New Roman"/>
                <w:b w:val="0"/>
                <w:szCs w:val="20"/>
              </w:rPr>
              <w:t>)</w:t>
            </w:r>
            <w:r w:rsidR="00D553F4" w:rsidRPr="00776E47">
              <w:rPr>
                <w:rFonts w:ascii="Times New Roman" w:hAnsi="Times New Roman" w:cs="Times New Roman"/>
                <w:b w:val="0"/>
                <w:szCs w:val="20"/>
              </w:rPr>
              <w:t xml:space="preserve">  Also</w:t>
            </w:r>
            <w:proofErr w:type="gramEnd"/>
            <w:r w:rsidR="00D553F4" w:rsidRPr="00776E47">
              <w:rPr>
                <w:rFonts w:ascii="Times New Roman" w:hAnsi="Times New Roman" w:cs="Times New Roman"/>
                <w:b w:val="0"/>
                <w:szCs w:val="20"/>
              </w:rPr>
              <w:t xml:space="preserve">,  ONC </w:t>
            </w:r>
            <w:r w:rsidR="00D553F4" w:rsidRPr="00776E47">
              <w:rPr>
                <w:rFonts w:ascii="Times New Roman" w:hAnsi="Times New Roman" w:cs="Times New Roman"/>
                <w:b w:val="0"/>
              </w:rPr>
              <w:t>might accept accreditation by other bodies, such as the Joint Commission</w:t>
            </w:r>
            <w:r w:rsidR="002D1598" w:rsidRPr="00776E47">
              <w:rPr>
                <w:rFonts w:ascii="Times New Roman" w:hAnsi="Times New Roman" w:cs="Times New Roman"/>
                <w:b w:val="0"/>
              </w:rPr>
              <w:t xml:space="preserve"> or EHNAC</w:t>
            </w:r>
            <w:r w:rsidR="00D553F4" w:rsidRPr="00776E47">
              <w:rPr>
                <w:rFonts w:ascii="Times New Roman" w:hAnsi="Times New Roman" w:cs="Times New Roman"/>
                <w:b w:val="0"/>
              </w:rPr>
              <w:t xml:space="preserve">.  </w:t>
            </w:r>
            <w:r w:rsidR="00F04EC8" w:rsidRPr="00776E47">
              <w:rPr>
                <w:rFonts w:ascii="Times New Roman" w:hAnsi="Times New Roman" w:cs="Times New Roman"/>
                <w:b w:val="0"/>
                <w:szCs w:val="20"/>
              </w:rPr>
              <w:t xml:space="preserve"> </w:t>
            </w:r>
          </w:p>
          <w:p w:rsidR="00C40CD9" w:rsidRPr="00B85C09" w:rsidRDefault="00C40CD9" w:rsidP="00F04EC8">
            <w:pPr>
              <w:spacing w:after="60"/>
              <w:rPr>
                <w:rFonts w:ascii="Times New Roman" w:hAnsi="Times New Roman" w:cs="Times New Roman"/>
                <w:b w:val="0"/>
                <w:i/>
              </w:rPr>
            </w:pPr>
            <w:r w:rsidRPr="00B85C09">
              <w:rPr>
                <w:rFonts w:ascii="Times New Roman" w:hAnsi="Times New Roman" w:cs="Times New Roman"/>
                <w:b w:val="0"/>
                <w:i/>
              </w:rPr>
              <w:t xml:space="preserve">The HITPC recommends rigorous validation to the extent applicable, necessary and possible, i.e. including but not limited to conformance testing for certification and site visits for accreditation </w:t>
            </w:r>
            <w:r w:rsidR="00593A2C" w:rsidRPr="00B85C09">
              <w:rPr>
                <w:rFonts w:ascii="Times New Roman" w:hAnsi="Times New Roman" w:cs="Times New Roman"/>
                <w:b w:val="0"/>
                <w:i/>
              </w:rPr>
              <w:t xml:space="preserve">  The committee also </w:t>
            </w:r>
            <w:r w:rsidR="0021799B" w:rsidRPr="00B85C09">
              <w:rPr>
                <w:rFonts w:ascii="Times New Roman" w:hAnsi="Times New Roman" w:cs="Times New Roman"/>
                <w:b w:val="0"/>
                <w:i/>
              </w:rPr>
              <w:t>believes</w:t>
            </w:r>
            <w:r w:rsidR="00593A2C" w:rsidRPr="00B85C09">
              <w:rPr>
                <w:rFonts w:ascii="Times New Roman" w:hAnsi="Times New Roman" w:cs="Times New Roman"/>
                <w:b w:val="0"/>
                <w:i/>
              </w:rPr>
              <w:t xml:space="preserve"> that NVEs</w:t>
            </w:r>
            <w:r w:rsidR="0021799B" w:rsidRPr="00B85C09">
              <w:rPr>
                <w:rFonts w:ascii="Times New Roman" w:hAnsi="Times New Roman" w:cs="Times New Roman"/>
                <w:b w:val="0"/>
                <w:i/>
              </w:rPr>
              <w:t>’</w:t>
            </w:r>
            <w:r w:rsidR="00593A2C" w:rsidRPr="00B85C09">
              <w:rPr>
                <w:rFonts w:ascii="Times New Roman" w:hAnsi="Times New Roman" w:cs="Times New Roman"/>
                <w:b w:val="0"/>
                <w:i/>
              </w:rPr>
              <w:t xml:space="preserve"> clients should be able to report them through a complaint process if the clients find the NVEs are not adhering to the CTEs.  </w:t>
            </w:r>
          </w:p>
          <w:p w:rsidR="000D6B5E" w:rsidRPr="00572E32" w:rsidRDefault="000D6B5E" w:rsidP="00703D07">
            <w:pPr>
              <w:spacing w:after="60"/>
              <w:rPr>
                <w:rFonts w:ascii="Times New Roman" w:hAnsi="Times New Roman" w:cs="Times New Roman"/>
                <w:sz w:val="20"/>
                <w:szCs w:val="20"/>
              </w:rPr>
            </w:pPr>
          </w:p>
        </w:tc>
      </w:tr>
    </w:tbl>
    <w:p w:rsidR="003752AE" w:rsidRDefault="003752AE"/>
    <w:tbl>
      <w:tblPr>
        <w:tblStyle w:val="MediumShading1-Accent11"/>
        <w:tblW w:w="5000" w:type="pct"/>
        <w:jc w:val="center"/>
        <w:tblLook w:val="04A0"/>
      </w:tblPr>
      <w:tblGrid>
        <w:gridCol w:w="14616"/>
      </w:tblGrid>
      <w:tr w:rsidR="002D7A39" w:rsidRPr="002E56FA">
        <w:trPr>
          <w:cnfStyle w:val="100000000000"/>
          <w:cantSplit/>
          <w:trHeight w:val="296"/>
          <w:tblHeader/>
          <w:jc w:val="center"/>
        </w:trPr>
        <w:tc>
          <w:tcPr>
            <w:cnfStyle w:val="001000000000"/>
            <w:tcW w:w="5000" w:type="pct"/>
          </w:tcPr>
          <w:p w:rsidR="002D7A39" w:rsidRPr="00881119" w:rsidRDefault="003752AE" w:rsidP="00BE0A5A">
            <w:pPr>
              <w:rPr>
                <w:u w:val="single"/>
              </w:rPr>
            </w:pPr>
            <w:r>
              <w:rPr>
                <w:rFonts w:ascii="Times New Roman" w:hAnsi="Times New Roman"/>
                <w:sz w:val="24"/>
                <w:szCs w:val="24"/>
              </w:rPr>
              <w:t>Actors and Associated Responsibilities</w:t>
            </w:r>
          </w:p>
        </w:tc>
      </w:tr>
      <w:tr w:rsidR="0098003D" w:rsidRPr="00A36FD5">
        <w:trPr>
          <w:cnfStyle w:val="000000100000"/>
          <w:cantSplit/>
          <w:trHeight w:val="853"/>
          <w:jc w:val="center"/>
        </w:trPr>
        <w:tc>
          <w:tcPr>
            <w:cnfStyle w:val="001000000000"/>
            <w:tcW w:w="5000" w:type="pct"/>
            <w:shd w:val="clear" w:color="auto" w:fill="DBE5F1" w:themeFill="accent1" w:themeFillTint="33"/>
          </w:tcPr>
          <w:p w:rsidR="0098003D" w:rsidRPr="00881119" w:rsidRDefault="00881119" w:rsidP="003752AE">
            <w:pPr>
              <w:rPr>
                <w:b w:val="0"/>
                <w:bCs w:val="0"/>
                <w:sz w:val="20"/>
                <w:szCs w:val="20"/>
                <w:u w:val="single"/>
              </w:rPr>
            </w:pPr>
            <w:r w:rsidRPr="00881119">
              <w:rPr>
                <w:rFonts w:ascii="Times New Roman" w:hAnsi="Times New Roman"/>
                <w:sz w:val="24"/>
                <w:szCs w:val="24"/>
                <w:u w:val="single"/>
              </w:rPr>
              <w:t>Question 11:</w:t>
            </w:r>
            <w:r w:rsidRPr="00881119">
              <w:rPr>
                <w:rFonts w:ascii="Times New Roman" w:hAnsi="Times New Roman"/>
                <w:sz w:val="24"/>
                <w:szCs w:val="24"/>
              </w:rPr>
              <w:t xml:space="preserve">    </w:t>
            </w:r>
            <w:r w:rsidRPr="003752AE">
              <w:rPr>
                <w:rFonts w:ascii="Times New Roman" w:hAnsi="Times New Roman"/>
                <w:sz w:val="24"/>
                <w:szCs w:val="24"/>
              </w:rPr>
              <w:t>What successful validation models or approaches exist in other industries that could be used as a model for our purposes in this context?</w:t>
            </w:r>
          </w:p>
        </w:tc>
      </w:tr>
      <w:tr w:rsidR="00A87EBE" w:rsidRPr="00A36FD5">
        <w:trPr>
          <w:cnfStyle w:val="000000010000"/>
          <w:cantSplit/>
          <w:trHeight w:val="709"/>
          <w:jc w:val="center"/>
        </w:trPr>
        <w:tc>
          <w:tcPr>
            <w:cnfStyle w:val="001000000000"/>
            <w:tcW w:w="5000" w:type="pct"/>
            <w:tcBorders>
              <w:bottom w:val="single" w:sz="8" w:space="0" w:color="7BA0CD" w:themeColor="accent1" w:themeTint="BF"/>
            </w:tcBorders>
            <w:shd w:val="clear" w:color="auto" w:fill="DBE5F1" w:themeFill="accent1" w:themeFillTint="33"/>
          </w:tcPr>
          <w:p w:rsidR="00A87EBE" w:rsidRPr="00A36FD5" w:rsidRDefault="00881119" w:rsidP="00A87EBE">
            <w:pPr>
              <w:spacing w:after="60"/>
              <w:rPr>
                <w:sz w:val="20"/>
                <w:szCs w:val="20"/>
              </w:rPr>
            </w:pPr>
            <w:r>
              <w:rPr>
                <w:rFonts w:ascii="Times New Roman" w:hAnsi="Times New Roman"/>
                <w:sz w:val="24"/>
                <w:szCs w:val="24"/>
                <w:u w:val="single"/>
              </w:rPr>
              <w:t>Question Context:</w:t>
            </w:r>
          </w:p>
        </w:tc>
      </w:tr>
      <w:tr w:rsidR="0098003D" w:rsidRPr="00A36FD5">
        <w:trPr>
          <w:cnfStyle w:val="000000100000"/>
          <w:cantSplit/>
          <w:trHeight w:val="890"/>
          <w:jc w:val="center"/>
        </w:trPr>
        <w:tc>
          <w:tcPr>
            <w:cnfStyle w:val="001000000000"/>
            <w:tcW w:w="5000" w:type="pct"/>
            <w:shd w:val="clear" w:color="auto" w:fill="FFFFFF" w:themeFill="background1"/>
          </w:tcPr>
          <w:p w:rsidR="00996574" w:rsidRPr="00CB0CD5" w:rsidRDefault="00996574" w:rsidP="00996574">
            <w:pPr>
              <w:spacing w:after="60"/>
              <w:rPr>
                <w:rFonts w:ascii="Times New Roman" w:hAnsi="Times New Roman" w:cs="Times New Roman"/>
                <w:b w:val="0"/>
                <w:szCs w:val="20"/>
              </w:rPr>
            </w:pPr>
            <w:r w:rsidRPr="00CB0CD5">
              <w:rPr>
                <w:rFonts w:ascii="Times New Roman" w:hAnsi="Times New Roman" w:cs="Times New Roman"/>
                <w:b w:val="0"/>
                <w:szCs w:val="20"/>
              </w:rPr>
              <w:t xml:space="preserve">The </w:t>
            </w:r>
            <w:r w:rsidR="00776E47">
              <w:rPr>
                <w:rFonts w:ascii="Times New Roman" w:hAnsi="Times New Roman" w:cs="Times New Roman"/>
                <w:b w:val="0"/>
                <w:szCs w:val="20"/>
              </w:rPr>
              <w:t xml:space="preserve">HITPC </w:t>
            </w:r>
            <w:r w:rsidRPr="00CB0CD5">
              <w:rPr>
                <w:rFonts w:ascii="Times New Roman" w:hAnsi="Times New Roman" w:cs="Times New Roman"/>
                <w:b w:val="0"/>
                <w:szCs w:val="20"/>
              </w:rPr>
              <w:t>recommends that ONC consider a number of validation models from other industries and health care that may be models for NVE validation.  Including the following:</w:t>
            </w:r>
          </w:p>
          <w:p w:rsidR="00CE6FBB" w:rsidRPr="00CB0CD5" w:rsidRDefault="001746EA" w:rsidP="006F4BDD">
            <w:pPr>
              <w:numPr>
                <w:ilvl w:val="0"/>
                <w:numId w:val="8"/>
              </w:numPr>
              <w:spacing w:after="60"/>
              <w:rPr>
                <w:rFonts w:ascii="Times New Roman" w:hAnsi="Times New Roman" w:cs="Times New Roman"/>
                <w:b w:val="0"/>
                <w:szCs w:val="20"/>
              </w:rPr>
            </w:pPr>
            <w:r w:rsidRPr="00CB0CD5">
              <w:rPr>
                <w:rFonts w:ascii="Times New Roman" w:hAnsi="Times New Roman" w:cs="Times New Roman"/>
                <w:b w:val="0"/>
                <w:szCs w:val="20"/>
              </w:rPr>
              <w:t>International Organiza</w:t>
            </w:r>
            <w:r w:rsidR="00996574" w:rsidRPr="00CB0CD5">
              <w:rPr>
                <w:rFonts w:ascii="Times New Roman" w:hAnsi="Times New Roman" w:cs="Times New Roman"/>
                <w:b w:val="0"/>
                <w:szCs w:val="20"/>
              </w:rPr>
              <w:t>tion for Standardization (ISO) h</w:t>
            </w:r>
            <w:r w:rsidRPr="00CB0CD5">
              <w:rPr>
                <w:rFonts w:ascii="Times New Roman" w:hAnsi="Times New Roman" w:cs="Times New Roman"/>
                <w:b w:val="0"/>
                <w:szCs w:val="20"/>
              </w:rPr>
              <w:t xml:space="preserve">as some relevant experience with standards development and validation that could be </w:t>
            </w:r>
            <w:proofErr w:type="gramStart"/>
            <w:r w:rsidRPr="00CB0CD5">
              <w:rPr>
                <w:rFonts w:ascii="Times New Roman" w:hAnsi="Times New Roman" w:cs="Times New Roman"/>
                <w:b w:val="0"/>
                <w:szCs w:val="20"/>
              </w:rPr>
              <w:t>examined .</w:t>
            </w:r>
            <w:proofErr w:type="gramEnd"/>
            <w:r w:rsidRPr="00CB0CD5">
              <w:rPr>
                <w:rFonts w:ascii="Times New Roman" w:hAnsi="Times New Roman" w:cs="Times New Roman"/>
                <w:b w:val="0"/>
                <w:szCs w:val="20"/>
              </w:rPr>
              <w:t xml:space="preserve">  </w:t>
            </w:r>
          </w:p>
          <w:p w:rsidR="00CE6FBB" w:rsidRPr="00CB0CD5" w:rsidRDefault="00CC2B04" w:rsidP="006F4BDD">
            <w:pPr>
              <w:numPr>
                <w:ilvl w:val="0"/>
                <w:numId w:val="8"/>
              </w:numPr>
              <w:spacing w:after="60"/>
              <w:rPr>
                <w:rFonts w:ascii="Times New Roman" w:hAnsi="Times New Roman" w:cs="Times New Roman"/>
                <w:b w:val="0"/>
                <w:szCs w:val="20"/>
              </w:rPr>
            </w:pPr>
            <w:r w:rsidRPr="00CB0CD5">
              <w:rPr>
                <w:rFonts w:ascii="Times New Roman" w:hAnsi="Times New Roman" w:cs="Times New Roman"/>
                <w:b w:val="0"/>
                <w:szCs w:val="20"/>
              </w:rPr>
              <w:t>Payment Card Industry (PCI) s</w:t>
            </w:r>
            <w:r w:rsidR="001746EA" w:rsidRPr="00CB0CD5">
              <w:rPr>
                <w:rFonts w:ascii="Times New Roman" w:hAnsi="Times New Roman" w:cs="Times New Roman"/>
                <w:b w:val="0"/>
                <w:szCs w:val="20"/>
              </w:rPr>
              <w:t xml:space="preserve">upports a security standard validation process that has several similarities; including description of conditions for trusted exchange for payment transactions and objects (banks, individuals) involved in those transactions. </w:t>
            </w:r>
          </w:p>
          <w:p w:rsidR="00CE6FBB" w:rsidRPr="00CB0CD5" w:rsidRDefault="001746EA" w:rsidP="006F4BDD">
            <w:pPr>
              <w:numPr>
                <w:ilvl w:val="0"/>
                <w:numId w:val="8"/>
              </w:numPr>
              <w:spacing w:after="60"/>
              <w:rPr>
                <w:rFonts w:ascii="Times New Roman" w:hAnsi="Times New Roman" w:cs="Times New Roman"/>
                <w:b w:val="0"/>
                <w:szCs w:val="20"/>
              </w:rPr>
            </w:pPr>
            <w:proofErr w:type="spellStart"/>
            <w:r w:rsidRPr="00CB0CD5">
              <w:rPr>
                <w:rFonts w:ascii="Times New Roman" w:hAnsi="Times New Roman" w:cs="Times New Roman"/>
                <w:b w:val="0"/>
                <w:szCs w:val="20"/>
              </w:rPr>
              <w:t>TRUSTe</w:t>
            </w:r>
            <w:proofErr w:type="spellEnd"/>
            <w:r w:rsidRPr="00CB0CD5">
              <w:rPr>
                <w:rFonts w:ascii="Times New Roman" w:hAnsi="Times New Roman" w:cs="Times New Roman"/>
                <w:b w:val="0"/>
                <w:szCs w:val="20"/>
              </w:rPr>
              <w:t xml:space="preserve"> and other website trust networks have a certification process to review website</w:t>
            </w:r>
            <w:r w:rsidR="00CC2B04" w:rsidRPr="00CB0CD5">
              <w:rPr>
                <w:rFonts w:ascii="Times New Roman" w:hAnsi="Times New Roman" w:cs="Times New Roman"/>
                <w:b w:val="0"/>
                <w:szCs w:val="20"/>
              </w:rPr>
              <w:t xml:space="preserve">’s privacy </w:t>
            </w:r>
            <w:proofErr w:type="gramStart"/>
            <w:r w:rsidR="00CC2B04" w:rsidRPr="00CB0CD5">
              <w:rPr>
                <w:rFonts w:ascii="Times New Roman" w:hAnsi="Times New Roman" w:cs="Times New Roman"/>
                <w:b w:val="0"/>
                <w:szCs w:val="20"/>
              </w:rPr>
              <w:t>policy  and</w:t>
            </w:r>
            <w:proofErr w:type="gramEnd"/>
            <w:r w:rsidR="00CC2B04" w:rsidRPr="00CB0CD5">
              <w:rPr>
                <w:rFonts w:ascii="Times New Roman" w:hAnsi="Times New Roman" w:cs="Times New Roman"/>
                <w:b w:val="0"/>
                <w:szCs w:val="20"/>
              </w:rPr>
              <w:t xml:space="preserve"> validate</w:t>
            </w:r>
            <w:r w:rsidRPr="00CB0CD5">
              <w:rPr>
                <w:rFonts w:ascii="Times New Roman" w:hAnsi="Times New Roman" w:cs="Times New Roman"/>
                <w:b w:val="0"/>
                <w:szCs w:val="20"/>
              </w:rPr>
              <w:t xml:space="preserve"> that websites adhere to </w:t>
            </w:r>
            <w:proofErr w:type="spellStart"/>
            <w:r w:rsidRPr="00CB0CD5">
              <w:rPr>
                <w:rFonts w:ascii="Times New Roman" w:hAnsi="Times New Roman" w:cs="Times New Roman"/>
                <w:b w:val="0"/>
                <w:szCs w:val="20"/>
              </w:rPr>
              <w:t>TRUSTe’s</w:t>
            </w:r>
            <w:proofErr w:type="spellEnd"/>
            <w:r w:rsidRPr="00CB0CD5">
              <w:rPr>
                <w:rFonts w:ascii="Times New Roman" w:hAnsi="Times New Roman" w:cs="Times New Roman"/>
                <w:b w:val="0"/>
                <w:szCs w:val="20"/>
              </w:rPr>
              <w:t xml:space="preserve"> privacy program requirements.</w:t>
            </w:r>
          </w:p>
          <w:p w:rsidR="00CE6FBB" w:rsidRPr="00CB0CD5" w:rsidRDefault="001746EA" w:rsidP="006F4BDD">
            <w:pPr>
              <w:numPr>
                <w:ilvl w:val="0"/>
                <w:numId w:val="8"/>
              </w:numPr>
              <w:spacing w:after="60"/>
              <w:rPr>
                <w:rFonts w:ascii="Times New Roman" w:hAnsi="Times New Roman" w:cs="Times New Roman"/>
                <w:b w:val="0"/>
                <w:szCs w:val="20"/>
              </w:rPr>
            </w:pPr>
            <w:r w:rsidRPr="00CB0CD5">
              <w:rPr>
                <w:rFonts w:ascii="Times New Roman" w:hAnsi="Times New Roman" w:cs="Times New Roman"/>
                <w:b w:val="0"/>
                <w:szCs w:val="20"/>
              </w:rPr>
              <w:t>ACORD – Supports a set of data standards for exchanging information on non-health care policies.  The organization writes standards and has a certification process as a requirement to jo</w:t>
            </w:r>
            <w:r w:rsidR="00CC2B04" w:rsidRPr="00CB0CD5">
              <w:rPr>
                <w:rFonts w:ascii="Times New Roman" w:hAnsi="Times New Roman" w:cs="Times New Roman"/>
                <w:b w:val="0"/>
                <w:szCs w:val="20"/>
              </w:rPr>
              <w:t>in ACORD.  ACORD certifies people</w:t>
            </w:r>
            <w:r w:rsidRPr="00CB0CD5">
              <w:rPr>
                <w:rFonts w:ascii="Times New Roman" w:hAnsi="Times New Roman" w:cs="Times New Roman"/>
                <w:b w:val="0"/>
                <w:szCs w:val="20"/>
              </w:rPr>
              <w:t xml:space="preserve"> as well as entities to support exchange of information about property, reinsurance, etc.</w:t>
            </w:r>
          </w:p>
          <w:p w:rsidR="00CE6FBB" w:rsidRPr="00CB0CD5" w:rsidRDefault="001746EA" w:rsidP="006F4BDD">
            <w:pPr>
              <w:numPr>
                <w:ilvl w:val="0"/>
                <w:numId w:val="8"/>
              </w:numPr>
              <w:spacing w:after="60"/>
              <w:rPr>
                <w:rFonts w:ascii="Times New Roman" w:hAnsi="Times New Roman" w:cs="Times New Roman"/>
                <w:b w:val="0"/>
                <w:szCs w:val="20"/>
              </w:rPr>
            </w:pPr>
            <w:r w:rsidRPr="00CB0CD5">
              <w:rPr>
                <w:rFonts w:ascii="Times New Roman" w:hAnsi="Times New Roman" w:cs="Times New Roman"/>
                <w:b w:val="0"/>
                <w:szCs w:val="20"/>
              </w:rPr>
              <w:t>Within health care :</w:t>
            </w:r>
          </w:p>
          <w:p w:rsidR="00CE6FBB" w:rsidRPr="00CB0CD5" w:rsidRDefault="005F66C2" w:rsidP="006F4BDD">
            <w:pPr>
              <w:numPr>
                <w:ilvl w:val="0"/>
                <w:numId w:val="8"/>
              </w:numPr>
              <w:tabs>
                <w:tab w:val="clear" w:pos="720"/>
                <w:tab w:val="num" w:pos="1080"/>
              </w:tabs>
              <w:spacing w:after="60"/>
              <w:ind w:left="1170"/>
              <w:rPr>
                <w:rFonts w:ascii="Times New Roman" w:hAnsi="Times New Roman" w:cs="Times New Roman"/>
                <w:b w:val="0"/>
                <w:szCs w:val="20"/>
              </w:rPr>
            </w:pPr>
            <w:proofErr w:type="spellStart"/>
            <w:r w:rsidRPr="00CB0CD5">
              <w:rPr>
                <w:rFonts w:ascii="Times New Roman" w:hAnsi="Times New Roman" w:cs="Times New Roman"/>
                <w:b w:val="0"/>
                <w:szCs w:val="20"/>
              </w:rPr>
              <w:t>SureS</w:t>
            </w:r>
            <w:r w:rsidR="001746EA" w:rsidRPr="00CB0CD5">
              <w:rPr>
                <w:rFonts w:ascii="Times New Roman" w:hAnsi="Times New Roman" w:cs="Times New Roman"/>
                <w:b w:val="0"/>
                <w:szCs w:val="20"/>
              </w:rPr>
              <w:t>cripts</w:t>
            </w:r>
            <w:proofErr w:type="spellEnd"/>
            <w:r w:rsidR="001746EA" w:rsidRPr="00CB0CD5">
              <w:rPr>
                <w:rFonts w:ascii="Times New Roman" w:hAnsi="Times New Roman" w:cs="Times New Roman"/>
                <w:b w:val="0"/>
                <w:szCs w:val="20"/>
              </w:rPr>
              <w:t xml:space="preserve"> certification </w:t>
            </w:r>
          </w:p>
          <w:p w:rsidR="00CE6FBB" w:rsidRPr="00CB0CD5" w:rsidRDefault="001746EA" w:rsidP="006F4BDD">
            <w:pPr>
              <w:numPr>
                <w:ilvl w:val="0"/>
                <w:numId w:val="8"/>
              </w:numPr>
              <w:tabs>
                <w:tab w:val="clear" w:pos="720"/>
                <w:tab w:val="num" w:pos="1080"/>
              </w:tabs>
              <w:spacing w:after="60"/>
              <w:ind w:left="1170"/>
              <w:rPr>
                <w:rFonts w:ascii="Times New Roman" w:hAnsi="Times New Roman" w:cs="Times New Roman"/>
                <w:b w:val="0"/>
                <w:szCs w:val="20"/>
              </w:rPr>
            </w:pPr>
            <w:r w:rsidRPr="00CB0CD5">
              <w:rPr>
                <w:rFonts w:ascii="Times New Roman" w:hAnsi="Times New Roman" w:cs="Times New Roman"/>
                <w:b w:val="0"/>
                <w:szCs w:val="20"/>
              </w:rPr>
              <w:t xml:space="preserve">CLIA accreditation </w:t>
            </w:r>
          </w:p>
          <w:p w:rsidR="00CE6FBB" w:rsidRPr="00CB0CD5" w:rsidRDefault="001746EA" w:rsidP="006F4BDD">
            <w:pPr>
              <w:numPr>
                <w:ilvl w:val="0"/>
                <w:numId w:val="8"/>
              </w:numPr>
              <w:tabs>
                <w:tab w:val="clear" w:pos="720"/>
                <w:tab w:val="num" w:pos="1080"/>
              </w:tabs>
              <w:spacing w:after="60"/>
              <w:ind w:left="1170"/>
              <w:rPr>
                <w:rFonts w:ascii="Times New Roman" w:hAnsi="Times New Roman" w:cs="Times New Roman"/>
                <w:b w:val="0"/>
                <w:szCs w:val="20"/>
              </w:rPr>
            </w:pPr>
            <w:r w:rsidRPr="00CB0CD5">
              <w:rPr>
                <w:rFonts w:ascii="Times New Roman" w:hAnsi="Times New Roman" w:cs="Times New Roman"/>
                <w:b w:val="0"/>
                <w:szCs w:val="20"/>
              </w:rPr>
              <w:t>EHNAC certification</w:t>
            </w:r>
          </w:p>
          <w:p w:rsidR="00164A57" w:rsidRPr="00A36FD5" w:rsidRDefault="00164A57" w:rsidP="00BE0A5A">
            <w:pPr>
              <w:spacing w:after="60"/>
              <w:rPr>
                <w:rFonts w:ascii="Times New Roman" w:hAnsi="Times New Roman" w:cs="Times New Roman"/>
                <w:b w:val="0"/>
                <w:sz w:val="20"/>
                <w:szCs w:val="20"/>
              </w:rPr>
            </w:pPr>
          </w:p>
        </w:tc>
      </w:tr>
    </w:tbl>
    <w:p w:rsidR="003752AE" w:rsidRPr="00A36FD5" w:rsidRDefault="003752AE"/>
    <w:tbl>
      <w:tblPr>
        <w:tblStyle w:val="MediumShading1-Accent11"/>
        <w:tblW w:w="5000" w:type="pct"/>
        <w:jc w:val="center"/>
        <w:tblLook w:val="04A0"/>
      </w:tblPr>
      <w:tblGrid>
        <w:gridCol w:w="14616"/>
      </w:tblGrid>
      <w:tr w:rsidR="003752AE" w:rsidRPr="002E56FA">
        <w:trPr>
          <w:cnfStyle w:val="100000000000"/>
          <w:cantSplit/>
          <w:trHeight w:val="296"/>
          <w:tblHeader/>
          <w:jc w:val="center"/>
        </w:trPr>
        <w:tc>
          <w:tcPr>
            <w:cnfStyle w:val="001000000000"/>
            <w:tcW w:w="5000" w:type="pct"/>
          </w:tcPr>
          <w:p w:rsidR="003752AE" w:rsidRPr="00881119" w:rsidRDefault="003752AE" w:rsidP="00930D25">
            <w:pPr>
              <w:rPr>
                <w:u w:val="single"/>
              </w:rPr>
            </w:pPr>
            <w:r>
              <w:rPr>
                <w:rFonts w:ascii="Times New Roman" w:hAnsi="Times New Roman"/>
                <w:sz w:val="24"/>
                <w:szCs w:val="24"/>
              </w:rPr>
              <w:lastRenderedPageBreak/>
              <w:t>Actors and Associated Responsibilities</w:t>
            </w:r>
          </w:p>
        </w:tc>
      </w:tr>
      <w:tr w:rsidR="003752AE" w:rsidRPr="00A36FD5">
        <w:trPr>
          <w:cnfStyle w:val="000000100000"/>
          <w:cantSplit/>
          <w:trHeight w:val="682"/>
          <w:jc w:val="center"/>
        </w:trPr>
        <w:tc>
          <w:tcPr>
            <w:cnfStyle w:val="001000000000"/>
            <w:tcW w:w="5000" w:type="pct"/>
            <w:shd w:val="clear" w:color="auto" w:fill="DBE5F1" w:themeFill="accent1" w:themeFillTint="33"/>
          </w:tcPr>
          <w:p w:rsidR="003752AE" w:rsidRPr="003752AE" w:rsidRDefault="003752AE" w:rsidP="00264089">
            <w:pPr>
              <w:pStyle w:val="ListParagraph"/>
              <w:numPr>
                <w:ilvl w:val="0"/>
                <w:numId w:val="3"/>
              </w:numPr>
              <w:ind w:left="0" w:firstLine="0"/>
              <w:rPr>
                <w:rFonts w:ascii="Times New Roman" w:hAnsi="Times New Roman"/>
                <w:sz w:val="24"/>
                <w:szCs w:val="24"/>
              </w:rPr>
            </w:pPr>
            <w:r w:rsidRPr="003752AE">
              <w:rPr>
                <w:rFonts w:ascii="Times New Roman" w:hAnsi="Times New Roman"/>
                <w:sz w:val="24"/>
                <w:szCs w:val="24"/>
              </w:rPr>
              <w:t xml:space="preserve">What would be the potential impact of this accreditation/validation body model on electronic health information exchange, in particular, on the volume and efficiency of exchange in local health care markets and provider confidence?  What is the best way to maximize the benefit while minimizing the burden on providers or other actors in the market? </w:t>
            </w:r>
          </w:p>
          <w:p w:rsidR="003752AE" w:rsidRPr="00A36FD5" w:rsidRDefault="003752AE" w:rsidP="003874BC">
            <w:pPr>
              <w:ind w:left="90"/>
              <w:rPr>
                <w:b w:val="0"/>
                <w:bCs w:val="0"/>
                <w:sz w:val="20"/>
                <w:szCs w:val="20"/>
              </w:rPr>
            </w:pPr>
          </w:p>
        </w:tc>
      </w:tr>
      <w:tr w:rsidR="003752AE" w:rsidRPr="00A36FD5">
        <w:trPr>
          <w:cnfStyle w:val="000000010000"/>
          <w:cantSplit/>
          <w:trHeight w:val="799"/>
          <w:jc w:val="center"/>
        </w:trPr>
        <w:tc>
          <w:tcPr>
            <w:cnfStyle w:val="001000000000"/>
            <w:tcW w:w="5000" w:type="pct"/>
            <w:tcBorders>
              <w:bottom w:val="single" w:sz="8" w:space="0" w:color="7BA0CD" w:themeColor="accent1" w:themeTint="BF"/>
            </w:tcBorders>
            <w:shd w:val="clear" w:color="auto" w:fill="DBE5F1" w:themeFill="accent1" w:themeFillTint="33"/>
          </w:tcPr>
          <w:p w:rsidR="003752AE" w:rsidRPr="00A36FD5" w:rsidRDefault="003752AE" w:rsidP="003752AE">
            <w:pPr>
              <w:spacing w:after="60"/>
              <w:rPr>
                <w:sz w:val="20"/>
                <w:szCs w:val="20"/>
              </w:rPr>
            </w:pPr>
            <w:r>
              <w:rPr>
                <w:rFonts w:ascii="Times New Roman" w:hAnsi="Times New Roman"/>
                <w:sz w:val="24"/>
                <w:szCs w:val="24"/>
                <w:u w:val="single"/>
              </w:rPr>
              <w:t>Question Context:</w:t>
            </w:r>
          </w:p>
        </w:tc>
      </w:tr>
      <w:tr w:rsidR="003752AE" w:rsidRPr="00A36FD5">
        <w:trPr>
          <w:cnfStyle w:val="000000100000"/>
          <w:cantSplit/>
          <w:trHeight w:val="890"/>
          <w:jc w:val="center"/>
        </w:trPr>
        <w:tc>
          <w:tcPr>
            <w:cnfStyle w:val="001000000000"/>
            <w:tcW w:w="5000" w:type="pct"/>
            <w:shd w:val="clear" w:color="auto" w:fill="FFFFFF" w:themeFill="background1"/>
          </w:tcPr>
          <w:p w:rsidR="003752AE" w:rsidRPr="00A946D8" w:rsidRDefault="00514C5B" w:rsidP="00BE0A5A">
            <w:pPr>
              <w:spacing w:after="60"/>
              <w:rPr>
                <w:rFonts w:ascii="Times New Roman" w:hAnsi="Times New Roman" w:cs="Times New Roman"/>
              </w:rPr>
            </w:pPr>
            <w:r>
              <w:rPr>
                <w:rFonts w:ascii="Times New Roman" w:hAnsi="Times New Roman" w:cs="Times New Roman"/>
              </w:rPr>
              <w:t>Comments</w:t>
            </w:r>
            <w:r w:rsidR="006F0B2E" w:rsidRPr="00284A7A">
              <w:rPr>
                <w:rFonts w:ascii="Times New Roman" w:hAnsi="Times New Roman" w:cs="Times New Roman"/>
              </w:rPr>
              <w:t>:</w:t>
            </w:r>
          </w:p>
        </w:tc>
      </w:tr>
    </w:tbl>
    <w:p w:rsidR="001543C2" w:rsidRPr="00A36FD5" w:rsidRDefault="001543C2"/>
    <w:tbl>
      <w:tblPr>
        <w:tblStyle w:val="MediumShading1-Accent11"/>
        <w:tblW w:w="5000" w:type="pct"/>
        <w:jc w:val="center"/>
        <w:tblLook w:val="04A0"/>
      </w:tblPr>
      <w:tblGrid>
        <w:gridCol w:w="14616"/>
      </w:tblGrid>
      <w:tr w:rsidR="00777FAB" w:rsidRPr="002E56FA">
        <w:trPr>
          <w:cnfStyle w:val="100000000000"/>
          <w:cantSplit/>
          <w:trHeight w:val="296"/>
          <w:tblHeader/>
          <w:jc w:val="center"/>
        </w:trPr>
        <w:tc>
          <w:tcPr>
            <w:cnfStyle w:val="001000000000"/>
            <w:tcW w:w="5000" w:type="pct"/>
          </w:tcPr>
          <w:p w:rsidR="00777FAB" w:rsidRPr="003752AE" w:rsidRDefault="003752AE" w:rsidP="00BE0A5A">
            <w:r w:rsidRPr="003752AE">
              <w:rPr>
                <w:rFonts w:ascii="Times New Roman" w:hAnsi="Times New Roman"/>
                <w:sz w:val="24"/>
                <w:szCs w:val="24"/>
              </w:rPr>
              <w:t>Entities Eligible for Validation</w:t>
            </w:r>
          </w:p>
        </w:tc>
      </w:tr>
      <w:tr w:rsidR="009C260C" w:rsidRPr="00A36FD5">
        <w:trPr>
          <w:cnfStyle w:val="000000100000"/>
          <w:cantSplit/>
          <w:trHeight w:val="520"/>
          <w:jc w:val="center"/>
        </w:trPr>
        <w:tc>
          <w:tcPr>
            <w:cnfStyle w:val="001000000000"/>
            <w:tcW w:w="5000" w:type="pct"/>
            <w:shd w:val="clear" w:color="auto" w:fill="DBE5F1" w:themeFill="accent1" w:themeFillTint="33"/>
          </w:tcPr>
          <w:p w:rsidR="009C260C" w:rsidRPr="003752AE" w:rsidRDefault="00405C4B" w:rsidP="00264089">
            <w:pPr>
              <w:pStyle w:val="ListParagraph"/>
              <w:numPr>
                <w:ilvl w:val="0"/>
                <w:numId w:val="3"/>
              </w:numPr>
              <w:ind w:left="0" w:firstLine="0"/>
              <w:rPr>
                <w:b w:val="0"/>
                <w:bCs w:val="0"/>
                <w:sz w:val="20"/>
                <w:szCs w:val="20"/>
              </w:rPr>
            </w:pPr>
            <w:r w:rsidRPr="003752AE">
              <w:rPr>
                <w:rFonts w:ascii="Times New Roman" w:hAnsi="Times New Roman"/>
                <w:sz w:val="24"/>
                <w:szCs w:val="24"/>
              </w:rPr>
              <w:t>Should there be an eligibility criterion that requires an entity to have a valid purpose (e.g., treatment) for exchanging health information? If so, what would constitute a “valid” purpose for exchange?</w:t>
            </w:r>
          </w:p>
          <w:p w:rsidR="004A4EA2" w:rsidRPr="00405C4B" w:rsidRDefault="004A4EA2" w:rsidP="004A4EA2">
            <w:pPr>
              <w:pStyle w:val="ListParagraph"/>
              <w:ind w:left="360"/>
              <w:rPr>
                <w:b w:val="0"/>
                <w:bCs w:val="0"/>
                <w:sz w:val="20"/>
                <w:szCs w:val="20"/>
                <w:u w:val="single"/>
              </w:rPr>
            </w:pPr>
          </w:p>
        </w:tc>
      </w:tr>
      <w:tr w:rsidR="00A30EBC" w:rsidRPr="00A36FD5">
        <w:trPr>
          <w:cnfStyle w:val="000000010000"/>
          <w:cantSplit/>
          <w:trHeight w:val="260"/>
          <w:jc w:val="center"/>
        </w:trPr>
        <w:tc>
          <w:tcPr>
            <w:cnfStyle w:val="001000000000"/>
            <w:tcW w:w="5000" w:type="pct"/>
            <w:tcBorders>
              <w:bottom w:val="single" w:sz="8" w:space="0" w:color="7BA0CD" w:themeColor="accent1" w:themeTint="BF"/>
            </w:tcBorders>
            <w:shd w:val="clear" w:color="auto" w:fill="DBE5F1" w:themeFill="accent1" w:themeFillTint="33"/>
          </w:tcPr>
          <w:p w:rsidR="00A30EBC" w:rsidRDefault="00405C4B" w:rsidP="003752AE">
            <w:pPr>
              <w:spacing w:after="60"/>
              <w:rPr>
                <w:rFonts w:ascii="Times New Roman" w:hAnsi="Times New Roman"/>
                <w:sz w:val="24"/>
                <w:szCs w:val="24"/>
                <w:u w:val="single"/>
              </w:rPr>
            </w:pPr>
            <w:r>
              <w:rPr>
                <w:rFonts w:ascii="Times New Roman" w:hAnsi="Times New Roman"/>
                <w:sz w:val="24"/>
                <w:szCs w:val="24"/>
                <w:u w:val="single"/>
              </w:rPr>
              <w:t>Question Context:</w:t>
            </w:r>
          </w:p>
          <w:p w:rsidR="004A4EA2" w:rsidRPr="00A36FD5" w:rsidRDefault="004A4EA2" w:rsidP="00A30EBC">
            <w:pPr>
              <w:spacing w:after="60"/>
              <w:ind w:left="90"/>
              <w:rPr>
                <w:sz w:val="20"/>
                <w:szCs w:val="20"/>
              </w:rPr>
            </w:pPr>
          </w:p>
        </w:tc>
      </w:tr>
      <w:tr w:rsidR="003874BC" w:rsidRPr="00A36FD5">
        <w:trPr>
          <w:cnfStyle w:val="000000100000"/>
          <w:cantSplit/>
          <w:trHeight w:val="890"/>
          <w:jc w:val="center"/>
        </w:trPr>
        <w:tc>
          <w:tcPr>
            <w:cnfStyle w:val="001000000000"/>
            <w:tcW w:w="5000" w:type="pct"/>
            <w:shd w:val="clear" w:color="auto" w:fill="FFFFFF" w:themeFill="background1"/>
          </w:tcPr>
          <w:p w:rsidR="00996574" w:rsidRPr="00831468" w:rsidRDefault="00B814AA" w:rsidP="00996574">
            <w:pPr>
              <w:spacing w:after="60"/>
              <w:rPr>
                <w:rFonts w:ascii="Times New Roman" w:hAnsi="Times New Roman" w:cs="Times New Roman"/>
                <w:b w:val="0"/>
                <w:szCs w:val="20"/>
              </w:rPr>
            </w:pPr>
            <w:r>
              <w:rPr>
                <w:rFonts w:cs="Times New Roman"/>
                <w:szCs w:val="20"/>
              </w:rPr>
              <w:t xml:space="preserve"> </w:t>
            </w:r>
            <w:r w:rsidR="00501F2D" w:rsidRPr="00831468">
              <w:rPr>
                <w:rFonts w:ascii="Times New Roman" w:hAnsi="Times New Roman" w:cs="Times New Roman"/>
                <w:b w:val="0"/>
                <w:szCs w:val="20"/>
              </w:rPr>
              <w:t>No.  T</w:t>
            </w:r>
            <w:r w:rsidR="00996574" w:rsidRPr="00831468">
              <w:rPr>
                <w:rFonts w:ascii="Times New Roman" w:hAnsi="Times New Roman" w:cs="Times New Roman"/>
                <w:b w:val="0"/>
                <w:szCs w:val="20"/>
              </w:rPr>
              <w:t xml:space="preserve">he </w:t>
            </w:r>
            <w:r w:rsidR="00776E47">
              <w:rPr>
                <w:rFonts w:ascii="Times New Roman" w:hAnsi="Times New Roman" w:cs="Times New Roman"/>
                <w:b w:val="0"/>
                <w:szCs w:val="20"/>
              </w:rPr>
              <w:t>HITPC</w:t>
            </w:r>
            <w:r w:rsidR="00996574" w:rsidRPr="00831468">
              <w:rPr>
                <w:rFonts w:ascii="Times New Roman" w:hAnsi="Times New Roman" w:cs="Times New Roman"/>
                <w:b w:val="0"/>
                <w:szCs w:val="20"/>
              </w:rPr>
              <w:t xml:space="preserve"> recommends that an entity </w:t>
            </w:r>
            <w:r w:rsidR="005F66C2" w:rsidRPr="00831468">
              <w:rPr>
                <w:rFonts w:ascii="Times New Roman" w:hAnsi="Times New Roman" w:cs="Times New Roman"/>
                <w:b w:val="0"/>
                <w:szCs w:val="20"/>
              </w:rPr>
              <w:t xml:space="preserve">need </w:t>
            </w:r>
            <w:r w:rsidR="00996574" w:rsidRPr="00831468">
              <w:rPr>
                <w:rFonts w:ascii="Times New Roman" w:hAnsi="Times New Roman" w:cs="Times New Roman"/>
                <w:b w:val="0"/>
                <w:szCs w:val="20"/>
              </w:rPr>
              <w:t xml:space="preserve">not </w:t>
            </w:r>
            <w:r w:rsidR="005F66C2" w:rsidRPr="00831468">
              <w:rPr>
                <w:rFonts w:ascii="Times New Roman" w:hAnsi="Times New Roman" w:cs="Times New Roman"/>
                <w:b w:val="0"/>
                <w:szCs w:val="20"/>
              </w:rPr>
              <w:t xml:space="preserve">be required to </w:t>
            </w:r>
            <w:r w:rsidR="00996574" w:rsidRPr="00831468">
              <w:rPr>
                <w:rFonts w:ascii="Times New Roman" w:hAnsi="Times New Roman" w:cs="Times New Roman"/>
                <w:b w:val="0"/>
                <w:szCs w:val="20"/>
              </w:rPr>
              <w:t xml:space="preserve">have a “valid purpose” for exchanging health information.  However, there may be value in requiring a public statement of their purposes - which would invoke FTC jurisdiction - for all NVEs.  </w:t>
            </w:r>
          </w:p>
          <w:p w:rsidR="00EE21F7" w:rsidRDefault="00996574" w:rsidP="00996574">
            <w:pPr>
              <w:spacing w:after="60"/>
              <w:rPr>
                <w:rFonts w:ascii="Times New Roman" w:hAnsi="Times New Roman" w:cs="Times New Roman"/>
                <w:b w:val="0"/>
                <w:szCs w:val="20"/>
              </w:rPr>
            </w:pPr>
            <w:r w:rsidRPr="00831468">
              <w:rPr>
                <w:rFonts w:ascii="Times New Roman" w:hAnsi="Times New Roman" w:cs="Times New Roman"/>
                <w:b w:val="0"/>
                <w:szCs w:val="20"/>
              </w:rPr>
              <w:t xml:space="preserve">Rationale: It is hard to imagine a definition that is effective here that would anticipate all appropriate uses/purposes.  Constraining exchange by listing a set of predetermined purposes could prevent exchange even for valid reasons. Also, having a “valid purpose” would likely not deter inappropriate exchange (for reasons that are “not </w:t>
            </w:r>
            <w:r w:rsidR="00E865C6">
              <w:rPr>
                <w:rFonts w:ascii="Times New Roman" w:hAnsi="Times New Roman" w:cs="Times New Roman"/>
                <w:b w:val="0"/>
                <w:szCs w:val="20"/>
              </w:rPr>
              <w:t xml:space="preserve">valid”).  It is more important </w:t>
            </w:r>
            <w:r w:rsidRPr="00831468">
              <w:rPr>
                <w:rFonts w:ascii="Times New Roman" w:hAnsi="Times New Roman" w:cs="Times New Roman"/>
                <w:b w:val="0"/>
                <w:szCs w:val="20"/>
              </w:rPr>
              <w:t xml:space="preserve">that NVE state their intended purposes, and comply with federal and state </w:t>
            </w:r>
            <w:r w:rsidR="00864FA7" w:rsidRPr="00831468">
              <w:rPr>
                <w:rFonts w:ascii="Times New Roman" w:hAnsi="Times New Roman" w:cs="Times New Roman"/>
                <w:b w:val="0"/>
                <w:szCs w:val="20"/>
              </w:rPr>
              <w:t>law</w:t>
            </w:r>
            <w:r w:rsidRPr="00831468">
              <w:rPr>
                <w:rFonts w:ascii="Times New Roman" w:hAnsi="Times New Roman" w:cs="Times New Roman"/>
                <w:b w:val="0"/>
                <w:szCs w:val="20"/>
              </w:rPr>
              <w:t>.</w:t>
            </w:r>
          </w:p>
          <w:p w:rsidR="000417B6" w:rsidRPr="00831468" w:rsidRDefault="000417B6" w:rsidP="00F330B8">
            <w:pPr>
              <w:spacing w:after="60"/>
              <w:rPr>
                <w:rFonts w:ascii="Times New Roman" w:hAnsi="Times New Roman" w:cs="Times New Roman"/>
                <w:b w:val="0"/>
                <w:sz w:val="20"/>
                <w:szCs w:val="20"/>
              </w:rPr>
            </w:pPr>
            <w:r w:rsidRPr="00831468">
              <w:rPr>
                <w:rFonts w:ascii="Times New Roman" w:hAnsi="Times New Roman" w:cs="Times New Roman"/>
                <w:b w:val="0"/>
                <w:szCs w:val="20"/>
              </w:rPr>
              <w:t xml:space="preserve"> </w:t>
            </w:r>
          </w:p>
        </w:tc>
      </w:tr>
    </w:tbl>
    <w:p w:rsidR="00777FAB" w:rsidRPr="00A36FD5" w:rsidRDefault="00777FAB"/>
    <w:tbl>
      <w:tblPr>
        <w:tblStyle w:val="MediumShading1-Accent11"/>
        <w:tblW w:w="5000" w:type="pct"/>
        <w:jc w:val="center"/>
        <w:tblLook w:val="04A0"/>
      </w:tblPr>
      <w:tblGrid>
        <w:gridCol w:w="14616"/>
      </w:tblGrid>
      <w:tr w:rsidR="004F23A3" w:rsidRPr="002E56FA">
        <w:trPr>
          <w:cnfStyle w:val="100000000000"/>
          <w:cantSplit/>
          <w:trHeight w:val="296"/>
          <w:tblHeader/>
          <w:jc w:val="center"/>
        </w:trPr>
        <w:tc>
          <w:tcPr>
            <w:cnfStyle w:val="001000000000"/>
            <w:tcW w:w="5000" w:type="pct"/>
          </w:tcPr>
          <w:p w:rsidR="004F23A3" w:rsidRPr="003752AE" w:rsidRDefault="003752AE" w:rsidP="00C13352">
            <w:r w:rsidRPr="003752AE">
              <w:rPr>
                <w:rFonts w:ascii="Times New Roman" w:hAnsi="Times New Roman"/>
                <w:sz w:val="24"/>
                <w:szCs w:val="24"/>
              </w:rPr>
              <w:t>Entities Eligible for Validation</w:t>
            </w:r>
          </w:p>
        </w:tc>
      </w:tr>
      <w:tr w:rsidR="004F23A3" w:rsidRPr="00A36FD5">
        <w:trPr>
          <w:cnfStyle w:val="000000100000"/>
          <w:cantSplit/>
          <w:trHeight w:val="520"/>
          <w:jc w:val="center"/>
        </w:trPr>
        <w:tc>
          <w:tcPr>
            <w:cnfStyle w:val="001000000000"/>
            <w:tcW w:w="5000" w:type="pct"/>
            <w:shd w:val="clear" w:color="auto" w:fill="DBE5F1" w:themeFill="accent1" w:themeFillTint="33"/>
          </w:tcPr>
          <w:p w:rsidR="004F23A3" w:rsidRDefault="00C13352" w:rsidP="003752AE">
            <w:pPr>
              <w:tabs>
                <w:tab w:val="left" w:pos="1752"/>
              </w:tabs>
              <w:rPr>
                <w:rFonts w:ascii="Times New Roman" w:hAnsi="Times New Roman"/>
                <w:sz w:val="24"/>
                <w:szCs w:val="24"/>
                <w:u w:val="single"/>
              </w:rPr>
            </w:pPr>
            <w:r w:rsidRPr="00C13352">
              <w:rPr>
                <w:rFonts w:ascii="Times New Roman" w:hAnsi="Times New Roman"/>
                <w:sz w:val="24"/>
                <w:szCs w:val="24"/>
                <w:u w:val="single"/>
              </w:rPr>
              <w:t>Question 14:</w:t>
            </w:r>
            <w:r w:rsidRPr="00C13352">
              <w:rPr>
                <w:rFonts w:ascii="Times New Roman" w:hAnsi="Times New Roman"/>
                <w:sz w:val="24"/>
                <w:szCs w:val="24"/>
              </w:rPr>
              <w:t xml:space="preserve">   </w:t>
            </w:r>
            <w:r w:rsidRPr="003752AE">
              <w:rPr>
                <w:rFonts w:ascii="Times New Roman" w:hAnsi="Times New Roman"/>
                <w:sz w:val="24"/>
                <w:szCs w:val="24"/>
              </w:rPr>
              <w:t>Should there be an eligibility criterion that requires an entity to have prior electronic exchange experience or a certain number of participants it serves?</w:t>
            </w:r>
          </w:p>
          <w:p w:rsidR="004A4EA2" w:rsidRPr="00A36FD5" w:rsidRDefault="004A4EA2" w:rsidP="00C13352">
            <w:pPr>
              <w:tabs>
                <w:tab w:val="left" w:pos="1752"/>
              </w:tabs>
              <w:ind w:firstLine="90"/>
              <w:rPr>
                <w:b w:val="0"/>
                <w:bCs w:val="0"/>
                <w:sz w:val="20"/>
                <w:szCs w:val="20"/>
              </w:rPr>
            </w:pPr>
          </w:p>
        </w:tc>
      </w:tr>
      <w:tr w:rsidR="004F23A3" w:rsidRPr="00A36FD5">
        <w:trPr>
          <w:cnfStyle w:val="000000010000"/>
          <w:cantSplit/>
          <w:trHeight w:val="260"/>
          <w:jc w:val="center"/>
        </w:trPr>
        <w:tc>
          <w:tcPr>
            <w:cnfStyle w:val="001000000000"/>
            <w:tcW w:w="5000" w:type="pct"/>
            <w:tcBorders>
              <w:bottom w:val="single" w:sz="8" w:space="0" w:color="7BA0CD" w:themeColor="accent1" w:themeTint="BF"/>
            </w:tcBorders>
            <w:shd w:val="clear" w:color="auto" w:fill="DBE5F1" w:themeFill="accent1" w:themeFillTint="33"/>
          </w:tcPr>
          <w:p w:rsidR="004F23A3" w:rsidRDefault="00C13352" w:rsidP="003752AE">
            <w:pPr>
              <w:spacing w:after="60"/>
              <w:rPr>
                <w:rFonts w:ascii="Times New Roman" w:hAnsi="Times New Roman"/>
                <w:sz w:val="24"/>
                <w:szCs w:val="24"/>
                <w:u w:val="single"/>
              </w:rPr>
            </w:pPr>
            <w:r>
              <w:rPr>
                <w:rFonts w:ascii="Times New Roman" w:hAnsi="Times New Roman"/>
                <w:sz w:val="24"/>
                <w:szCs w:val="24"/>
                <w:u w:val="single"/>
              </w:rPr>
              <w:t>Question Context:</w:t>
            </w:r>
          </w:p>
          <w:p w:rsidR="004A4EA2" w:rsidRPr="00A36FD5" w:rsidRDefault="004A4EA2" w:rsidP="004F23A3">
            <w:pPr>
              <w:spacing w:after="60"/>
              <w:ind w:left="90"/>
              <w:rPr>
                <w:sz w:val="20"/>
                <w:szCs w:val="20"/>
              </w:rPr>
            </w:pPr>
          </w:p>
        </w:tc>
      </w:tr>
      <w:tr w:rsidR="004F23A3" w:rsidRPr="00A36FD5">
        <w:trPr>
          <w:cnfStyle w:val="000000100000"/>
          <w:cantSplit/>
          <w:trHeight w:val="890"/>
          <w:jc w:val="center"/>
        </w:trPr>
        <w:tc>
          <w:tcPr>
            <w:cnfStyle w:val="001000000000"/>
            <w:tcW w:w="5000" w:type="pct"/>
            <w:shd w:val="clear" w:color="auto" w:fill="FFFFFF" w:themeFill="background1"/>
          </w:tcPr>
          <w:p w:rsidR="004F23A3" w:rsidRPr="00A36FD5" w:rsidRDefault="00770E88" w:rsidP="00A946D8">
            <w:pPr>
              <w:spacing w:after="60"/>
              <w:rPr>
                <w:rFonts w:ascii="Times New Roman" w:hAnsi="Times New Roman" w:cs="Times New Roman"/>
                <w:b w:val="0"/>
                <w:sz w:val="20"/>
                <w:szCs w:val="20"/>
              </w:rPr>
            </w:pPr>
            <w:r>
              <w:rPr>
                <w:rFonts w:ascii="Times New Roman" w:hAnsi="Times New Roman" w:cs="Times New Roman"/>
                <w:sz w:val="20"/>
                <w:szCs w:val="20"/>
              </w:rPr>
              <w:lastRenderedPageBreak/>
              <w:t>T</w:t>
            </w:r>
            <w:r w:rsidR="00996574" w:rsidRPr="00BB6129">
              <w:rPr>
                <w:rFonts w:ascii="Times New Roman" w:hAnsi="Times New Roman" w:cs="Times New Roman"/>
                <w:b w:val="0"/>
                <w:szCs w:val="20"/>
              </w:rPr>
              <w:t>h</w:t>
            </w:r>
            <w:r w:rsidR="00776E47">
              <w:rPr>
                <w:rFonts w:ascii="Times New Roman" w:hAnsi="Times New Roman" w:cs="Times New Roman"/>
                <w:b w:val="0"/>
                <w:szCs w:val="20"/>
              </w:rPr>
              <w:t xml:space="preserve">e HITPC </w:t>
            </w:r>
            <w:r w:rsidR="00996574" w:rsidRPr="00BB6129">
              <w:rPr>
                <w:rFonts w:ascii="Times New Roman" w:hAnsi="Times New Roman" w:cs="Times New Roman"/>
                <w:b w:val="0"/>
                <w:szCs w:val="20"/>
              </w:rPr>
              <w:t xml:space="preserve">does </w:t>
            </w:r>
            <w:r w:rsidR="00996574" w:rsidRPr="00BB6129">
              <w:rPr>
                <w:rFonts w:ascii="Times New Roman" w:hAnsi="Times New Roman" w:cs="Times New Roman"/>
                <w:b w:val="0"/>
                <w:szCs w:val="20"/>
                <w:u w:val="single"/>
              </w:rPr>
              <w:t>not</w:t>
            </w:r>
            <w:r w:rsidR="00996574" w:rsidRPr="00BB6129">
              <w:rPr>
                <w:rFonts w:ascii="Times New Roman" w:hAnsi="Times New Roman" w:cs="Times New Roman"/>
                <w:b w:val="0"/>
                <w:szCs w:val="20"/>
              </w:rPr>
              <w:t xml:space="preserve"> believe that prior experience or volume of participants should be a criterion.</w:t>
            </w:r>
            <w:r w:rsidR="00996574" w:rsidRPr="00DE0B1E">
              <w:rPr>
                <w:rFonts w:ascii="Times New Roman" w:hAnsi="Times New Roman" w:cs="Times New Roman"/>
                <w:b w:val="0"/>
                <w:szCs w:val="20"/>
              </w:rPr>
              <w:t xml:space="preserve">  Anything that would attend to these two criteria should be covered by other c</w:t>
            </w:r>
            <w:r w:rsidR="00807285" w:rsidRPr="00DE0B1E">
              <w:rPr>
                <w:rFonts w:ascii="Times New Roman" w:hAnsi="Times New Roman" w:cs="Times New Roman"/>
                <w:b w:val="0"/>
                <w:szCs w:val="20"/>
              </w:rPr>
              <w:t>riteria.  I</w:t>
            </w:r>
            <w:r w:rsidR="00996574" w:rsidRPr="00DE0B1E">
              <w:rPr>
                <w:rFonts w:ascii="Times New Roman" w:hAnsi="Times New Roman" w:cs="Times New Roman"/>
                <w:b w:val="0"/>
                <w:szCs w:val="20"/>
              </w:rPr>
              <w:t>f the NVE is able to pass all other certification/accreditation criteria, then that should be sufficient.</w:t>
            </w:r>
          </w:p>
        </w:tc>
      </w:tr>
    </w:tbl>
    <w:p w:rsidR="004F23A3" w:rsidRDefault="004F23A3" w:rsidP="004F23A3">
      <w:pPr>
        <w:pStyle w:val="ListParagraph"/>
        <w:rPr>
          <w:b/>
          <w:i/>
        </w:rPr>
      </w:pPr>
    </w:p>
    <w:p w:rsidR="004F23A3" w:rsidRPr="004F23A3" w:rsidRDefault="004F23A3" w:rsidP="004F23A3">
      <w:pPr>
        <w:pStyle w:val="ListParagraph"/>
        <w:rPr>
          <w:b/>
          <w:i/>
        </w:rPr>
      </w:pPr>
    </w:p>
    <w:tbl>
      <w:tblPr>
        <w:tblStyle w:val="MediumShading1-Accent11"/>
        <w:tblW w:w="5000" w:type="pct"/>
        <w:tblLook w:val="04A0"/>
      </w:tblPr>
      <w:tblGrid>
        <w:gridCol w:w="14616"/>
      </w:tblGrid>
      <w:tr w:rsidR="003752AE" w:rsidRPr="002E56FA">
        <w:trPr>
          <w:cnfStyle w:val="100000000000"/>
          <w:trHeight w:val="296"/>
          <w:tblHeader/>
        </w:trPr>
        <w:tc>
          <w:tcPr>
            <w:cnfStyle w:val="001000000000"/>
            <w:tcW w:w="5000" w:type="pct"/>
          </w:tcPr>
          <w:p w:rsidR="003752AE" w:rsidRPr="003752AE" w:rsidRDefault="003752AE" w:rsidP="00930D25">
            <w:r w:rsidRPr="003752AE">
              <w:rPr>
                <w:rFonts w:ascii="Times New Roman" w:hAnsi="Times New Roman"/>
                <w:sz w:val="24"/>
                <w:szCs w:val="24"/>
              </w:rPr>
              <w:t>Entities Eligible for Validation</w:t>
            </w:r>
          </w:p>
        </w:tc>
      </w:tr>
      <w:tr w:rsidR="003752AE" w:rsidRPr="00A36FD5">
        <w:trPr>
          <w:cnfStyle w:val="000000100000"/>
          <w:trHeight w:val="646"/>
        </w:trPr>
        <w:tc>
          <w:tcPr>
            <w:cnfStyle w:val="001000000000"/>
            <w:tcW w:w="5000" w:type="pct"/>
            <w:shd w:val="clear" w:color="auto" w:fill="DBE5F1" w:themeFill="accent1" w:themeFillTint="33"/>
          </w:tcPr>
          <w:p w:rsidR="003752AE" w:rsidRPr="00E30F73" w:rsidRDefault="003752AE" w:rsidP="00E30F73">
            <w:pPr>
              <w:spacing w:line="480" w:lineRule="auto"/>
              <w:rPr>
                <w:rFonts w:ascii="Times New Roman" w:hAnsi="Times New Roman"/>
                <w:sz w:val="24"/>
                <w:szCs w:val="24"/>
                <w:u w:val="single"/>
              </w:rPr>
            </w:pPr>
            <w:r w:rsidRPr="00E30F73">
              <w:rPr>
                <w:rFonts w:ascii="Times New Roman" w:hAnsi="Times New Roman"/>
                <w:sz w:val="24"/>
                <w:szCs w:val="24"/>
                <w:u w:val="single"/>
              </w:rPr>
              <w:t>Question 15:</w:t>
            </w:r>
            <w:r w:rsidRPr="00E30F73">
              <w:rPr>
                <w:rFonts w:ascii="Times New Roman" w:hAnsi="Times New Roman"/>
                <w:sz w:val="24"/>
                <w:szCs w:val="24"/>
              </w:rPr>
              <w:t xml:space="preserve">   </w:t>
            </w:r>
            <w:r w:rsidR="00E30F73" w:rsidRPr="00E30F73">
              <w:rPr>
                <w:rFonts w:ascii="Times New Roman" w:hAnsi="Times New Roman"/>
                <w:sz w:val="24"/>
                <w:szCs w:val="24"/>
              </w:rPr>
              <w:t>Are there other eligibility criteria that we should also consider?</w:t>
            </w:r>
          </w:p>
        </w:tc>
      </w:tr>
      <w:tr w:rsidR="003752AE" w:rsidRPr="00A36FD5">
        <w:trPr>
          <w:cnfStyle w:val="000000010000"/>
          <w:trHeight w:val="646"/>
        </w:trPr>
        <w:tc>
          <w:tcPr>
            <w:cnfStyle w:val="001000000000"/>
            <w:tcW w:w="5000" w:type="pct"/>
            <w:tcBorders>
              <w:bottom w:val="single" w:sz="8" w:space="0" w:color="7BA0CD" w:themeColor="accent1" w:themeTint="BF"/>
            </w:tcBorders>
            <w:shd w:val="clear" w:color="auto" w:fill="DBE5F1" w:themeFill="accent1" w:themeFillTint="33"/>
          </w:tcPr>
          <w:p w:rsidR="003752AE" w:rsidRDefault="003752AE" w:rsidP="00BC3BB7">
            <w:pPr>
              <w:spacing w:after="60"/>
              <w:rPr>
                <w:rFonts w:ascii="Times New Roman" w:hAnsi="Times New Roman"/>
                <w:sz w:val="24"/>
                <w:szCs w:val="24"/>
                <w:u w:val="single"/>
              </w:rPr>
            </w:pPr>
            <w:r>
              <w:rPr>
                <w:rFonts w:ascii="Times New Roman" w:hAnsi="Times New Roman"/>
                <w:sz w:val="24"/>
                <w:szCs w:val="24"/>
                <w:u w:val="single"/>
              </w:rPr>
              <w:t>Question Context:</w:t>
            </w:r>
          </w:p>
          <w:p w:rsidR="003752AE" w:rsidRPr="00A36FD5" w:rsidRDefault="003752AE" w:rsidP="00BC3BB7">
            <w:pPr>
              <w:spacing w:after="60"/>
              <w:rPr>
                <w:sz w:val="20"/>
                <w:szCs w:val="20"/>
              </w:rPr>
            </w:pPr>
          </w:p>
        </w:tc>
      </w:tr>
      <w:tr w:rsidR="003752AE" w:rsidRPr="00A36FD5">
        <w:trPr>
          <w:cnfStyle w:val="000000100000"/>
          <w:trHeight w:val="890"/>
        </w:trPr>
        <w:tc>
          <w:tcPr>
            <w:cnfStyle w:val="001000000000"/>
            <w:tcW w:w="5000" w:type="pct"/>
            <w:shd w:val="clear" w:color="auto" w:fill="FFFFFF" w:themeFill="background1"/>
          </w:tcPr>
          <w:p w:rsidR="00996574" w:rsidRPr="00332530" w:rsidRDefault="00996574" w:rsidP="00996574">
            <w:pPr>
              <w:spacing w:after="60"/>
              <w:rPr>
                <w:rFonts w:ascii="Times New Roman" w:hAnsi="Times New Roman" w:cs="Times New Roman"/>
                <w:b w:val="0"/>
                <w:szCs w:val="20"/>
              </w:rPr>
            </w:pPr>
            <w:r w:rsidRPr="00332530">
              <w:rPr>
                <w:rFonts w:ascii="Times New Roman" w:hAnsi="Times New Roman" w:cs="Times New Roman"/>
                <w:b w:val="0"/>
                <w:szCs w:val="20"/>
              </w:rPr>
              <w:t xml:space="preserve">The </w:t>
            </w:r>
            <w:r w:rsidR="00776E47">
              <w:rPr>
                <w:rFonts w:ascii="Times New Roman" w:hAnsi="Times New Roman" w:cs="Times New Roman"/>
                <w:b w:val="0"/>
                <w:szCs w:val="20"/>
              </w:rPr>
              <w:t>HITPC</w:t>
            </w:r>
            <w:r w:rsidRPr="00332530">
              <w:rPr>
                <w:rFonts w:ascii="Times New Roman" w:hAnsi="Times New Roman" w:cs="Times New Roman"/>
                <w:b w:val="0"/>
                <w:szCs w:val="20"/>
              </w:rPr>
              <w:t xml:space="preserve"> does </w:t>
            </w:r>
            <w:r w:rsidRPr="00332530">
              <w:rPr>
                <w:rFonts w:ascii="Times New Roman" w:hAnsi="Times New Roman" w:cs="Times New Roman"/>
                <w:b w:val="0"/>
                <w:szCs w:val="20"/>
                <w:u w:val="single"/>
              </w:rPr>
              <w:t>not</w:t>
            </w:r>
            <w:r w:rsidRPr="00332530">
              <w:rPr>
                <w:rFonts w:ascii="Times New Roman" w:hAnsi="Times New Roman" w:cs="Times New Roman"/>
                <w:b w:val="0"/>
                <w:szCs w:val="20"/>
              </w:rPr>
              <w:t xml:space="preserve"> recommend that other eligibility criteria be considered.  </w:t>
            </w:r>
          </w:p>
          <w:p w:rsidR="00996574" w:rsidRPr="00332530" w:rsidRDefault="00697C2A" w:rsidP="00996574">
            <w:pPr>
              <w:spacing w:after="60"/>
              <w:rPr>
                <w:rFonts w:ascii="Times New Roman" w:hAnsi="Times New Roman" w:cs="Times New Roman"/>
                <w:b w:val="0"/>
                <w:szCs w:val="20"/>
              </w:rPr>
            </w:pPr>
            <w:r w:rsidRPr="00332530">
              <w:rPr>
                <w:rFonts w:ascii="Times New Roman" w:hAnsi="Times New Roman" w:cs="Times New Roman"/>
                <w:b w:val="0"/>
                <w:szCs w:val="20"/>
              </w:rPr>
              <w:t xml:space="preserve">There was no appropriate place for the following comment: </w:t>
            </w:r>
            <w:r w:rsidR="00AB7392" w:rsidRPr="00332530">
              <w:rPr>
                <w:rFonts w:ascii="Times New Roman" w:hAnsi="Times New Roman" w:cs="Times New Roman"/>
                <w:b w:val="0"/>
                <w:szCs w:val="20"/>
              </w:rPr>
              <w:t xml:space="preserve"> t</w:t>
            </w:r>
            <w:r w:rsidR="00996574" w:rsidRPr="00332530">
              <w:rPr>
                <w:rFonts w:ascii="Times New Roman" w:hAnsi="Times New Roman" w:cs="Times New Roman"/>
                <w:b w:val="0"/>
                <w:szCs w:val="20"/>
              </w:rPr>
              <w:t xml:space="preserve">he </w:t>
            </w:r>
            <w:r w:rsidR="00776E47">
              <w:rPr>
                <w:rFonts w:ascii="Times New Roman" w:hAnsi="Times New Roman" w:cs="Times New Roman"/>
                <w:b w:val="0"/>
                <w:szCs w:val="20"/>
              </w:rPr>
              <w:t>HITPC</w:t>
            </w:r>
            <w:r w:rsidR="00996574" w:rsidRPr="00332530">
              <w:rPr>
                <w:rFonts w:ascii="Times New Roman" w:hAnsi="Times New Roman" w:cs="Times New Roman"/>
                <w:b w:val="0"/>
                <w:szCs w:val="20"/>
              </w:rPr>
              <w:t xml:space="preserve"> recommends </w:t>
            </w:r>
            <w:r w:rsidR="00501F2D" w:rsidRPr="00332530">
              <w:rPr>
                <w:rFonts w:ascii="Times New Roman" w:hAnsi="Times New Roman" w:cs="Times New Roman"/>
                <w:b w:val="0"/>
                <w:szCs w:val="20"/>
              </w:rPr>
              <w:t>that ONC carefully consider the following</w:t>
            </w:r>
            <w:r w:rsidR="00996574" w:rsidRPr="00332530">
              <w:rPr>
                <w:rFonts w:ascii="Times New Roman" w:hAnsi="Times New Roman" w:cs="Times New Roman"/>
                <w:b w:val="0"/>
                <w:szCs w:val="20"/>
              </w:rPr>
              <w:t xml:space="preserve"> proposed eligibility criteria and reconsider it: </w:t>
            </w:r>
          </w:p>
          <w:p w:rsidR="00996574" w:rsidRPr="00332530" w:rsidRDefault="00996574" w:rsidP="00996574">
            <w:pPr>
              <w:spacing w:after="60"/>
              <w:rPr>
                <w:rFonts w:ascii="Times New Roman" w:hAnsi="Times New Roman" w:cs="Times New Roman"/>
                <w:b w:val="0"/>
                <w:i/>
                <w:iCs/>
                <w:szCs w:val="20"/>
              </w:rPr>
            </w:pPr>
            <w:r w:rsidRPr="00332530">
              <w:rPr>
                <w:rFonts w:ascii="Times New Roman" w:hAnsi="Times New Roman" w:cs="Times New Roman"/>
                <w:b w:val="0"/>
                <w:i/>
                <w:iCs/>
                <w:szCs w:val="20"/>
              </w:rPr>
              <w:t>“Have not had civil monetary penalties, criminal penalties, or damages imposed, or have been enjoined for a HIPAA violation within two years prior to seeking validation”.</w:t>
            </w:r>
          </w:p>
          <w:p w:rsidR="00875E48" w:rsidRDefault="00996574" w:rsidP="00996574">
            <w:pPr>
              <w:spacing w:after="60"/>
              <w:rPr>
                <w:rFonts w:ascii="Times New Roman" w:hAnsi="Times New Roman" w:cs="Times New Roman"/>
                <w:b w:val="0"/>
                <w:szCs w:val="20"/>
              </w:rPr>
            </w:pPr>
            <w:r w:rsidRPr="00332530">
              <w:rPr>
                <w:rFonts w:ascii="Times New Roman" w:hAnsi="Times New Roman" w:cs="Times New Roman"/>
                <w:b w:val="0"/>
                <w:szCs w:val="20"/>
              </w:rPr>
              <w:t>Eligibility criteria regarding HIPAA violation needs to be carefully considered and might be very problematic.  Institutions may have policies in place to prevent inappropriate use, though still have “bad actors” within those institutions that violate those policies.  Instead, ONC</w:t>
            </w:r>
            <w:r w:rsidRPr="008D5022">
              <w:rPr>
                <w:rFonts w:ascii="Times New Roman" w:hAnsi="Times New Roman" w:cs="Times New Roman"/>
                <w:b w:val="0"/>
                <w:szCs w:val="20"/>
              </w:rPr>
              <w:t xml:space="preserve"> should consider criteria that require NVEs to create and enforce policies for “bad actors” within their own institutions. The </w:t>
            </w:r>
            <w:r w:rsidR="00776E47">
              <w:rPr>
                <w:rFonts w:ascii="Times New Roman" w:hAnsi="Times New Roman" w:cs="Times New Roman"/>
                <w:b w:val="0"/>
                <w:szCs w:val="20"/>
              </w:rPr>
              <w:t>HITPC</w:t>
            </w:r>
            <w:r w:rsidRPr="008D5022">
              <w:rPr>
                <w:rFonts w:ascii="Times New Roman" w:hAnsi="Times New Roman" w:cs="Times New Roman"/>
                <w:b w:val="0"/>
                <w:szCs w:val="20"/>
              </w:rPr>
              <w:t xml:space="preserve"> is concerned that if this is not considered, entities that have been enjoined for a HIPAA violation, even if they put policies and processes in place to address the violation, would not be able to participate in the nationwide health information network in perpetuity.</w:t>
            </w:r>
          </w:p>
          <w:p w:rsidR="00B20C83" w:rsidRDefault="00B20C83" w:rsidP="00996574">
            <w:pPr>
              <w:spacing w:after="60"/>
              <w:rPr>
                <w:rFonts w:ascii="Times New Roman" w:hAnsi="Times New Roman" w:cs="Times New Roman"/>
                <w:b w:val="0"/>
                <w:i/>
                <w:szCs w:val="20"/>
              </w:rPr>
            </w:pPr>
            <w:r>
              <w:rPr>
                <w:rFonts w:ascii="Times New Roman" w:hAnsi="Times New Roman" w:cs="Times New Roman"/>
                <w:b w:val="0"/>
                <w:i/>
                <w:szCs w:val="20"/>
              </w:rPr>
              <w:t>The HITPC believes that several approaches may be appropriate for addressing this concern.  If an NVE is in significant violation of HIPAA to the extent of being fined by the Federal Government, a two year ban might be reasonable.  However, because of concern of the impact on patients whose data depends on that single entity, other enforcement options might be considered to enable the entity to keep functioning, e.g. having trustees assume management during the ban period.</w:t>
            </w:r>
          </w:p>
          <w:p w:rsidR="003752AE" w:rsidRPr="00A36FD5" w:rsidRDefault="007807D2" w:rsidP="00332530">
            <w:pPr>
              <w:spacing w:after="60"/>
              <w:rPr>
                <w:rFonts w:ascii="Times New Roman" w:hAnsi="Times New Roman" w:cs="Times New Roman"/>
                <w:b w:val="0"/>
                <w:sz w:val="20"/>
                <w:szCs w:val="20"/>
              </w:rPr>
            </w:pPr>
            <w:r w:rsidRPr="00E8487A">
              <w:rPr>
                <w:rFonts w:ascii="Times New Roman" w:hAnsi="Times New Roman"/>
                <w:b w:val="0"/>
              </w:rPr>
              <w:t xml:space="preserve">The </w:t>
            </w:r>
            <w:r>
              <w:rPr>
                <w:rFonts w:ascii="Times New Roman" w:hAnsi="Times New Roman"/>
                <w:b w:val="0"/>
              </w:rPr>
              <w:t>HITPC</w:t>
            </w:r>
            <w:r w:rsidRPr="00E8487A">
              <w:rPr>
                <w:rFonts w:ascii="Times New Roman" w:hAnsi="Times New Roman"/>
                <w:b w:val="0"/>
              </w:rPr>
              <w:t xml:space="preserve"> recommends that ONC review the language “enjoined for a HIPAA violation” in the NVE exclusion criteria and possibly replacing it with the language developed by the HITPC to describe circumstances when providers who have violated HIPAA should be excluded from participating in meaningful use.</w:t>
            </w:r>
          </w:p>
        </w:tc>
      </w:tr>
    </w:tbl>
    <w:p w:rsidR="00553F67" w:rsidRPr="00A36FD5" w:rsidRDefault="00553F67"/>
    <w:tbl>
      <w:tblPr>
        <w:tblStyle w:val="MediumShading1-Accent11"/>
        <w:tblW w:w="5000" w:type="pct"/>
        <w:jc w:val="center"/>
        <w:tblLook w:val="04A0"/>
      </w:tblPr>
      <w:tblGrid>
        <w:gridCol w:w="14616"/>
      </w:tblGrid>
      <w:tr w:rsidR="003752AE" w:rsidRPr="002E56FA">
        <w:trPr>
          <w:cnfStyle w:val="100000000000"/>
          <w:cantSplit/>
          <w:trHeight w:val="296"/>
          <w:tblHeader/>
          <w:jc w:val="center"/>
        </w:trPr>
        <w:tc>
          <w:tcPr>
            <w:cnfStyle w:val="001000000000"/>
            <w:tcW w:w="5000" w:type="pct"/>
          </w:tcPr>
          <w:p w:rsidR="003752AE" w:rsidRPr="003752AE" w:rsidRDefault="003752AE" w:rsidP="00930D25">
            <w:r w:rsidRPr="003752AE">
              <w:rPr>
                <w:rFonts w:ascii="Times New Roman" w:hAnsi="Times New Roman"/>
                <w:sz w:val="24"/>
                <w:szCs w:val="24"/>
              </w:rPr>
              <w:t>Entities Eligible for Validation</w:t>
            </w:r>
          </w:p>
        </w:tc>
      </w:tr>
      <w:tr w:rsidR="003752AE" w:rsidRPr="00A36FD5">
        <w:trPr>
          <w:cnfStyle w:val="000000100000"/>
          <w:cantSplit/>
          <w:trHeight w:val="646"/>
          <w:jc w:val="center"/>
        </w:trPr>
        <w:tc>
          <w:tcPr>
            <w:cnfStyle w:val="001000000000"/>
            <w:tcW w:w="5000" w:type="pct"/>
            <w:shd w:val="clear" w:color="auto" w:fill="DBE5F1" w:themeFill="accent1" w:themeFillTint="33"/>
          </w:tcPr>
          <w:p w:rsidR="003752AE" w:rsidRDefault="003752AE" w:rsidP="00FE202F">
            <w:pPr>
              <w:spacing w:after="60"/>
              <w:rPr>
                <w:rFonts w:ascii="Times New Roman" w:hAnsi="Times New Roman"/>
                <w:sz w:val="24"/>
                <w:szCs w:val="24"/>
                <w:u w:val="single"/>
              </w:rPr>
            </w:pPr>
            <w:r w:rsidRPr="00C13352">
              <w:rPr>
                <w:rFonts w:ascii="Times New Roman" w:hAnsi="Times New Roman"/>
                <w:sz w:val="24"/>
                <w:szCs w:val="24"/>
                <w:u w:val="single"/>
              </w:rPr>
              <w:t>Question 1</w:t>
            </w:r>
            <w:r>
              <w:rPr>
                <w:rFonts w:ascii="Times New Roman" w:hAnsi="Times New Roman"/>
                <w:sz w:val="24"/>
                <w:szCs w:val="24"/>
                <w:u w:val="single"/>
              </w:rPr>
              <w:t>6</w:t>
            </w:r>
            <w:r w:rsidRPr="00C13352">
              <w:rPr>
                <w:rFonts w:ascii="Times New Roman" w:hAnsi="Times New Roman"/>
                <w:sz w:val="24"/>
                <w:szCs w:val="24"/>
                <w:u w:val="single"/>
              </w:rPr>
              <w:t>:</w:t>
            </w:r>
            <w:r w:rsidRPr="00C13352">
              <w:rPr>
                <w:rFonts w:ascii="Times New Roman" w:hAnsi="Times New Roman"/>
                <w:sz w:val="24"/>
                <w:szCs w:val="24"/>
              </w:rPr>
              <w:t xml:space="preserve">   </w:t>
            </w:r>
            <w:r w:rsidRPr="003752AE">
              <w:rPr>
                <w:rFonts w:ascii="Times New Roman" w:hAnsi="Times New Roman"/>
                <w:sz w:val="24"/>
                <w:szCs w:val="24"/>
              </w:rPr>
              <w:t>Should eligibility be limited to entities that are tax-exempt under section 501(c</w:t>
            </w:r>
            <w:proofErr w:type="gramStart"/>
            <w:r w:rsidRPr="003752AE">
              <w:rPr>
                <w:rFonts w:ascii="Times New Roman" w:hAnsi="Times New Roman"/>
                <w:sz w:val="24"/>
                <w:szCs w:val="24"/>
              </w:rPr>
              <w:t>)(</w:t>
            </w:r>
            <w:proofErr w:type="gramEnd"/>
            <w:r w:rsidRPr="003752AE">
              <w:rPr>
                <w:rFonts w:ascii="Times New Roman" w:hAnsi="Times New Roman"/>
                <w:sz w:val="24"/>
                <w:szCs w:val="24"/>
              </w:rPr>
              <w:t>3) of the IRC?  If yes, please explain why.</w:t>
            </w:r>
          </w:p>
          <w:p w:rsidR="003752AE" w:rsidRPr="00A36FD5" w:rsidRDefault="003752AE" w:rsidP="002F1C25">
            <w:pPr>
              <w:ind w:firstLine="90"/>
              <w:rPr>
                <w:b w:val="0"/>
                <w:bCs w:val="0"/>
                <w:sz w:val="20"/>
                <w:szCs w:val="20"/>
              </w:rPr>
            </w:pPr>
          </w:p>
        </w:tc>
      </w:tr>
      <w:tr w:rsidR="003752AE" w:rsidRPr="00A36FD5">
        <w:trPr>
          <w:cnfStyle w:val="000000010000"/>
          <w:cantSplit/>
          <w:trHeight w:val="565"/>
          <w:jc w:val="center"/>
        </w:trPr>
        <w:tc>
          <w:tcPr>
            <w:cnfStyle w:val="001000000000"/>
            <w:tcW w:w="5000" w:type="pct"/>
            <w:tcBorders>
              <w:bottom w:val="single" w:sz="8" w:space="0" w:color="7BA0CD" w:themeColor="accent1" w:themeTint="BF"/>
            </w:tcBorders>
            <w:shd w:val="clear" w:color="auto" w:fill="DBE5F1" w:themeFill="accent1" w:themeFillTint="33"/>
          </w:tcPr>
          <w:p w:rsidR="003752AE" w:rsidRPr="00A36FD5" w:rsidRDefault="003752AE" w:rsidP="005753BC">
            <w:pPr>
              <w:spacing w:after="60"/>
              <w:ind w:firstLine="90"/>
              <w:rPr>
                <w:sz w:val="20"/>
                <w:szCs w:val="20"/>
              </w:rPr>
            </w:pPr>
            <w:r>
              <w:rPr>
                <w:rFonts w:ascii="Times New Roman" w:hAnsi="Times New Roman"/>
                <w:sz w:val="24"/>
                <w:szCs w:val="24"/>
                <w:u w:val="single"/>
              </w:rPr>
              <w:t>Question Context:</w:t>
            </w:r>
          </w:p>
        </w:tc>
      </w:tr>
      <w:tr w:rsidR="003752AE" w:rsidRPr="00A36FD5">
        <w:trPr>
          <w:cnfStyle w:val="000000100000"/>
          <w:cantSplit/>
          <w:trHeight w:val="890"/>
          <w:jc w:val="center"/>
        </w:trPr>
        <w:tc>
          <w:tcPr>
            <w:cnfStyle w:val="001000000000"/>
            <w:tcW w:w="5000" w:type="pct"/>
            <w:shd w:val="clear" w:color="auto" w:fill="FFFFFF" w:themeFill="background1"/>
          </w:tcPr>
          <w:p w:rsidR="00996574" w:rsidRPr="00C35D9B" w:rsidRDefault="00C64013" w:rsidP="00996574">
            <w:pPr>
              <w:spacing w:after="60"/>
              <w:rPr>
                <w:rFonts w:ascii="Times New Roman" w:hAnsi="Times New Roman" w:cs="Times New Roman"/>
                <w:b w:val="0"/>
                <w:szCs w:val="20"/>
              </w:rPr>
            </w:pPr>
            <w:r w:rsidRPr="004834FB">
              <w:rPr>
                <w:rFonts w:ascii="Times New Roman" w:hAnsi="Times New Roman" w:cs="Times New Roman"/>
                <w:b w:val="0"/>
                <w:szCs w:val="20"/>
              </w:rPr>
              <w:lastRenderedPageBreak/>
              <w:t xml:space="preserve">No.  </w:t>
            </w:r>
            <w:r w:rsidR="00996574" w:rsidRPr="004834FB">
              <w:rPr>
                <w:rFonts w:ascii="Times New Roman" w:hAnsi="Times New Roman" w:cs="Times New Roman"/>
                <w:b w:val="0"/>
                <w:szCs w:val="20"/>
              </w:rPr>
              <w:t>The</w:t>
            </w:r>
            <w:r w:rsidR="00996574" w:rsidRPr="00C35D9B">
              <w:rPr>
                <w:rFonts w:ascii="Times New Roman" w:hAnsi="Times New Roman" w:cs="Times New Roman"/>
                <w:b w:val="0"/>
                <w:szCs w:val="20"/>
              </w:rPr>
              <w:t xml:space="preserve"> </w:t>
            </w:r>
            <w:r w:rsidR="00776E47">
              <w:rPr>
                <w:rFonts w:ascii="Times New Roman" w:hAnsi="Times New Roman" w:cs="Times New Roman"/>
                <w:b w:val="0"/>
                <w:szCs w:val="20"/>
              </w:rPr>
              <w:t>HITPC</w:t>
            </w:r>
            <w:r w:rsidR="00996574" w:rsidRPr="00C35D9B">
              <w:rPr>
                <w:rFonts w:ascii="Times New Roman" w:hAnsi="Times New Roman" w:cs="Times New Roman"/>
                <w:b w:val="0"/>
                <w:szCs w:val="20"/>
              </w:rPr>
              <w:t xml:space="preserve"> does </w:t>
            </w:r>
            <w:r w:rsidR="00996574" w:rsidRPr="00C35D9B">
              <w:rPr>
                <w:rFonts w:ascii="Times New Roman" w:hAnsi="Times New Roman" w:cs="Times New Roman"/>
                <w:b w:val="0"/>
                <w:szCs w:val="20"/>
                <w:u w:val="single"/>
              </w:rPr>
              <w:t>not</w:t>
            </w:r>
            <w:r w:rsidR="00996574" w:rsidRPr="00C35D9B">
              <w:rPr>
                <w:rFonts w:ascii="Times New Roman" w:hAnsi="Times New Roman" w:cs="Times New Roman"/>
                <w:b w:val="0"/>
                <w:szCs w:val="20"/>
              </w:rPr>
              <w:t xml:space="preserve"> recommend that eligibility be limited to tax-exempt entities</w:t>
            </w:r>
            <w:r w:rsidR="00720928">
              <w:rPr>
                <w:rFonts w:ascii="Times New Roman" w:hAnsi="Times New Roman" w:cs="Times New Roman"/>
                <w:b w:val="0"/>
                <w:szCs w:val="20"/>
              </w:rPr>
              <w:t>.  It should be broader, and open</w:t>
            </w:r>
            <w:r w:rsidRPr="00C35D9B">
              <w:rPr>
                <w:rFonts w:ascii="Times New Roman" w:hAnsi="Times New Roman" w:cs="Times New Roman"/>
                <w:b w:val="0"/>
                <w:szCs w:val="20"/>
              </w:rPr>
              <w:t xml:space="preserve"> to entities that meet</w:t>
            </w:r>
            <w:r w:rsidR="00996574" w:rsidRPr="00C35D9B">
              <w:rPr>
                <w:rFonts w:ascii="Times New Roman" w:hAnsi="Times New Roman" w:cs="Times New Roman"/>
                <w:b w:val="0"/>
                <w:szCs w:val="20"/>
              </w:rPr>
              <w:t xml:space="preserve"> CTEs that would deem them suitable for exchange. </w:t>
            </w:r>
          </w:p>
          <w:p w:rsidR="003752AE" w:rsidRPr="00A36FD5" w:rsidRDefault="003752AE" w:rsidP="00BE0A5A">
            <w:pPr>
              <w:spacing w:after="60"/>
              <w:rPr>
                <w:rFonts w:ascii="Times New Roman" w:hAnsi="Times New Roman" w:cs="Times New Roman"/>
                <w:b w:val="0"/>
                <w:sz w:val="20"/>
                <w:szCs w:val="20"/>
              </w:rPr>
            </w:pPr>
          </w:p>
        </w:tc>
      </w:tr>
    </w:tbl>
    <w:p w:rsidR="001D6DE1" w:rsidRPr="00A36FD5" w:rsidRDefault="001D6DE1">
      <w:pPr>
        <w:rPr>
          <w:b/>
        </w:rPr>
      </w:pPr>
    </w:p>
    <w:tbl>
      <w:tblPr>
        <w:tblStyle w:val="MediumShading1-Accent11"/>
        <w:tblW w:w="5000" w:type="pct"/>
        <w:jc w:val="center"/>
        <w:tblLook w:val="04A0"/>
      </w:tblPr>
      <w:tblGrid>
        <w:gridCol w:w="14616"/>
      </w:tblGrid>
      <w:tr w:rsidR="00C06FEB" w:rsidRPr="002E56FA">
        <w:trPr>
          <w:cnfStyle w:val="100000000000"/>
          <w:trHeight w:val="296"/>
          <w:tblHeader/>
          <w:jc w:val="center"/>
        </w:trPr>
        <w:tc>
          <w:tcPr>
            <w:cnfStyle w:val="001000000000"/>
            <w:tcW w:w="5000" w:type="pct"/>
          </w:tcPr>
          <w:p w:rsidR="00C06FEB" w:rsidRPr="002E56FA" w:rsidRDefault="003752AE" w:rsidP="00BE0A5A">
            <w:r w:rsidRPr="003752AE">
              <w:rPr>
                <w:rFonts w:ascii="Times New Roman" w:hAnsi="Times New Roman"/>
                <w:sz w:val="24"/>
                <w:szCs w:val="24"/>
              </w:rPr>
              <w:t>Stakeholders</w:t>
            </w:r>
          </w:p>
        </w:tc>
      </w:tr>
      <w:tr w:rsidR="002F1C25" w:rsidRPr="00A36FD5">
        <w:trPr>
          <w:cnfStyle w:val="000000100000"/>
          <w:trHeight w:val="376"/>
          <w:jc w:val="center"/>
        </w:trPr>
        <w:tc>
          <w:tcPr>
            <w:cnfStyle w:val="001000000000"/>
            <w:tcW w:w="5000" w:type="pct"/>
            <w:shd w:val="clear" w:color="auto" w:fill="DBE5F1" w:themeFill="accent1" w:themeFillTint="33"/>
          </w:tcPr>
          <w:p w:rsidR="002F1C25" w:rsidRDefault="00FE202F" w:rsidP="003752AE">
            <w:pPr>
              <w:rPr>
                <w:rFonts w:ascii="Times New Roman" w:hAnsi="Times New Roman"/>
                <w:sz w:val="24"/>
                <w:szCs w:val="24"/>
                <w:u w:val="single"/>
              </w:rPr>
            </w:pPr>
            <w:r w:rsidRPr="00C13352">
              <w:rPr>
                <w:rFonts w:ascii="Times New Roman" w:hAnsi="Times New Roman"/>
                <w:sz w:val="24"/>
                <w:szCs w:val="24"/>
                <w:u w:val="single"/>
              </w:rPr>
              <w:t>Question 1</w:t>
            </w:r>
            <w:r>
              <w:rPr>
                <w:rFonts w:ascii="Times New Roman" w:hAnsi="Times New Roman"/>
                <w:sz w:val="24"/>
                <w:szCs w:val="24"/>
                <w:u w:val="single"/>
              </w:rPr>
              <w:t>7</w:t>
            </w:r>
            <w:r w:rsidRPr="00C13352">
              <w:rPr>
                <w:rFonts w:ascii="Times New Roman" w:hAnsi="Times New Roman"/>
                <w:sz w:val="24"/>
                <w:szCs w:val="24"/>
                <w:u w:val="single"/>
              </w:rPr>
              <w:t>:</w:t>
            </w:r>
            <w:r w:rsidRPr="00C13352">
              <w:rPr>
                <w:rFonts w:ascii="Times New Roman" w:hAnsi="Times New Roman"/>
                <w:sz w:val="24"/>
                <w:szCs w:val="24"/>
              </w:rPr>
              <w:t xml:space="preserve">   </w:t>
            </w:r>
            <w:r w:rsidRPr="003752AE">
              <w:rPr>
                <w:rFonts w:ascii="Times New Roman" w:hAnsi="Times New Roman"/>
                <w:sz w:val="24"/>
                <w:szCs w:val="24"/>
              </w:rPr>
              <w:t>What is the optimum role for stakeholders, including consumers, in governance of the nationwide health information network?  What mechanisms would most effectively implement that role?</w:t>
            </w:r>
          </w:p>
          <w:p w:rsidR="00FE202F" w:rsidRPr="00A36FD5" w:rsidRDefault="00FE202F" w:rsidP="002F1C25">
            <w:pPr>
              <w:ind w:firstLine="90"/>
              <w:rPr>
                <w:b w:val="0"/>
                <w:bCs w:val="0"/>
                <w:sz w:val="20"/>
                <w:szCs w:val="20"/>
              </w:rPr>
            </w:pPr>
          </w:p>
        </w:tc>
      </w:tr>
      <w:tr w:rsidR="00C64387" w:rsidRPr="00A36FD5">
        <w:trPr>
          <w:cnfStyle w:val="000000010000"/>
          <w:trHeight w:val="475"/>
          <w:jc w:val="center"/>
        </w:trPr>
        <w:tc>
          <w:tcPr>
            <w:cnfStyle w:val="001000000000"/>
            <w:tcW w:w="5000" w:type="pct"/>
            <w:tcBorders>
              <w:bottom w:val="single" w:sz="8" w:space="0" w:color="7BA0CD" w:themeColor="accent1" w:themeTint="BF"/>
            </w:tcBorders>
            <w:shd w:val="clear" w:color="auto" w:fill="DBE5F1" w:themeFill="accent1" w:themeFillTint="33"/>
          </w:tcPr>
          <w:p w:rsidR="00C64387" w:rsidRDefault="00FE202F" w:rsidP="003752AE">
            <w:pPr>
              <w:rPr>
                <w:rFonts w:ascii="Times New Roman" w:hAnsi="Times New Roman"/>
                <w:sz w:val="24"/>
                <w:szCs w:val="24"/>
                <w:u w:val="single"/>
              </w:rPr>
            </w:pPr>
            <w:r>
              <w:rPr>
                <w:rFonts w:ascii="Times New Roman" w:hAnsi="Times New Roman"/>
                <w:sz w:val="24"/>
                <w:szCs w:val="24"/>
                <w:u w:val="single"/>
              </w:rPr>
              <w:t>Question Context:</w:t>
            </w:r>
          </w:p>
          <w:p w:rsidR="00FE202F" w:rsidRPr="00A36FD5" w:rsidRDefault="00FE202F" w:rsidP="00717F30">
            <w:pPr>
              <w:ind w:left="90"/>
              <w:rPr>
                <w:sz w:val="20"/>
                <w:szCs w:val="20"/>
              </w:rPr>
            </w:pPr>
          </w:p>
        </w:tc>
      </w:tr>
      <w:tr w:rsidR="00C64387" w:rsidRPr="00A36FD5">
        <w:trPr>
          <w:cnfStyle w:val="000000100000"/>
          <w:trHeight w:val="890"/>
          <w:jc w:val="center"/>
        </w:trPr>
        <w:tc>
          <w:tcPr>
            <w:cnfStyle w:val="001000000000"/>
            <w:tcW w:w="5000" w:type="pct"/>
            <w:shd w:val="clear" w:color="auto" w:fill="FFFFFF" w:themeFill="background1"/>
          </w:tcPr>
          <w:p w:rsidR="00996574" w:rsidRPr="004834FB" w:rsidRDefault="00996574" w:rsidP="00996574">
            <w:pPr>
              <w:spacing w:after="60"/>
              <w:rPr>
                <w:rFonts w:ascii="Times New Roman" w:hAnsi="Times New Roman" w:cs="Times New Roman"/>
                <w:b w:val="0"/>
                <w:szCs w:val="20"/>
              </w:rPr>
            </w:pPr>
            <w:r w:rsidRPr="004834FB">
              <w:rPr>
                <w:rFonts w:ascii="Times New Roman" w:hAnsi="Times New Roman" w:cs="Times New Roman"/>
                <w:b w:val="0"/>
                <w:szCs w:val="20"/>
              </w:rPr>
              <w:t xml:space="preserve">The </w:t>
            </w:r>
            <w:r w:rsidR="00776E47">
              <w:rPr>
                <w:rFonts w:ascii="Times New Roman" w:hAnsi="Times New Roman" w:cs="Times New Roman"/>
                <w:b w:val="0"/>
                <w:szCs w:val="20"/>
              </w:rPr>
              <w:t>HITPC</w:t>
            </w:r>
            <w:r w:rsidRPr="004834FB">
              <w:rPr>
                <w:rFonts w:ascii="Times New Roman" w:hAnsi="Times New Roman" w:cs="Times New Roman"/>
                <w:b w:val="0"/>
                <w:szCs w:val="20"/>
              </w:rPr>
              <w:t xml:space="preserve"> recommends that the following be considered in governance of the nationwide health information network:</w:t>
            </w:r>
          </w:p>
          <w:p w:rsidR="00CE6FBB" w:rsidRPr="004834FB" w:rsidRDefault="001746EA" w:rsidP="006F4BDD">
            <w:pPr>
              <w:numPr>
                <w:ilvl w:val="0"/>
                <w:numId w:val="9"/>
              </w:numPr>
              <w:spacing w:after="60"/>
              <w:rPr>
                <w:rFonts w:ascii="Times New Roman" w:hAnsi="Times New Roman" w:cs="Times New Roman"/>
                <w:b w:val="0"/>
                <w:szCs w:val="20"/>
              </w:rPr>
            </w:pPr>
            <w:r w:rsidRPr="004834FB">
              <w:rPr>
                <w:rFonts w:ascii="Times New Roman" w:hAnsi="Times New Roman" w:cs="Times New Roman"/>
                <w:b w:val="0"/>
                <w:szCs w:val="20"/>
              </w:rPr>
              <w:t>A process should be created to settle matters or grievances that cannot be settled (for whatever reason) by NVEs or those entities that certify and/or accredit them. Stakeholders in this case may have an important role to play in dispute resolution.</w:t>
            </w:r>
          </w:p>
          <w:p w:rsidR="00CE6FBB" w:rsidRPr="004834FB" w:rsidRDefault="001746EA" w:rsidP="006F4BDD">
            <w:pPr>
              <w:numPr>
                <w:ilvl w:val="0"/>
                <w:numId w:val="9"/>
              </w:numPr>
              <w:spacing w:after="60"/>
              <w:rPr>
                <w:rFonts w:ascii="Times New Roman" w:hAnsi="Times New Roman" w:cs="Times New Roman"/>
                <w:b w:val="0"/>
                <w:szCs w:val="20"/>
              </w:rPr>
            </w:pPr>
            <w:r w:rsidRPr="004834FB">
              <w:rPr>
                <w:rFonts w:ascii="Times New Roman" w:hAnsi="Times New Roman" w:cs="Times New Roman"/>
                <w:b w:val="0"/>
                <w:szCs w:val="20"/>
              </w:rPr>
              <w:t>Stakeholders should play a role in reviewing, updating, creating new and retiring old CTEs</w:t>
            </w:r>
          </w:p>
          <w:p w:rsidR="00CE6FBB" w:rsidRPr="004834FB" w:rsidRDefault="001746EA" w:rsidP="006F4BDD">
            <w:pPr>
              <w:numPr>
                <w:ilvl w:val="0"/>
                <w:numId w:val="9"/>
              </w:numPr>
              <w:spacing w:after="60"/>
              <w:rPr>
                <w:rFonts w:ascii="Times New Roman" w:hAnsi="Times New Roman" w:cs="Times New Roman"/>
                <w:b w:val="0"/>
                <w:szCs w:val="20"/>
              </w:rPr>
            </w:pPr>
            <w:r w:rsidRPr="004834FB">
              <w:rPr>
                <w:rFonts w:ascii="Times New Roman" w:hAnsi="Times New Roman" w:cs="Times New Roman"/>
                <w:b w:val="0"/>
                <w:szCs w:val="20"/>
              </w:rPr>
              <w:t>The majority of nationwide health information network governance representatives should have experience managing, operating or governing HIE activities or initiatives to ensure there gov</w:t>
            </w:r>
            <w:r w:rsidR="008E6C9A">
              <w:rPr>
                <w:rFonts w:ascii="Times New Roman" w:hAnsi="Times New Roman" w:cs="Times New Roman"/>
                <w:b w:val="0"/>
                <w:szCs w:val="20"/>
              </w:rPr>
              <w:t>ernance processes are overseen</w:t>
            </w:r>
            <w:r w:rsidRPr="004834FB">
              <w:rPr>
                <w:rFonts w:ascii="Times New Roman" w:hAnsi="Times New Roman" w:cs="Times New Roman"/>
                <w:b w:val="0"/>
                <w:szCs w:val="20"/>
              </w:rPr>
              <w:t xml:space="preserve"> by individuals/entities with adequate and directly relevant experience.</w:t>
            </w:r>
          </w:p>
          <w:p w:rsidR="00CE6FBB" w:rsidRPr="004834FB" w:rsidRDefault="001746EA" w:rsidP="006F4BDD">
            <w:pPr>
              <w:numPr>
                <w:ilvl w:val="0"/>
                <w:numId w:val="9"/>
              </w:numPr>
              <w:spacing w:after="60"/>
              <w:rPr>
                <w:rFonts w:ascii="Times New Roman" w:hAnsi="Times New Roman" w:cs="Times New Roman"/>
                <w:b w:val="0"/>
                <w:szCs w:val="20"/>
              </w:rPr>
            </w:pPr>
            <w:r w:rsidRPr="004834FB">
              <w:rPr>
                <w:rFonts w:ascii="Times New Roman" w:hAnsi="Times New Roman" w:cs="Times New Roman"/>
                <w:b w:val="0"/>
                <w:szCs w:val="20"/>
              </w:rPr>
              <w:t xml:space="preserve">Consumers have a very important perspective that needs to be considered and included in governance, but stakeholder engagement needs to be broader and include others. </w:t>
            </w:r>
          </w:p>
          <w:p w:rsidR="00665779" w:rsidRPr="00665779" w:rsidRDefault="00665779" w:rsidP="00BE0A5A">
            <w:pPr>
              <w:spacing w:after="60"/>
              <w:rPr>
                <w:rFonts w:ascii="Times New Roman" w:hAnsi="Times New Roman" w:cs="Times New Roman"/>
                <w:b w:val="0"/>
                <w:i/>
              </w:rPr>
            </w:pPr>
            <w:r>
              <w:rPr>
                <w:rFonts w:ascii="Times New Roman" w:hAnsi="Times New Roman" w:cs="Times New Roman"/>
                <w:b w:val="0"/>
                <w:i/>
              </w:rPr>
              <w:t>The HITPC recommends that the Accrediting</w:t>
            </w:r>
            <w:r w:rsidR="00F477EA">
              <w:rPr>
                <w:rFonts w:ascii="Times New Roman" w:hAnsi="Times New Roman" w:cs="Times New Roman"/>
                <w:b w:val="0"/>
                <w:i/>
              </w:rPr>
              <w:t xml:space="preserve"> Body, the Validation Bodies, and NVEs</w:t>
            </w:r>
            <w:r>
              <w:rPr>
                <w:rFonts w:ascii="Times New Roman" w:hAnsi="Times New Roman" w:cs="Times New Roman"/>
                <w:b w:val="0"/>
                <w:i/>
              </w:rPr>
              <w:t xml:space="preserve"> be encourage</w:t>
            </w:r>
            <w:r w:rsidR="00364D2B">
              <w:rPr>
                <w:rFonts w:ascii="Times New Roman" w:hAnsi="Times New Roman" w:cs="Times New Roman"/>
                <w:b w:val="0"/>
                <w:i/>
              </w:rPr>
              <w:t>d</w:t>
            </w:r>
            <w:r>
              <w:rPr>
                <w:rFonts w:ascii="Times New Roman" w:hAnsi="Times New Roman" w:cs="Times New Roman"/>
                <w:b w:val="0"/>
                <w:i/>
              </w:rPr>
              <w:t xml:space="preserve"> to have consumers represented in their own </w:t>
            </w:r>
            <w:r w:rsidR="00864FA7">
              <w:rPr>
                <w:rFonts w:ascii="Times New Roman" w:hAnsi="Times New Roman" w:cs="Times New Roman"/>
                <w:b w:val="0"/>
                <w:i/>
              </w:rPr>
              <w:t>governance</w:t>
            </w:r>
            <w:proofErr w:type="gramStart"/>
            <w:r w:rsidR="00864FA7">
              <w:rPr>
                <w:rFonts w:ascii="Times New Roman" w:hAnsi="Times New Roman" w:cs="Times New Roman"/>
                <w:b w:val="0"/>
                <w:i/>
              </w:rPr>
              <w:t>.</w:t>
            </w:r>
            <w:r>
              <w:rPr>
                <w:rFonts w:ascii="Times New Roman" w:hAnsi="Times New Roman" w:cs="Times New Roman"/>
                <w:b w:val="0"/>
                <w:i/>
              </w:rPr>
              <w:t>.</w:t>
            </w:r>
            <w:proofErr w:type="gramEnd"/>
            <w:r>
              <w:rPr>
                <w:rFonts w:ascii="Times New Roman" w:hAnsi="Times New Roman" w:cs="Times New Roman"/>
                <w:b w:val="0"/>
                <w:i/>
              </w:rPr>
              <w:t xml:space="preserve"> </w:t>
            </w:r>
          </w:p>
          <w:p w:rsidR="002F1C25" w:rsidRPr="00A36FD5" w:rsidRDefault="002F1C25" w:rsidP="00665779">
            <w:pPr>
              <w:spacing w:after="60"/>
              <w:rPr>
                <w:rFonts w:ascii="Times New Roman" w:hAnsi="Times New Roman" w:cs="Times New Roman"/>
                <w:b w:val="0"/>
                <w:sz w:val="20"/>
                <w:szCs w:val="20"/>
              </w:rPr>
            </w:pPr>
          </w:p>
        </w:tc>
      </w:tr>
    </w:tbl>
    <w:p w:rsidR="001D6DE1" w:rsidRPr="00A36FD5" w:rsidRDefault="001D6DE1">
      <w:pPr>
        <w:rPr>
          <w:b/>
        </w:rPr>
      </w:pPr>
    </w:p>
    <w:tbl>
      <w:tblPr>
        <w:tblStyle w:val="MediumShading1-Accent11"/>
        <w:tblW w:w="5000" w:type="pct"/>
        <w:tblBorders>
          <w:insideV w:val="single" w:sz="8" w:space="0" w:color="7BA0CD" w:themeColor="accent1" w:themeTint="BF"/>
        </w:tblBorders>
        <w:tblLook w:val="04A0"/>
      </w:tblPr>
      <w:tblGrid>
        <w:gridCol w:w="14616"/>
      </w:tblGrid>
      <w:tr w:rsidR="005E48D6" w:rsidRPr="002E56FA">
        <w:trPr>
          <w:cnfStyle w:val="100000000000"/>
          <w:trHeight w:val="296"/>
          <w:tblHeader/>
        </w:trPr>
        <w:tc>
          <w:tcPr>
            <w:cnfStyle w:val="001000000000"/>
            <w:tcW w:w="5000" w:type="pct"/>
            <w:tcBorders>
              <w:top w:val="none" w:sz="0" w:space="0" w:color="auto"/>
              <w:left w:val="none" w:sz="0" w:space="0" w:color="auto"/>
              <w:bottom w:val="none" w:sz="0" w:space="0" w:color="auto"/>
              <w:right w:val="none" w:sz="0" w:space="0" w:color="auto"/>
            </w:tcBorders>
          </w:tcPr>
          <w:p w:rsidR="005E48D6" w:rsidRPr="002E56FA" w:rsidRDefault="003752AE" w:rsidP="00BE0A5A">
            <w:r w:rsidRPr="003752AE">
              <w:rPr>
                <w:rFonts w:ascii="Times New Roman" w:hAnsi="Times New Roman"/>
                <w:sz w:val="24"/>
                <w:szCs w:val="24"/>
              </w:rPr>
              <w:t>Monitoring and Transparent Oversight</w:t>
            </w:r>
          </w:p>
        </w:tc>
      </w:tr>
      <w:tr w:rsidR="005429B7" w:rsidRPr="00A36FD5">
        <w:trPr>
          <w:cnfStyle w:val="000000100000"/>
          <w:trHeight w:val="439"/>
        </w:trPr>
        <w:tc>
          <w:tcPr>
            <w:cnfStyle w:val="001000000000"/>
            <w:tcW w:w="5000" w:type="pct"/>
            <w:shd w:val="clear" w:color="auto" w:fill="DBE5F1" w:themeFill="accent1" w:themeFillTint="33"/>
          </w:tcPr>
          <w:p w:rsidR="005429B7" w:rsidRDefault="00FE202F" w:rsidP="005429B7">
            <w:pPr>
              <w:ind w:left="90"/>
              <w:rPr>
                <w:rFonts w:ascii="Times New Roman" w:hAnsi="Times New Roman"/>
                <w:sz w:val="24"/>
                <w:szCs w:val="24"/>
                <w:u w:val="single"/>
              </w:rPr>
            </w:pPr>
            <w:r w:rsidRPr="00C13352">
              <w:rPr>
                <w:rFonts w:ascii="Times New Roman" w:hAnsi="Times New Roman"/>
                <w:sz w:val="24"/>
                <w:szCs w:val="24"/>
                <w:u w:val="single"/>
              </w:rPr>
              <w:t>Question 1</w:t>
            </w:r>
            <w:r>
              <w:rPr>
                <w:rFonts w:ascii="Times New Roman" w:hAnsi="Times New Roman"/>
                <w:sz w:val="24"/>
                <w:szCs w:val="24"/>
                <w:u w:val="single"/>
              </w:rPr>
              <w:t>8</w:t>
            </w:r>
            <w:r w:rsidRPr="00C13352">
              <w:rPr>
                <w:rFonts w:ascii="Times New Roman" w:hAnsi="Times New Roman"/>
                <w:sz w:val="24"/>
                <w:szCs w:val="24"/>
                <w:u w:val="single"/>
              </w:rPr>
              <w:t>:</w:t>
            </w:r>
            <w:r w:rsidRPr="00C13352">
              <w:rPr>
                <w:rFonts w:ascii="Times New Roman" w:hAnsi="Times New Roman"/>
                <w:sz w:val="24"/>
                <w:szCs w:val="24"/>
              </w:rPr>
              <w:t xml:space="preserve">   </w:t>
            </w:r>
            <w:r w:rsidRPr="003752AE">
              <w:rPr>
                <w:rFonts w:ascii="Times New Roman" w:hAnsi="Times New Roman"/>
                <w:sz w:val="24"/>
                <w:szCs w:val="24"/>
              </w:rPr>
              <w:t xml:space="preserve">What </w:t>
            </w:r>
            <w:proofErr w:type="gramStart"/>
            <w:r w:rsidRPr="003752AE">
              <w:rPr>
                <w:rFonts w:ascii="Times New Roman" w:hAnsi="Times New Roman"/>
                <w:sz w:val="24"/>
                <w:szCs w:val="24"/>
              </w:rPr>
              <w:t>are</w:t>
            </w:r>
            <w:proofErr w:type="gramEnd"/>
            <w:r w:rsidRPr="003752AE">
              <w:rPr>
                <w:rFonts w:ascii="Times New Roman" w:hAnsi="Times New Roman"/>
                <w:sz w:val="24"/>
                <w:szCs w:val="24"/>
              </w:rPr>
              <w:t xml:space="preserve"> the most appropriate monitoring and oversight methods to include as part of the governance mechanism for the nationwide health information network?  Why?</w:t>
            </w:r>
          </w:p>
          <w:p w:rsidR="00FE202F" w:rsidRPr="00A36FD5" w:rsidRDefault="00FE202F" w:rsidP="005429B7">
            <w:pPr>
              <w:ind w:left="90"/>
              <w:rPr>
                <w:b w:val="0"/>
                <w:bCs w:val="0"/>
                <w:sz w:val="20"/>
                <w:szCs w:val="20"/>
              </w:rPr>
            </w:pPr>
          </w:p>
        </w:tc>
      </w:tr>
      <w:tr w:rsidR="00C64387" w:rsidRPr="00A36FD5">
        <w:trPr>
          <w:cnfStyle w:val="000000010000"/>
          <w:trHeight w:val="610"/>
        </w:trPr>
        <w:tc>
          <w:tcPr>
            <w:cnfStyle w:val="001000000000"/>
            <w:tcW w:w="5000" w:type="pct"/>
            <w:shd w:val="clear" w:color="auto" w:fill="DBE5F1" w:themeFill="accent1" w:themeFillTint="33"/>
          </w:tcPr>
          <w:p w:rsidR="00C64387" w:rsidRPr="00A36FD5" w:rsidRDefault="00FE202F" w:rsidP="00C64387">
            <w:pPr>
              <w:spacing w:after="60"/>
              <w:ind w:left="90"/>
              <w:rPr>
                <w:sz w:val="20"/>
                <w:szCs w:val="20"/>
              </w:rPr>
            </w:pPr>
            <w:r>
              <w:rPr>
                <w:rFonts w:ascii="Times New Roman" w:hAnsi="Times New Roman"/>
                <w:sz w:val="24"/>
                <w:szCs w:val="24"/>
                <w:u w:val="single"/>
              </w:rPr>
              <w:t>Question Context:</w:t>
            </w:r>
          </w:p>
        </w:tc>
      </w:tr>
      <w:tr w:rsidR="005429B7" w:rsidRPr="00A36FD5">
        <w:trPr>
          <w:cnfStyle w:val="000000100000"/>
          <w:trHeight w:val="890"/>
        </w:trPr>
        <w:tc>
          <w:tcPr>
            <w:cnfStyle w:val="001000000000"/>
            <w:tcW w:w="5000" w:type="pct"/>
            <w:shd w:val="clear" w:color="auto" w:fill="FFFFFF" w:themeFill="background1"/>
          </w:tcPr>
          <w:p w:rsidR="005429B7" w:rsidRPr="00A946D8" w:rsidRDefault="00DD6510" w:rsidP="00A946D8">
            <w:pPr>
              <w:rPr>
                <w:rFonts w:ascii="Times New Roman" w:hAnsi="Times New Roman" w:cs="Times New Roman"/>
              </w:rPr>
            </w:pPr>
            <w:r w:rsidRPr="00483BFA">
              <w:rPr>
                <w:rFonts w:ascii="Times New Roman" w:hAnsi="Times New Roman" w:cs="Times New Roman"/>
                <w:b w:val="0"/>
              </w:rPr>
              <w:t>Appropriate monitoring and enf</w:t>
            </w:r>
            <w:r w:rsidR="001312A0">
              <w:rPr>
                <w:rFonts w:ascii="Times New Roman" w:hAnsi="Times New Roman" w:cs="Times New Roman"/>
                <w:b w:val="0"/>
              </w:rPr>
              <w:t xml:space="preserve">orcement methods would rest on </w:t>
            </w:r>
            <w:r w:rsidRPr="00483BFA">
              <w:rPr>
                <w:rFonts w:ascii="Times New Roman" w:hAnsi="Times New Roman" w:cs="Times New Roman"/>
                <w:b w:val="0"/>
              </w:rPr>
              <w:t>“robust validation” (accreditation and certification) in addition to the duties of regulating agencies such as OCR and FTC.   Accreditation could include monitoring of self-attestation</w:t>
            </w:r>
            <w:r w:rsidR="001312A0">
              <w:rPr>
                <w:rFonts w:ascii="Times New Roman" w:hAnsi="Times New Roman" w:cs="Times New Roman"/>
                <w:b w:val="0"/>
              </w:rPr>
              <w:t>.  T</w:t>
            </w:r>
            <w:r w:rsidR="001312A0" w:rsidRPr="001312A0">
              <w:rPr>
                <w:rFonts w:ascii="Times New Roman" w:hAnsi="Times New Roman" w:cs="Times New Roman"/>
                <w:b w:val="0"/>
              </w:rPr>
              <w:t xml:space="preserve">he self-attestation processes should be spelled out in the rule.  </w:t>
            </w:r>
            <w:r w:rsidR="00843261" w:rsidRPr="00483BFA">
              <w:rPr>
                <w:rFonts w:ascii="Times New Roman" w:hAnsi="Times New Roman" w:cs="Times New Roman"/>
                <w:b w:val="0"/>
              </w:rPr>
              <w:t>If accreditation by another body, such as the Join</w:t>
            </w:r>
            <w:r w:rsidRPr="00483BFA">
              <w:rPr>
                <w:rFonts w:ascii="Times New Roman" w:hAnsi="Times New Roman" w:cs="Times New Roman"/>
                <w:b w:val="0"/>
              </w:rPr>
              <w:t>t Commission</w:t>
            </w:r>
            <w:r w:rsidR="001312A0">
              <w:rPr>
                <w:rFonts w:ascii="Times New Roman" w:hAnsi="Times New Roman" w:cs="Times New Roman"/>
                <w:b w:val="0"/>
              </w:rPr>
              <w:t xml:space="preserve"> or EHNAC</w:t>
            </w:r>
            <w:r w:rsidR="00843261" w:rsidRPr="00483BFA">
              <w:rPr>
                <w:rFonts w:ascii="Times New Roman" w:hAnsi="Times New Roman" w:cs="Times New Roman"/>
                <w:b w:val="0"/>
              </w:rPr>
              <w:t>, is accepted, that body would have oversight of its own accreditation</w:t>
            </w:r>
            <w:r w:rsidRPr="00483BFA">
              <w:rPr>
                <w:rFonts w:ascii="Times New Roman" w:hAnsi="Times New Roman" w:cs="Times New Roman"/>
                <w:b w:val="0"/>
              </w:rPr>
              <w:t xml:space="preserve">.  ONC would retain overall oversight. </w:t>
            </w:r>
            <w:r w:rsidR="0004226E" w:rsidRPr="00483BFA">
              <w:rPr>
                <w:rFonts w:ascii="Times New Roman" w:hAnsi="Times New Roman" w:cs="Times New Roman"/>
                <w:b w:val="0"/>
              </w:rPr>
              <w:t xml:space="preserve">Because disputes may arise between NVEs, or between other exchange parties, or between an NVE and a validation body, dispute resolution mechanisms will be critical to ensure accountability.   The </w:t>
            </w:r>
            <w:r w:rsidR="00776E47">
              <w:rPr>
                <w:rFonts w:ascii="Times New Roman" w:hAnsi="Times New Roman" w:cs="Times New Roman"/>
                <w:b w:val="0"/>
              </w:rPr>
              <w:t>HITPC</w:t>
            </w:r>
            <w:r w:rsidR="00517DC8">
              <w:rPr>
                <w:rFonts w:ascii="Times New Roman" w:hAnsi="Times New Roman" w:cs="Times New Roman"/>
                <w:b w:val="0"/>
              </w:rPr>
              <w:t xml:space="preserve"> </w:t>
            </w:r>
            <w:r w:rsidR="0004226E" w:rsidRPr="00483BFA">
              <w:rPr>
                <w:rFonts w:ascii="Times New Roman" w:hAnsi="Times New Roman" w:cs="Times New Roman"/>
                <w:b w:val="0"/>
              </w:rPr>
              <w:t>recommends that such mechanisms be included in the governance rule, but did not take a position on how much granularity there should be.</w:t>
            </w:r>
            <w:r w:rsidR="0004226E" w:rsidRPr="00483BFA">
              <w:rPr>
                <w:rFonts w:ascii="Times New Roman" w:hAnsi="Times New Roman" w:cs="Times New Roman"/>
              </w:rPr>
              <w:t xml:space="preserve">  </w:t>
            </w:r>
            <w:r w:rsidR="0004226E" w:rsidRPr="00483BFA">
              <w:rPr>
                <w:rFonts w:ascii="Palatino Linotype" w:hAnsi="Palatino Linotype" w:cs="Arial"/>
              </w:rPr>
              <w:t xml:space="preserve">   </w:t>
            </w:r>
          </w:p>
        </w:tc>
      </w:tr>
    </w:tbl>
    <w:p w:rsidR="005429B7" w:rsidRDefault="005429B7">
      <w:pPr>
        <w:rPr>
          <w:b/>
        </w:rPr>
      </w:pPr>
    </w:p>
    <w:tbl>
      <w:tblPr>
        <w:tblStyle w:val="MediumShading1-Accent11"/>
        <w:tblW w:w="5000" w:type="pct"/>
        <w:tblLook w:val="04A0"/>
      </w:tblPr>
      <w:tblGrid>
        <w:gridCol w:w="14616"/>
      </w:tblGrid>
      <w:tr w:rsidR="005F57F2" w:rsidRPr="002E56FA">
        <w:trPr>
          <w:cnfStyle w:val="100000000000"/>
          <w:trHeight w:val="296"/>
          <w:tblHeader/>
        </w:trPr>
        <w:tc>
          <w:tcPr>
            <w:cnfStyle w:val="001000000000"/>
            <w:tcW w:w="5000" w:type="pct"/>
          </w:tcPr>
          <w:p w:rsidR="005F57F2" w:rsidRPr="002E56FA" w:rsidRDefault="003752AE" w:rsidP="005F57F2">
            <w:r w:rsidRPr="003752AE">
              <w:rPr>
                <w:rFonts w:ascii="Times New Roman" w:hAnsi="Times New Roman"/>
                <w:sz w:val="24"/>
                <w:szCs w:val="24"/>
              </w:rPr>
              <w:t>Monitoring and Transparent Oversight</w:t>
            </w:r>
          </w:p>
        </w:tc>
      </w:tr>
      <w:tr w:rsidR="006D7B52" w:rsidRPr="00A36FD5">
        <w:trPr>
          <w:cnfStyle w:val="000000100000"/>
          <w:trHeight w:val="439"/>
        </w:trPr>
        <w:tc>
          <w:tcPr>
            <w:cnfStyle w:val="001000000000"/>
            <w:tcW w:w="5000" w:type="pct"/>
            <w:shd w:val="clear" w:color="auto" w:fill="DBE5F1" w:themeFill="accent1" w:themeFillTint="33"/>
          </w:tcPr>
          <w:p w:rsidR="006D7B52" w:rsidRDefault="00FE202F" w:rsidP="00FE202F">
            <w:pPr>
              <w:ind w:left="90"/>
              <w:rPr>
                <w:rFonts w:ascii="Times New Roman" w:hAnsi="Times New Roman"/>
                <w:sz w:val="24"/>
                <w:szCs w:val="24"/>
                <w:u w:val="single"/>
              </w:rPr>
            </w:pPr>
            <w:r w:rsidRPr="00C13352">
              <w:rPr>
                <w:rFonts w:ascii="Times New Roman" w:hAnsi="Times New Roman"/>
                <w:sz w:val="24"/>
                <w:szCs w:val="24"/>
                <w:u w:val="single"/>
              </w:rPr>
              <w:t>Question 1</w:t>
            </w:r>
            <w:r>
              <w:rPr>
                <w:rFonts w:ascii="Times New Roman" w:hAnsi="Times New Roman"/>
                <w:sz w:val="24"/>
                <w:szCs w:val="24"/>
                <w:u w:val="single"/>
              </w:rPr>
              <w:t>9</w:t>
            </w:r>
            <w:r w:rsidRPr="00C13352">
              <w:rPr>
                <w:rFonts w:ascii="Times New Roman" w:hAnsi="Times New Roman"/>
                <w:sz w:val="24"/>
                <w:szCs w:val="24"/>
                <w:u w:val="single"/>
              </w:rPr>
              <w:t>:</w:t>
            </w:r>
            <w:r w:rsidRPr="00C13352">
              <w:rPr>
                <w:rFonts w:ascii="Times New Roman" w:hAnsi="Times New Roman"/>
                <w:sz w:val="24"/>
                <w:szCs w:val="24"/>
              </w:rPr>
              <w:t xml:space="preserve">   </w:t>
            </w:r>
            <w:r w:rsidRPr="003752AE">
              <w:rPr>
                <w:rFonts w:ascii="Times New Roman" w:hAnsi="Times New Roman"/>
                <w:sz w:val="24"/>
                <w:szCs w:val="24"/>
              </w:rPr>
              <w:t>What other approaches might ONC consider for addressing violations of compliance with CTEs?</w:t>
            </w:r>
          </w:p>
          <w:p w:rsidR="00FE202F" w:rsidRPr="00A36FD5" w:rsidRDefault="00FE202F" w:rsidP="00FE202F">
            <w:pPr>
              <w:ind w:left="90"/>
              <w:rPr>
                <w:b w:val="0"/>
                <w:bCs w:val="0"/>
                <w:sz w:val="20"/>
                <w:szCs w:val="20"/>
              </w:rPr>
            </w:pPr>
          </w:p>
        </w:tc>
      </w:tr>
      <w:tr w:rsidR="005F57F2" w:rsidRPr="00A36FD5">
        <w:trPr>
          <w:cnfStyle w:val="000000010000"/>
          <w:trHeight w:val="655"/>
        </w:trPr>
        <w:tc>
          <w:tcPr>
            <w:cnfStyle w:val="001000000000"/>
            <w:tcW w:w="5000" w:type="pct"/>
            <w:tcBorders>
              <w:bottom w:val="single" w:sz="8" w:space="0" w:color="7BA0CD" w:themeColor="accent1" w:themeTint="BF"/>
            </w:tcBorders>
            <w:shd w:val="clear" w:color="auto" w:fill="DBE5F1" w:themeFill="accent1" w:themeFillTint="33"/>
          </w:tcPr>
          <w:p w:rsidR="005F57F2" w:rsidRPr="00E92CB7" w:rsidRDefault="00FE202F" w:rsidP="005F57F2">
            <w:pPr>
              <w:spacing w:after="60"/>
              <w:ind w:left="90"/>
              <w:rPr>
                <w:sz w:val="20"/>
                <w:szCs w:val="20"/>
              </w:rPr>
            </w:pPr>
            <w:r w:rsidRPr="00E92CB7">
              <w:rPr>
                <w:rFonts w:ascii="Times New Roman" w:hAnsi="Times New Roman"/>
                <w:sz w:val="24"/>
                <w:szCs w:val="24"/>
                <w:u w:val="single"/>
              </w:rPr>
              <w:t>Question Context:</w:t>
            </w:r>
          </w:p>
        </w:tc>
      </w:tr>
      <w:tr w:rsidR="005429B7" w:rsidRPr="00A36FD5">
        <w:trPr>
          <w:cnfStyle w:val="000000100000"/>
          <w:trHeight w:val="890"/>
        </w:trPr>
        <w:tc>
          <w:tcPr>
            <w:cnfStyle w:val="001000000000"/>
            <w:tcW w:w="5000" w:type="pct"/>
            <w:shd w:val="clear" w:color="auto" w:fill="FFFFFF" w:themeFill="background1"/>
          </w:tcPr>
          <w:p w:rsidR="00BB16C1" w:rsidRPr="00E92CB7" w:rsidRDefault="00BB16C1" w:rsidP="00BB16C1">
            <w:pPr>
              <w:rPr>
                <w:rFonts w:ascii="Times New Roman" w:hAnsi="Times New Roman" w:cs="Times New Roman"/>
              </w:rPr>
            </w:pPr>
            <w:r w:rsidRPr="00E92CB7">
              <w:rPr>
                <w:rFonts w:ascii="Times New Roman" w:hAnsi="Times New Roman" w:cs="Times New Roman"/>
                <w:b w:val="0"/>
              </w:rPr>
              <w:t xml:space="preserve">The validation bodies could have powers to impose remediation. There would need to be a process for (1) filing a validation complaint, (2) adjudicating that complaint, (3) a time period for the entity to respond to the proposed remediation, (4) a process to appeal the remediation.  The ultimate ‘remediation’ would be to remove an NVE’s accreditation status, so there would need to be (5) a process to remove the NVE status from the entity if necessary.  OCR and FTC would have authority in their domains.  </w:t>
            </w:r>
            <w:r w:rsidR="009B0039">
              <w:rPr>
                <w:rFonts w:ascii="Times New Roman" w:hAnsi="Times New Roman" w:cs="Times New Roman"/>
                <w:b w:val="0"/>
              </w:rPr>
              <w:t>ONC should c</w:t>
            </w:r>
            <w:r w:rsidRPr="00E92CB7">
              <w:rPr>
                <w:rFonts w:ascii="Times New Roman" w:hAnsi="Times New Roman" w:cs="Times New Roman"/>
                <w:b w:val="0"/>
              </w:rPr>
              <w:t>onsider examples from other sectors, such as finance.</w:t>
            </w:r>
            <w:r w:rsidRPr="00E92CB7">
              <w:rPr>
                <w:rFonts w:ascii="Times New Roman" w:hAnsi="Times New Roman" w:cs="Times New Roman"/>
              </w:rPr>
              <w:t xml:space="preserve"> </w:t>
            </w:r>
          </w:p>
          <w:p w:rsidR="0055423E" w:rsidRPr="00E92CB7" w:rsidRDefault="0055423E" w:rsidP="00717F30">
            <w:pPr>
              <w:spacing w:after="60"/>
              <w:rPr>
                <w:rFonts w:ascii="Times New Roman" w:hAnsi="Times New Roman" w:cs="Times New Roman"/>
                <w:b w:val="0"/>
                <w:sz w:val="20"/>
                <w:szCs w:val="20"/>
              </w:rPr>
            </w:pPr>
          </w:p>
        </w:tc>
      </w:tr>
    </w:tbl>
    <w:p w:rsidR="002E56FA" w:rsidRDefault="002E56FA"/>
    <w:tbl>
      <w:tblPr>
        <w:tblStyle w:val="MediumShading1-Accent11"/>
        <w:tblpPr w:leftFromText="187" w:rightFromText="187" w:vertAnchor="text" w:horzAnchor="margin" w:tblpXSpec="center" w:tblpY="-114"/>
        <w:tblOverlap w:val="never"/>
        <w:tblW w:w="4994" w:type="pct"/>
        <w:tblLook w:val="04A0"/>
      </w:tblPr>
      <w:tblGrid>
        <w:gridCol w:w="14598"/>
      </w:tblGrid>
      <w:tr w:rsidR="0043057F" w:rsidRPr="00FF0E7A">
        <w:trPr>
          <w:cnfStyle w:val="100000000000"/>
          <w:trHeight w:val="288"/>
          <w:tblHeader/>
        </w:trPr>
        <w:tc>
          <w:tcPr>
            <w:cnfStyle w:val="001000000000"/>
            <w:tcW w:w="5000" w:type="pct"/>
          </w:tcPr>
          <w:p w:rsidR="0043057F" w:rsidRPr="00FF0E7A" w:rsidRDefault="003752AE" w:rsidP="004F23A3">
            <w:r w:rsidRPr="003752AE">
              <w:rPr>
                <w:rFonts w:ascii="Times New Roman" w:hAnsi="Times New Roman"/>
                <w:sz w:val="24"/>
                <w:szCs w:val="24"/>
              </w:rPr>
              <w:t>Monitoring and Transparent Oversight</w:t>
            </w:r>
          </w:p>
        </w:tc>
      </w:tr>
      <w:tr w:rsidR="0043057F" w:rsidRPr="00FF0E7A">
        <w:trPr>
          <w:cnfStyle w:val="000000100000"/>
          <w:trHeight w:val="812"/>
        </w:trPr>
        <w:tc>
          <w:tcPr>
            <w:cnfStyle w:val="001000000000"/>
            <w:tcW w:w="5000" w:type="pct"/>
            <w:shd w:val="clear" w:color="auto" w:fill="DBE5F1" w:themeFill="accent1" w:themeFillTint="33"/>
          </w:tcPr>
          <w:p w:rsidR="0043057F" w:rsidRDefault="00FE202F" w:rsidP="003752AE">
            <w:pPr>
              <w:rPr>
                <w:rFonts w:ascii="Times New Roman" w:hAnsi="Times New Roman"/>
                <w:sz w:val="24"/>
                <w:szCs w:val="24"/>
                <w:u w:val="single"/>
              </w:rPr>
            </w:pPr>
            <w:r w:rsidRPr="00C13352">
              <w:rPr>
                <w:rFonts w:ascii="Times New Roman" w:hAnsi="Times New Roman"/>
                <w:sz w:val="24"/>
                <w:szCs w:val="24"/>
                <w:u w:val="single"/>
              </w:rPr>
              <w:t xml:space="preserve">Question </w:t>
            </w:r>
            <w:r>
              <w:rPr>
                <w:rFonts w:ascii="Times New Roman" w:hAnsi="Times New Roman"/>
                <w:sz w:val="24"/>
                <w:szCs w:val="24"/>
                <w:u w:val="single"/>
              </w:rPr>
              <w:t>20</w:t>
            </w:r>
            <w:r w:rsidRPr="00C13352">
              <w:rPr>
                <w:rFonts w:ascii="Times New Roman" w:hAnsi="Times New Roman"/>
                <w:sz w:val="24"/>
                <w:szCs w:val="24"/>
                <w:u w:val="single"/>
              </w:rPr>
              <w:t>:</w:t>
            </w:r>
            <w:r w:rsidRPr="00C13352">
              <w:rPr>
                <w:rFonts w:ascii="Times New Roman" w:hAnsi="Times New Roman"/>
                <w:sz w:val="24"/>
                <w:szCs w:val="24"/>
              </w:rPr>
              <w:t xml:space="preserve">   </w:t>
            </w:r>
            <w:r w:rsidRPr="003752AE">
              <w:rPr>
                <w:rFonts w:ascii="Times New Roman" w:hAnsi="Times New Roman"/>
                <w:sz w:val="24"/>
                <w:szCs w:val="24"/>
              </w:rPr>
              <w:t>What limits, if any, would need to be in place in order to ensure that services and/or activities performed by NVEs for which no validation is available are not misrepresented as being part of an NVE’s validation?  Should NVEs be required to make some type of public disclosure or associate some type of labeling with the validated services or activities they support?</w:t>
            </w:r>
          </w:p>
          <w:p w:rsidR="00FE202F" w:rsidRPr="00FF0E7A" w:rsidRDefault="00FE202F" w:rsidP="004F23A3">
            <w:pPr>
              <w:ind w:left="90"/>
              <w:rPr>
                <w:b w:val="0"/>
                <w:bCs w:val="0"/>
                <w:sz w:val="20"/>
                <w:szCs w:val="20"/>
              </w:rPr>
            </w:pPr>
          </w:p>
        </w:tc>
      </w:tr>
      <w:tr w:rsidR="0043057F" w:rsidRPr="00FF0E7A">
        <w:trPr>
          <w:cnfStyle w:val="000000010000"/>
          <w:trHeight w:val="531"/>
        </w:trPr>
        <w:tc>
          <w:tcPr>
            <w:cnfStyle w:val="001000000000"/>
            <w:tcW w:w="5000" w:type="pct"/>
            <w:tcBorders>
              <w:bottom w:val="single" w:sz="8" w:space="0" w:color="7BA0CD" w:themeColor="accent1" w:themeTint="BF"/>
            </w:tcBorders>
            <w:shd w:val="clear" w:color="auto" w:fill="DBE5F1" w:themeFill="accent1" w:themeFillTint="33"/>
          </w:tcPr>
          <w:p w:rsidR="0043057F" w:rsidRPr="00FF0E7A" w:rsidRDefault="00FE202F" w:rsidP="00FE202F">
            <w:pPr>
              <w:tabs>
                <w:tab w:val="left" w:pos="378"/>
              </w:tabs>
              <w:rPr>
                <w:b w:val="0"/>
                <w:sz w:val="20"/>
                <w:szCs w:val="20"/>
              </w:rPr>
            </w:pPr>
            <w:r>
              <w:rPr>
                <w:rFonts w:ascii="Times New Roman" w:hAnsi="Times New Roman"/>
                <w:sz w:val="24"/>
                <w:szCs w:val="24"/>
                <w:u w:val="single"/>
              </w:rPr>
              <w:t>Question Context:</w:t>
            </w:r>
          </w:p>
        </w:tc>
      </w:tr>
      <w:tr w:rsidR="0043057F" w:rsidRPr="00180CB6" w:rsidTr="00A946D8">
        <w:trPr>
          <w:cnfStyle w:val="000000100000"/>
          <w:trHeight w:val="1012"/>
        </w:trPr>
        <w:tc>
          <w:tcPr>
            <w:cnfStyle w:val="001000000000"/>
            <w:tcW w:w="5000" w:type="pct"/>
            <w:shd w:val="clear" w:color="auto" w:fill="FFFFFF" w:themeFill="background1"/>
          </w:tcPr>
          <w:p w:rsidR="00DD6510" w:rsidRPr="00180CB6" w:rsidRDefault="00DD6510" w:rsidP="002D1BBC">
            <w:pPr>
              <w:rPr>
                <w:rFonts w:ascii="Times New Roman" w:hAnsi="Times New Roman" w:cs="Times New Roman"/>
              </w:rPr>
            </w:pPr>
            <w:r w:rsidRPr="00180CB6">
              <w:rPr>
                <w:rFonts w:ascii="Times New Roman" w:hAnsi="Times New Roman" w:cs="Times New Roman"/>
                <w:b w:val="0"/>
              </w:rPr>
              <w:t>The validation “sticker” (in whatever form) should clearly but simply indicate what the entity is validated for, possibly stated as a functional capacity rather than more granular elements (which could be incorporated into the validation criteria).  NVEs should be required to clearly and publicly display their validation status, perhaps with expiration date prominently featured.</w:t>
            </w:r>
            <w:r w:rsidRPr="00180CB6">
              <w:rPr>
                <w:rFonts w:ascii="Times New Roman" w:hAnsi="Times New Roman" w:cs="Times New Roman"/>
              </w:rPr>
              <w:t xml:space="preserve">  </w:t>
            </w:r>
            <w:r w:rsidR="002C0537" w:rsidRPr="00180CB6">
              <w:rPr>
                <w:rFonts w:ascii="Times New Roman" w:hAnsi="Times New Roman" w:cs="Times New Roman"/>
              </w:rPr>
              <w:t xml:space="preserve">  </w:t>
            </w:r>
          </w:p>
        </w:tc>
      </w:tr>
    </w:tbl>
    <w:tbl>
      <w:tblPr>
        <w:tblStyle w:val="MediumShading1-Accent11"/>
        <w:tblpPr w:leftFromText="187" w:rightFromText="187" w:vertAnchor="text" w:horzAnchor="margin" w:tblpY="101"/>
        <w:tblOverlap w:val="never"/>
        <w:tblW w:w="4994" w:type="pct"/>
        <w:tblLook w:val="04A0"/>
      </w:tblPr>
      <w:tblGrid>
        <w:gridCol w:w="14598"/>
      </w:tblGrid>
      <w:tr w:rsidR="00A946D8" w:rsidRPr="00180CB6" w:rsidTr="00A946D8">
        <w:trPr>
          <w:cnfStyle w:val="100000000000"/>
          <w:trHeight w:val="288"/>
          <w:tblHeader/>
        </w:trPr>
        <w:tc>
          <w:tcPr>
            <w:cnfStyle w:val="001000000000"/>
            <w:tcW w:w="5000" w:type="pct"/>
          </w:tcPr>
          <w:p w:rsidR="00A946D8" w:rsidRPr="00180CB6" w:rsidRDefault="00A946D8" w:rsidP="00A946D8">
            <w:r w:rsidRPr="00180CB6">
              <w:rPr>
                <w:rFonts w:ascii="Times New Roman" w:hAnsi="Times New Roman"/>
                <w:sz w:val="24"/>
                <w:szCs w:val="24"/>
              </w:rPr>
              <w:t>Monitoring and Transparent Oversight</w:t>
            </w:r>
          </w:p>
        </w:tc>
      </w:tr>
      <w:tr w:rsidR="00A946D8" w:rsidRPr="00180CB6" w:rsidTr="00A946D8">
        <w:trPr>
          <w:cnfStyle w:val="000000100000"/>
          <w:trHeight w:val="570"/>
        </w:trPr>
        <w:tc>
          <w:tcPr>
            <w:cnfStyle w:val="001000000000"/>
            <w:tcW w:w="5000" w:type="pct"/>
            <w:shd w:val="clear" w:color="auto" w:fill="DBE5F1" w:themeFill="accent1" w:themeFillTint="33"/>
          </w:tcPr>
          <w:p w:rsidR="00A946D8" w:rsidRPr="00180CB6" w:rsidRDefault="00A946D8" w:rsidP="00A946D8">
            <w:pPr>
              <w:rPr>
                <w:rFonts w:ascii="Times New Roman" w:hAnsi="Times New Roman"/>
                <w:sz w:val="24"/>
                <w:szCs w:val="24"/>
                <w:u w:val="single"/>
              </w:rPr>
            </w:pPr>
            <w:r w:rsidRPr="00180CB6">
              <w:rPr>
                <w:rFonts w:ascii="Times New Roman" w:hAnsi="Times New Roman"/>
                <w:sz w:val="24"/>
                <w:szCs w:val="24"/>
                <w:u w:val="single"/>
              </w:rPr>
              <w:t>Question 21:</w:t>
            </w:r>
            <w:r w:rsidRPr="00180CB6">
              <w:rPr>
                <w:rFonts w:ascii="Times New Roman" w:hAnsi="Times New Roman"/>
                <w:sz w:val="24"/>
                <w:szCs w:val="24"/>
              </w:rPr>
              <w:t xml:space="preserve">   </w:t>
            </w:r>
            <w:r w:rsidRPr="00180CB6">
              <w:t xml:space="preserve"> </w:t>
            </w:r>
            <w:r w:rsidRPr="00180CB6">
              <w:rPr>
                <w:rFonts w:ascii="Times New Roman" w:hAnsi="Times New Roman"/>
                <w:sz w:val="24"/>
                <w:szCs w:val="24"/>
              </w:rPr>
              <w:t>How long should validation status be effective?</w:t>
            </w:r>
          </w:p>
          <w:p w:rsidR="00A946D8" w:rsidRPr="00180CB6" w:rsidRDefault="00A946D8" w:rsidP="00A946D8">
            <w:pPr>
              <w:rPr>
                <w:b w:val="0"/>
                <w:bCs w:val="0"/>
                <w:sz w:val="20"/>
                <w:szCs w:val="20"/>
              </w:rPr>
            </w:pPr>
          </w:p>
        </w:tc>
      </w:tr>
      <w:tr w:rsidR="00A946D8" w:rsidRPr="00180CB6" w:rsidTr="00A946D8">
        <w:trPr>
          <w:cnfStyle w:val="000000010000"/>
          <w:trHeight w:val="426"/>
        </w:trPr>
        <w:tc>
          <w:tcPr>
            <w:cnfStyle w:val="001000000000"/>
            <w:tcW w:w="5000" w:type="pct"/>
            <w:tcBorders>
              <w:bottom w:val="single" w:sz="8" w:space="0" w:color="7BA0CD" w:themeColor="accent1" w:themeTint="BF"/>
            </w:tcBorders>
            <w:shd w:val="clear" w:color="auto" w:fill="DBE5F1" w:themeFill="accent1" w:themeFillTint="33"/>
          </w:tcPr>
          <w:p w:rsidR="00A946D8" w:rsidRPr="00180CB6" w:rsidRDefault="00A946D8" w:rsidP="00A946D8">
            <w:pPr>
              <w:tabs>
                <w:tab w:val="left" w:pos="378"/>
              </w:tabs>
              <w:rPr>
                <w:b w:val="0"/>
                <w:sz w:val="20"/>
                <w:szCs w:val="20"/>
              </w:rPr>
            </w:pPr>
            <w:r w:rsidRPr="00180CB6">
              <w:rPr>
                <w:rFonts w:ascii="Times New Roman" w:hAnsi="Times New Roman"/>
                <w:sz w:val="24"/>
                <w:szCs w:val="24"/>
                <w:u w:val="single"/>
              </w:rPr>
              <w:t>Question Context:</w:t>
            </w:r>
          </w:p>
        </w:tc>
      </w:tr>
      <w:tr w:rsidR="00A946D8" w:rsidRPr="00FF0E7A" w:rsidTr="00A946D8">
        <w:trPr>
          <w:cnfStyle w:val="000000100000"/>
          <w:trHeight w:val="995"/>
        </w:trPr>
        <w:tc>
          <w:tcPr>
            <w:cnfStyle w:val="001000000000"/>
            <w:tcW w:w="5000" w:type="pct"/>
            <w:shd w:val="clear" w:color="auto" w:fill="FFFFFF" w:themeFill="background1"/>
          </w:tcPr>
          <w:p w:rsidR="00A946D8" w:rsidRPr="00DD6510" w:rsidRDefault="00A946D8" w:rsidP="00A946D8">
            <w:pPr>
              <w:rPr>
                <w:rFonts w:ascii="Times New Roman" w:hAnsi="Times New Roman" w:cs="Times New Roman"/>
              </w:rPr>
            </w:pPr>
            <w:r w:rsidRPr="00180CB6">
              <w:rPr>
                <w:rFonts w:ascii="Times New Roman" w:hAnsi="Times New Roman" w:cs="Times New Roman"/>
                <w:b w:val="0"/>
              </w:rPr>
              <w:t>Validation status should be maintained for 2 years to start. The accreditation rule should specify circumstances requiring either a notification from the entity (e.g. major changes like chapter 11 or acquisition by another company) or other trigger to re-validation, (e.g. changes to elements within the governance mechanism like CTEs/standards</w:t>
            </w:r>
            <w:r>
              <w:rPr>
                <w:rFonts w:ascii="Times New Roman" w:hAnsi="Times New Roman" w:cs="Times New Roman"/>
                <w:b w:val="0"/>
              </w:rPr>
              <w:t xml:space="preserve"> </w:t>
            </w:r>
            <w:r>
              <w:t xml:space="preserve"> </w:t>
            </w:r>
            <w:r w:rsidRPr="00146BCC">
              <w:rPr>
                <w:rFonts w:ascii="Times New Roman" w:hAnsi="Times New Roman" w:cs="Times New Roman"/>
                <w:b w:val="0"/>
              </w:rPr>
              <w:t>or a significant change within the NVE such as bringing up a new vendor system</w:t>
            </w:r>
            <w:r w:rsidRPr="00180CB6">
              <w:rPr>
                <w:rFonts w:ascii="Times New Roman" w:hAnsi="Times New Roman" w:cs="Times New Roman"/>
                <w:b w:val="0"/>
              </w:rPr>
              <w:t>). Timeline could change as validation criteria stabilize.</w:t>
            </w:r>
          </w:p>
        </w:tc>
      </w:tr>
    </w:tbl>
    <w:p w:rsidR="007C2834" w:rsidRDefault="007C2834">
      <w:pPr>
        <w:rPr>
          <w:b/>
          <w:color w:val="FFFFFF" w:themeColor="background1"/>
        </w:rPr>
      </w:pPr>
    </w:p>
    <w:tbl>
      <w:tblPr>
        <w:tblStyle w:val="MediumShading1-Accent11"/>
        <w:tblW w:w="5000" w:type="pct"/>
        <w:jc w:val="center"/>
        <w:tblLook w:val="04A0"/>
      </w:tblPr>
      <w:tblGrid>
        <w:gridCol w:w="14616"/>
      </w:tblGrid>
      <w:tr w:rsidR="00E22DB1" w:rsidRPr="002E56FA">
        <w:trPr>
          <w:cnfStyle w:val="100000000000"/>
          <w:trHeight w:val="296"/>
          <w:tblHeader/>
          <w:jc w:val="center"/>
        </w:trPr>
        <w:tc>
          <w:tcPr>
            <w:cnfStyle w:val="001000000000"/>
            <w:tcW w:w="5000" w:type="pct"/>
          </w:tcPr>
          <w:p w:rsidR="00E22DB1" w:rsidRPr="002E56FA" w:rsidRDefault="004A4EA2" w:rsidP="00BE0A5A">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1A1F59" w:rsidRPr="00A36FD5">
        <w:trPr>
          <w:cnfStyle w:val="000000100000"/>
          <w:trHeight w:val="421"/>
          <w:jc w:val="center"/>
        </w:trPr>
        <w:tc>
          <w:tcPr>
            <w:cnfStyle w:val="001000000000"/>
            <w:tcW w:w="5000" w:type="pct"/>
            <w:shd w:val="clear" w:color="auto" w:fill="DBE5F1" w:themeFill="accent1" w:themeFillTint="33"/>
          </w:tcPr>
          <w:p w:rsidR="001A1F59" w:rsidRDefault="004A4EA2" w:rsidP="001A1F59">
            <w:pPr>
              <w:ind w:firstLine="90"/>
              <w:rPr>
                <w:rFonts w:ascii="Times New Roman" w:hAnsi="Times New Roman"/>
                <w:sz w:val="24"/>
                <w:szCs w:val="24"/>
                <w:u w:val="single"/>
              </w:rPr>
            </w:pPr>
            <w:r w:rsidRPr="00C13352">
              <w:rPr>
                <w:rFonts w:ascii="Times New Roman" w:hAnsi="Times New Roman"/>
                <w:sz w:val="24"/>
                <w:szCs w:val="24"/>
                <w:u w:val="single"/>
              </w:rPr>
              <w:t xml:space="preserve">Question </w:t>
            </w:r>
            <w:r>
              <w:rPr>
                <w:rFonts w:ascii="Times New Roman" w:hAnsi="Times New Roman"/>
                <w:sz w:val="24"/>
                <w:szCs w:val="24"/>
                <w:u w:val="single"/>
              </w:rPr>
              <w:t>22</w:t>
            </w:r>
            <w:r w:rsidRPr="00C13352">
              <w:rPr>
                <w:rFonts w:ascii="Times New Roman" w:hAnsi="Times New Roman"/>
                <w:sz w:val="24"/>
                <w:szCs w:val="24"/>
                <w:u w:val="single"/>
              </w:rPr>
              <w:t>:</w:t>
            </w:r>
            <w:r w:rsidRPr="00C13352">
              <w:rPr>
                <w:rFonts w:ascii="Times New Roman" w:hAnsi="Times New Roman"/>
                <w:sz w:val="24"/>
                <w:szCs w:val="24"/>
              </w:rPr>
              <w:t xml:space="preserve">   </w:t>
            </w:r>
            <w:r w:rsidRPr="00E30F73">
              <w:rPr>
                <w:rFonts w:ascii="Times New Roman" w:hAnsi="Times New Roman"/>
                <w:sz w:val="24"/>
                <w:szCs w:val="24"/>
              </w:rPr>
              <w:t>Are there HIPAA Security Rule implementation specifications that should not be required of entities that facilitate electronic exchange?  If so, which ones and why?</w:t>
            </w:r>
          </w:p>
          <w:p w:rsidR="004A4EA2" w:rsidRPr="00A36FD5" w:rsidRDefault="004A4EA2" w:rsidP="001A1F59">
            <w:pPr>
              <w:ind w:firstLine="90"/>
              <w:rPr>
                <w:b w:val="0"/>
                <w:bCs w:val="0"/>
                <w:sz w:val="20"/>
                <w:szCs w:val="20"/>
              </w:rPr>
            </w:pPr>
          </w:p>
        </w:tc>
      </w:tr>
      <w:tr w:rsidR="00943CF8" w:rsidRPr="00A36FD5">
        <w:trPr>
          <w:cnfStyle w:val="000000010000"/>
          <w:trHeight w:val="475"/>
          <w:jc w:val="center"/>
        </w:trPr>
        <w:tc>
          <w:tcPr>
            <w:cnfStyle w:val="001000000000"/>
            <w:tcW w:w="5000" w:type="pct"/>
            <w:tcBorders>
              <w:bottom w:val="single" w:sz="8" w:space="0" w:color="7BA0CD" w:themeColor="accent1" w:themeTint="BF"/>
            </w:tcBorders>
            <w:shd w:val="clear" w:color="auto" w:fill="DBE5F1" w:themeFill="accent1" w:themeFillTint="33"/>
          </w:tcPr>
          <w:p w:rsidR="004A4EA2" w:rsidRDefault="004A4EA2" w:rsidP="004A4EA2">
            <w:pPr>
              <w:spacing w:after="6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[S-1]: </w:t>
            </w:r>
            <w:r w:rsidRPr="00216DF1">
              <w:rPr>
                <w:rFonts w:ascii="Times New Roman" w:hAnsi="Times New Roman"/>
                <w:sz w:val="24"/>
                <w:szCs w:val="24"/>
              </w:rPr>
              <w:t>An NVE must comply with sections 164.308, 164.310, 164.312, and 164.316 of title 45 of the Code of Federal Regulations as if it were a covered entity, and must treat all implementation specifications included within sections 164.308, 164.310, and 164.312 as “required.”</w:t>
            </w:r>
          </w:p>
          <w:p w:rsidR="004A4EA2" w:rsidRPr="004A4EA2" w:rsidRDefault="004A4EA2" w:rsidP="004A4EA2">
            <w:pPr>
              <w:spacing w:after="60"/>
              <w:rPr>
                <w:sz w:val="20"/>
                <w:szCs w:val="20"/>
                <w:u w:val="single"/>
              </w:rPr>
            </w:pPr>
          </w:p>
        </w:tc>
      </w:tr>
      <w:tr w:rsidR="00E22DB1" w:rsidRPr="00A36FD5" w:rsidTr="00A946D8">
        <w:trPr>
          <w:cnfStyle w:val="000000100000"/>
          <w:trHeight w:val="376"/>
          <w:jc w:val="center"/>
        </w:trPr>
        <w:tc>
          <w:tcPr>
            <w:cnfStyle w:val="001000000000"/>
            <w:tcW w:w="5000" w:type="pct"/>
            <w:shd w:val="clear" w:color="auto" w:fill="FFFFFF" w:themeFill="background1"/>
          </w:tcPr>
          <w:p w:rsidR="00E22DB1" w:rsidRPr="00B87F76" w:rsidRDefault="00E22DB1" w:rsidP="00B87F76">
            <w:pPr>
              <w:spacing w:before="40" w:after="60"/>
              <w:rPr>
                <w:rFonts w:ascii="Times New Roman" w:hAnsi="Times New Roman" w:cs="Times New Roman"/>
                <w:b w:val="0"/>
              </w:rPr>
            </w:pPr>
          </w:p>
        </w:tc>
      </w:tr>
    </w:tbl>
    <w:p w:rsidR="002D18CC" w:rsidRPr="00A36FD5" w:rsidRDefault="002D18CC">
      <w:pPr>
        <w:rPr>
          <w:b/>
        </w:rPr>
      </w:pPr>
    </w:p>
    <w:tbl>
      <w:tblPr>
        <w:tblStyle w:val="MediumShading1-Accent11"/>
        <w:tblW w:w="5000" w:type="pct"/>
        <w:jc w:val="center"/>
        <w:tblLook w:val="04A0"/>
      </w:tblPr>
      <w:tblGrid>
        <w:gridCol w:w="14616"/>
      </w:tblGrid>
      <w:tr w:rsidR="00A75FDE" w:rsidRPr="002E56FA">
        <w:trPr>
          <w:cnfStyle w:val="100000000000"/>
          <w:trHeight w:val="296"/>
          <w:tblHeader/>
          <w:jc w:val="center"/>
        </w:trPr>
        <w:tc>
          <w:tcPr>
            <w:cnfStyle w:val="001000000000"/>
            <w:tcW w:w="5000" w:type="pct"/>
          </w:tcPr>
          <w:p w:rsidR="00A75FDE" w:rsidRPr="002E56FA" w:rsidRDefault="004A4EA2" w:rsidP="00BE0A5A">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AC7703" w:rsidRPr="00A36FD5">
        <w:trPr>
          <w:cnfStyle w:val="000000100000"/>
          <w:jc w:val="center"/>
        </w:trPr>
        <w:tc>
          <w:tcPr>
            <w:cnfStyle w:val="001000000000"/>
            <w:tcW w:w="5000" w:type="pct"/>
            <w:shd w:val="clear" w:color="auto" w:fill="DBE5F1" w:themeFill="accent1" w:themeFillTint="33"/>
          </w:tcPr>
          <w:p w:rsidR="00AC7703" w:rsidRDefault="004A4EA2" w:rsidP="00AC7703">
            <w:pPr>
              <w:ind w:left="90"/>
              <w:rPr>
                <w:rFonts w:ascii="Times New Roman" w:hAnsi="Times New Roman"/>
                <w:sz w:val="24"/>
                <w:szCs w:val="24"/>
                <w:u w:val="single"/>
              </w:rPr>
            </w:pPr>
            <w:r w:rsidRPr="004A4EA2">
              <w:rPr>
                <w:rFonts w:ascii="Times New Roman" w:hAnsi="Times New Roman"/>
                <w:sz w:val="24"/>
                <w:szCs w:val="24"/>
                <w:u w:val="single"/>
              </w:rPr>
              <w:t>Question 23:</w:t>
            </w:r>
            <w:r>
              <w:rPr>
                <w:rFonts w:ascii="Times New Roman" w:hAnsi="Times New Roman"/>
                <w:sz w:val="24"/>
                <w:szCs w:val="24"/>
              </w:rPr>
              <w:t xml:space="preserve">  </w:t>
            </w:r>
            <w:r w:rsidRPr="003752AE">
              <w:rPr>
                <w:rFonts w:ascii="Times New Roman" w:hAnsi="Times New Roman"/>
                <w:sz w:val="24"/>
                <w:szCs w:val="24"/>
              </w:rPr>
              <w:t>Are there other security frameworks or guidance that we should consider for this CTE?  Should we look to leverage NISTIR 7497 Security Architecture Design Process for Health Information Exchanges</w:t>
            </w:r>
            <w:r w:rsidRPr="003752AE">
              <w:rPr>
                <w:rStyle w:val="FootnoteReference"/>
                <w:sz w:val="24"/>
                <w:szCs w:val="24"/>
              </w:rPr>
              <w:footnoteReference w:id="1"/>
            </w:r>
            <w:r w:rsidRPr="003752AE">
              <w:rPr>
                <w:rFonts w:ascii="Times New Roman" w:hAnsi="Times New Roman"/>
                <w:sz w:val="24"/>
                <w:szCs w:val="24"/>
              </w:rPr>
              <w:t>?  If so, please also include information on how this framework would be validated.</w:t>
            </w:r>
          </w:p>
          <w:p w:rsidR="004A4EA2" w:rsidRPr="00A36FD5" w:rsidRDefault="004A4EA2" w:rsidP="00AC7703">
            <w:pPr>
              <w:ind w:left="90"/>
              <w:rPr>
                <w:b w:val="0"/>
                <w:bCs w:val="0"/>
                <w:sz w:val="20"/>
                <w:szCs w:val="20"/>
              </w:rPr>
            </w:pPr>
          </w:p>
        </w:tc>
      </w:tr>
      <w:tr w:rsidR="00A75FDE" w:rsidRPr="00A36FD5">
        <w:trPr>
          <w:cnfStyle w:val="000000010000"/>
          <w:jc w:val="center"/>
        </w:trPr>
        <w:tc>
          <w:tcPr>
            <w:cnfStyle w:val="001000000000"/>
            <w:tcW w:w="5000" w:type="pct"/>
            <w:tcBorders>
              <w:bottom w:val="single" w:sz="8" w:space="0" w:color="7BA0CD" w:themeColor="accent1" w:themeTint="BF"/>
            </w:tcBorders>
            <w:shd w:val="clear" w:color="auto" w:fill="DBE5F1" w:themeFill="accent1" w:themeFillTint="33"/>
          </w:tcPr>
          <w:p w:rsidR="004A4EA2" w:rsidRDefault="004A4EA2" w:rsidP="004A4EA2">
            <w:pPr>
              <w:spacing w:after="6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[S-1]: </w:t>
            </w:r>
            <w:r w:rsidRPr="00216DF1">
              <w:rPr>
                <w:rFonts w:ascii="Times New Roman" w:hAnsi="Times New Roman"/>
                <w:sz w:val="24"/>
                <w:szCs w:val="24"/>
              </w:rPr>
              <w:t xml:space="preserve">An NVE must comply with sections 164.308, 164.310, 164.312, and 164.316 of title 45 of the Code of Federal Regulations as if it were a covered entity, and must treat all implementation specifications included within sections 164.308, </w:t>
            </w:r>
            <w:r w:rsidRPr="00216DF1">
              <w:rPr>
                <w:rFonts w:ascii="Times New Roman" w:hAnsi="Times New Roman"/>
                <w:sz w:val="24"/>
                <w:szCs w:val="24"/>
              </w:rPr>
              <w:lastRenderedPageBreak/>
              <w:t>164.310, and 164.312 as “required.”</w:t>
            </w:r>
          </w:p>
          <w:p w:rsidR="00A75FDE" w:rsidRPr="004A4EA2" w:rsidRDefault="00A75FDE" w:rsidP="004A4EA2">
            <w:pPr>
              <w:rPr>
                <w:sz w:val="20"/>
                <w:szCs w:val="20"/>
              </w:rPr>
            </w:pPr>
          </w:p>
        </w:tc>
      </w:tr>
      <w:tr w:rsidR="00A75FDE" w:rsidRPr="00A36FD5" w:rsidTr="00A946D8">
        <w:trPr>
          <w:cnfStyle w:val="000000100000"/>
          <w:trHeight w:val="295"/>
          <w:jc w:val="center"/>
        </w:trPr>
        <w:tc>
          <w:tcPr>
            <w:cnfStyle w:val="001000000000"/>
            <w:tcW w:w="5000" w:type="pct"/>
            <w:shd w:val="clear" w:color="auto" w:fill="FFFFFF" w:themeFill="background1"/>
          </w:tcPr>
          <w:p w:rsidR="00AC7703" w:rsidRPr="00A36FD5" w:rsidRDefault="00AC7703" w:rsidP="003979DE">
            <w:pPr>
              <w:spacing w:after="60"/>
              <w:rPr>
                <w:rFonts w:ascii="Times New Roman" w:hAnsi="Times New Roman" w:cs="Times New Roman"/>
                <w:b w:val="0"/>
                <w:sz w:val="20"/>
                <w:szCs w:val="20"/>
              </w:rPr>
            </w:pPr>
          </w:p>
        </w:tc>
      </w:tr>
    </w:tbl>
    <w:p w:rsidR="007C2834" w:rsidRPr="00A36FD5" w:rsidRDefault="007C2834">
      <w:pPr>
        <w:rPr>
          <w:b/>
        </w:rPr>
      </w:pPr>
    </w:p>
    <w:tbl>
      <w:tblPr>
        <w:tblStyle w:val="MediumShading1-Accent11"/>
        <w:tblW w:w="5000" w:type="pct"/>
        <w:jc w:val="center"/>
        <w:tblLook w:val="04A0"/>
      </w:tblPr>
      <w:tblGrid>
        <w:gridCol w:w="14616"/>
      </w:tblGrid>
      <w:tr w:rsidR="00CC7B60" w:rsidRPr="00A36FD5">
        <w:trPr>
          <w:cnfStyle w:val="100000000000"/>
          <w:jc w:val="center"/>
        </w:trPr>
        <w:tc>
          <w:tcPr>
            <w:cnfStyle w:val="001000000000"/>
            <w:tcW w:w="5000" w:type="pct"/>
          </w:tcPr>
          <w:p w:rsidR="00CC7B60" w:rsidRPr="00B727D2" w:rsidRDefault="004A4EA2" w:rsidP="00BE0A5A">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AC7703" w:rsidRPr="00A36FD5">
        <w:trPr>
          <w:cnfStyle w:val="000000100000"/>
          <w:jc w:val="center"/>
        </w:trPr>
        <w:tc>
          <w:tcPr>
            <w:cnfStyle w:val="001000000000"/>
            <w:tcW w:w="5000" w:type="pct"/>
            <w:shd w:val="clear" w:color="auto" w:fill="DBE5F1" w:themeFill="accent1" w:themeFillTint="33"/>
          </w:tcPr>
          <w:p w:rsidR="00527F83" w:rsidRDefault="00527F83" w:rsidP="00527F83">
            <w:pPr>
              <w:ind w:left="90"/>
              <w:rPr>
                <w:rFonts w:ascii="Times New Roman" w:hAnsi="Times New Roman"/>
                <w:sz w:val="24"/>
                <w:szCs w:val="24"/>
                <w:u w:val="single"/>
              </w:rPr>
            </w:pPr>
            <w:r w:rsidRPr="004A4EA2">
              <w:rPr>
                <w:rFonts w:ascii="Times New Roman" w:hAnsi="Times New Roman"/>
                <w:sz w:val="24"/>
                <w:szCs w:val="24"/>
                <w:u w:val="single"/>
              </w:rPr>
              <w:t>Question 2</w:t>
            </w:r>
            <w:r>
              <w:rPr>
                <w:rFonts w:ascii="Times New Roman" w:hAnsi="Times New Roman"/>
                <w:sz w:val="24"/>
                <w:szCs w:val="24"/>
                <w:u w:val="single"/>
              </w:rPr>
              <w:t>4</w:t>
            </w:r>
            <w:r w:rsidRPr="004A4EA2">
              <w:rPr>
                <w:rFonts w:ascii="Times New Roman" w:hAnsi="Times New Roman"/>
                <w:sz w:val="24"/>
                <w:szCs w:val="24"/>
                <w:u w:val="single"/>
              </w:rPr>
              <w:t>:</w:t>
            </w:r>
            <w:r>
              <w:rPr>
                <w:rFonts w:ascii="Times New Roman" w:hAnsi="Times New Roman"/>
                <w:sz w:val="24"/>
                <w:szCs w:val="24"/>
              </w:rPr>
              <w:t xml:space="preserve">  </w:t>
            </w:r>
            <w:r w:rsidRPr="00087F50">
              <w:rPr>
                <w:rFonts w:ascii="Times New Roman" w:hAnsi="Times New Roman"/>
                <w:sz w:val="24"/>
                <w:szCs w:val="24"/>
              </w:rPr>
              <w:t>What is the most appropriate level of assurance that an NVE should look to achieve in directly authenticating and authorizing a party for which it facilitates electronic exchange?</w:t>
            </w:r>
          </w:p>
          <w:p w:rsidR="00AC7703" w:rsidRPr="00A36FD5" w:rsidRDefault="00AC7703" w:rsidP="00AC7703">
            <w:pPr>
              <w:ind w:left="90"/>
              <w:rPr>
                <w:b w:val="0"/>
                <w:bCs w:val="0"/>
                <w:sz w:val="20"/>
                <w:szCs w:val="20"/>
              </w:rPr>
            </w:pPr>
          </w:p>
        </w:tc>
      </w:tr>
      <w:tr w:rsidR="00B6652B" w:rsidRPr="00A36FD5">
        <w:trPr>
          <w:cnfStyle w:val="000000010000"/>
          <w:jc w:val="center"/>
        </w:trPr>
        <w:tc>
          <w:tcPr>
            <w:cnfStyle w:val="001000000000"/>
            <w:tcW w:w="5000" w:type="pct"/>
            <w:tcBorders>
              <w:bottom w:val="single" w:sz="8" w:space="0" w:color="7BA0CD" w:themeColor="accent1" w:themeTint="BF"/>
            </w:tcBorders>
            <w:shd w:val="clear" w:color="auto" w:fill="DBE5F1" w:themeFill="accent1" w:themeFillTint="33"/>
          </w:tcPr>
          <w:p w:rsidR="00B6652B" w:rsidRPr="004A4EA2" w:rsidRDefault="00527F83" w:rsidP="004A4EA2">
            <w:pPr>
              <w:tabs>
                <w:tab w:val="left" w:pos="450"/>
              </w:tabs>
              <w:rPr>
                <w:sz w:val="20"/>
                <w:szCs w:val="20"/>
              </w:rPr>
            </w:pPr>
            <w:r>
              <w:rPr>
                <w:rFonts w:ascii="Times New Roman" w:hAnsi="Times New Roman"/>
                <w:sz w:val="24"/>
                <w:szCs w:val="24"/>
                <w:u w:val="single"/>
              </w:rPr>
              <w:t>Question Context:</w:t>
            </w:r>
            <w:r>
              <w:rPr>
                <w:rFonts w:ascii="Times New Roman" w:hAnsi="Times New Roman"/>
                <w:sz w:val="24"/>
                <w:szCs w:val="24"/>
              </w:rPr>
              <w:t xml:space="preserve">  In reference to CTE [S-2]: </w:t>
            </w:r>
            <w:r w:rsidRPr="00E31299">
              <w:rPr>
                <w:rFonts w:ascii="Times New Roman" w:hAnsi="Times New Roman"/>
                <w:sz w:val="24"/>
                <w:szCs w:val="24"/>
              </w:rPr>
              <w:t>An NVE must only facilitate electronic health information exchange for parties it has authenticated and authorized, either directly or indirectly.</w:t>
            </w:r>
          </w:p>
        </w:tc>
      </w:tr>
      <w:tr w:rsidR="00AC7703" w:rsidRPr="00A36FD5">
        <w:trPr>
          <w:cnfStyle w:val="000000100000"/>
          <w:jc w:val="center"/>
        </w:trPr>
        <w:tc>
          <w:tcPr>
            <w:cnfStyle w:val="001000000000"/>
            <w:tcW w:w="5000" w:type="pct"/>
            <w:shd w:val="clear" w:color="auto" w:fill="FFFFFF" w:themeFill="background1"/>
          </w:tcPr>
          <w:p w:rsidR="00837F90" w:rsidRPr="002C76E9" w:rsidRDefault="00837F90" w:rsidP="00CF1811">
            <w:pPr>
              <w:spacing w:before="40" w:after="60"/>
              <w:rPr>
                <w:rFonts w:ascii="Times New Roman" w:hAnsi="Times New Roman" w:cs="Times New Roman"/>
              </w:rPr>
            </w:pPr>
          </w:p>
          <w:p w:rsidR="00EA6675" w:rsidRPr="00EA6675" w:rsidRDefault="00EA6675" w:rsidP="00EA6675">
            <w:pPr>
              <w:spacing w:after="60"/>
              <w:rPr>
                <w:rFonts w:ascii="Times New Roman" w:hAnsi="Times New Roman" w:cs="Times New Roman"/>
                <w:b w:val="0"/>
              </w:rPr>
            </w:pPr>
            <w:r w:rsidRPr="00EA6675">
              <w:rPr>
                <w:rFonts w:ascii="Times New Roman" w:hAnsi="Times New Roman" w:cs="Times New Roman"/>
                <w:b w:val="0"/>
              </w:rPr>
              <w:t xml:space="preserve">[The </w:t>
            </w:r>
            <w:r w:rsidR="007807D2">
              <w:rPr>
                <w:rFonts w:ascii="Times New Roman" w:hAnsi="Times New Roman" w:cs="Times New Roman"/>
                <w:b w:val="0"/>
              </w:rPr>
              <w:t>HITPC</w:t>
            </w:r>
            <w:r w:rsidRPr="00EA6675">
              <w:rPr>
                <w:rFonts w:ascii="Times New Roman" w:hAnsi="Times New Roman" w:cs="Times New Roman"/>
                <w:b w:val="0"/>
              </w:rPr>
              <w:t xml:space="preserve"> notes that this CTE is titled authentication but actually covers both authentication and identity proofing]</w:t>
            </w:r>
          </w:p>
          <w:p w:rsidR="00EA6675" w:rsidRPr="00EA6675" w:rsidRDefault="00EA6675" w:rsidP="00EA6675">
            <w:pPr>
              <w:spacing w:after="60"/>
              <w:rPr>
                <w:rFonts w:ascii="Times New Roman" w:hAnsi="Times New Roman" w:cs="Times New Roman"/>
                <w:b w:val="0"/>
              </w:rPr>
            </w:pPr>
            <w:r w:rsidRPr="00EA6675">
              <w:rPr>
                <w:rFonts w:ascii="Times New Roman" w:hAnsi="Times New Roman" w:cs="Times New Roman"/>
                <w:b w:val="0"/>
              </w:rPr>
              <w:t>Consistent with previous recommendations of the HIT Policy Committee, NVEs should have a high degree of assurance in authenticating parties for which it facilitates electronic exchange.</w:t>
            </w:r>
            <w:r w:rsidR="009C6988">
              <w:rPr>
                <w:rFonts w:ascii="Times New Roman" w:hAnsi="Times New Roman" w:cs="Times New Roman"/>
                <w:b w:val="0"/>
              </w:rPr>
              <w:t xml:space="preserve">  DEVEN:  not necessarily a</w:t>
            </w:r>
            <w:r w:rsidR="007807D2">
              <w:rPr>
                <w:rFonts w:ascii="Times New Roman" w:hAnsi="Times New Roman" w:cs="Times New Roman"/>
                <w:b w:val="0"/>
              </w:rPr>
              <w:t xml:space="preserve"> </w:t>
            </w:r>
            <w:r w:rsidR="009C6988">
              <w:rPr>
                <w:rFonts w:ascii="Times New Roman" w:hAnsi="Times New Roman" w:cs="Times New Roman"/>
                <w:b w:val="0"/>
              </w:rPr>
              <w:t xml:space="preserve">NIST framework with specific requirements.  </w:t>
            </w:r>
          </w:p>
          <w:p w:rsidR="00EA6675" w:rsidRPr="00EA6675" w:rsidRDefault="00EA6675" w:rsidP="00EA6675">
            <w:pPr>
              <w:spacing w:after="60"/>
              <w:rPr>
                <w:rFonts w:ascii="Times New Roman" w:hAnsi="Times New Roman" w:cs="Times New Roman"/>
                <w:b w:val="0"/>
              </w:rPr>
            </w:pPr>
            <w:r w:rsidRPr="00EA6675">
              <w:rPr>
                <w:rFonts w:ascii="Times New Roman" w:hAnsi="Times New Roman" w:cs="Times New Roman"/>
                <w:b w:val="0"/>
              </w:rPr>
              <w:t>NVEs that allow for individuals to access information directly from the NVE must authenticate individuals.</w:t>
            </w:r>
          </w:p>
          <w:p w:rsidR="007807D2" w:rsidRDefault="007807D2" w:rsidP="007807D2">
            <w:pPr>
              <w:rPr>
                <w:rFonts w:ascii="Times New Roman" w:hAnsi="Times New Roman" w:cs="Times New Roman"/>
                <w:b w:val="0"/>
              </w:rPr>
            </w:pPr>
            <w:r w:rsidRPr="007807D2">
              <w:rPr>
                <w:rFonts w:ascii="Times New Roman" w:hAnsi="Times New Roman" w:cs="Times New Roman"/>
                <w:b w:val="0"/>
              </w:rPr>
              <w:t>The HITPC believes that NVEs should be responsible for authenticating and authorizing entities they serve at an organizational level, allowing organizations to authorize and authenticate their own users.</w:t>
            </w:r>
          </w:p>
          <w:p w:rsidR="007807D2" w:rsidRPr="007807D2" w:rsidRDefault="007807D2" w:rsidP="007807D2">
            <w:pPr>
              <w:rPr>
                <w:rFonts w:ascii="Times New Roman" w:hAnsi="Times New Roman" w:cs="Times New Roman"/>
                <w:b w:val="0"/>
              </w:rPr>
            </w:pPr>
            <w:r w:rsidRPr="007807D2">
              <w:rPr>
                <w:rFonts w:ascii="Times New Roman" w:hAnsi="Times New Roman" w:cs="Times New Roman"/>
                <w:b w:val="0"/>
              </w:rPr>
              <w:t>In regards to NVE to NVE communication, the HITPC recognizes that NVEs may have differing standards for authentication due to the nature of services they provide, but it will be important to minimize differences in authentication requirements among NVEs.</w:t>
            </w:r>
          </w:p>
          <w:p w:rsidR="007807D2" w:rsidRDefault="007807D2" w:rsidP="007807D2">
            <w:pPr>
              <w:spacing w:before="40" w:after="60"/>
              <w:rPr>
                <w:rFonts w:ascii="Times New Roman" w:hAnsi="Times New Roman" w:cs="Times New Roman"/>
                <w:b w:val="0"/>
              </w:rPr>
            </w:pPr>
            <w:r w:rsidRPr="007807D2">
              <w:rPr>
                <w:rFonts w:ascii="Times New Roman" w:hAnsi="Times New Roman" w:cs="Times New Roman"/>
                <w:b w:val="0"/>
              </w:rPr>
              <w:t xml:space="preserve">All standards and requirements for authentication and authorization should be transparent and should not produce undue burdens on other NVEs or be disruptive to basic exchange services. </w:t>
            </w:r>
          </w:p>
          <w:p w:rsidR="007807D2" w:rsidRPr="007807D2" w:rsidRDefault="007807D2" w:rsidP="007807D2">
            <w:pPr>
              <w:spacing w:before="40" w:after="60"/>
              <w:rPr>
                <w:rFonts w:ascii="Times New Roman" w:hAnsi="Times New Roman" w:cs="Times New Roman"/>
                <w:b w:val="0"/>
              </w:rPr>
            </w:pPr>
            <w:r w:rsidRPr="007F49AC">
              <w:rPr>
                <w:rFonts w:ascii="Times New Roman" w:hAnsi="Times New Roman" w:cs="Times New Roman"/>
                <w:b w:val="0"/>
                <w:i/>
              </w:rPr>
              <w:t>The HITPC</w:t>
            </w:r>
            <w:r>
              <w:rPr>
                <w:rFonts w:ascii="Times New Roman" w:hAnsi="Times New Roman" w:cs="Times New Roman"/>
                <w:b w:val="0"/>
                <w:i/>
              </w:rPr>
              <w:t xml:space="preserve"> believes ONC should focus on mitigating/limiting </w:t>
            </w:r>
            <w:r w:rsidRPr="00521CBC">
              <w:rPr>
                <w:rFonts w:ascii="Times New Roman" w:hAnsi="Times New Roman" w:cs="Times New Roman"/>
                <w:b w:val="0"/>
                <w:i/>
              </w:rPr>
              <w:t>differences among NVE certification standards/requirements to enhance exchange</w:t>
            </w:r>
            <w:r>
              <w:rPr>
                <w:rFonts w:ascii="Times New Roman" w:hAnsi="Times New Roman" w:cs="Times New Roman"/>
                <w:b w:val="0"/>
                <w:i/>
              </w:rPr>
              <w:t>.  The Committee did not recommend a specific level of assurance (e.g. NIST level 3) or specific approach to authenticating individuals. (See questions 25 and 26)</w:t>
            </w:r>
          </w:p>
          <w:p w:rsidR="00AC7703" w:rsidRPr="002C76E9" w:rsidRDefault="00AC7703" w:rsidP="00BE0A5A">
            <w:pPr>
              <w:spacing w:after="60"/>
              <w:rPr>
                <w:rFonts w:ascii="Times New Roman" w:hAnsi="Times New Roman" w:cs="Times New Roman"/>
                <w:b w:val="0"/>
              </w:rPr>
            </w:pPr>
          </w:p>
        </w:tc>
      </w:tr>
    </w:tbl>
    <w:p w:rsidR="00CC7B60" w:rsidRPr="00A36FD5" w:rsidRDefault="00CC7B60" w:rsidP="00B6652B">
      <w:pPr>
        <w:spacing w:after="0" w:line="240" w:lineRule="auto"/>
        <w:rPr>
          <w:b/>
        </w:rPr>
      </w:pPr>
    </w:p>
    <w:p w:rsidR="00AC7703" w:rsidRPr="00A36FD5" w:rsidRDefault="00AC7703" w:rsidP="00B6652B">
      <w:pPr>
        <w:spacing w:after="0" w:line="240" w:lineRule="auto"/>
        <w:rPr>
          <w:b/>
        </w:rPr>
      </w:pPr>
    </w:p>
    <w:tbl>
      <w:tblPr>
        <w:tblStyle w:val="MediumShading1-Accent11"/>
        <w:tblW w:w="5000" w:type="pct"/>
        <w:jc w:val="center"/>
        <w:tblLook w:val="04A0"/>
      </w:tblPr>
      <w:tblGrid>
        <w:gridCol w:w="14616"/>
      </w:tblGrid>
      <w:tr w:rsidR="00CC7B60" w:rsidRPr="002E56FA">
        <w:trPr>
          <w:cnfStyle w:val="100000000000"/>
          <w:tblHeader/>
          <w:jc w:val="center"/>
        </w:trPr>
        <w:tc>
          <w:tcPr>
            <w:cnfStyle w:val="001000000000"/>
            <w:tcW w:w="5000" w:type="pct"/>
          </w:tcPr>
          <w:p w:rsidR="00CC7B60" w:rsidRPr="002E56FA" w:rsidRDefault="00527F83" w:rsidP="00BE0A5A">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AC7703" w:rsidRPr="00A36FD5">
        <w:trPr>
          <w:cnfStyle w:val="000000100000"/>
          <w:jc w:val="center"/>
        </w:trPr>
        <w:tc>
          <w:tcPr>
            <w:cnfStyle w:val="001000000000"/>
            <w:tcW w:w="5000" w:type="pct"/>
            <w:shd w:val="clear" w:color="auto" w:fill="DBE5F1" w:themeFill="accent1" w:themeFillTint="33"/>
          </w:tcPr>
          <w:p w:rsidR="00527F83" w:rsidRDefault="00527F83" w:rsidP="00527F83">
            <w:pPr>
              <w:ind w:left="90"/>
              <w:rPr>
                <w:rFonts w:ascii="Times New Roman" w:hAnsi="Times New Roman"/>
                <w:sz w:val="24"/>
                <w:szCs w:val="24"/>
                <w:u w:val="single"/>
              </w:rPr>
            </w:pPr>
            <w:r w:rsidRPr="004A4EA2">
              <w:rPr>
                <w:rFonts w:ascii="Times New Roman" w:hAnsi="Times New Roman"/>
                <w:sz w:val="24"/>
                <w:szCs w:val="24"/>
                <w:u w:val="single"/>
              </w:rPr>
              <w:t>Question 2</w:t>
            </w:r>
            <w:r>
              <w:rPr>
                <w:rFonts w:ascii="Times New Roman" w:hAnsi="Times New Roman"/>
                <w:sz w:val="24"/>
                <w:szCs w:val="24"/>
                <w:u w:val="single"/>
              </w:rPr>
              <w:t>5</w:t>
            </w:r>
            <w:r w:rsidRPr="004A4EA2">
              <w:rPr>
                <w:rFonts w:ascii="Times New Roman" w:hAnsi="Times New Roman"/>
                <w:sz w:val="24"/>
                <w:szCs w:val="24"/>
                <w:u w:val="single"/>
              </w:rPr>
              <w:t>:</w:t>
            </w:r>
            <w:r>
              <w:rPr>
                <w:rFonts w:ascii="Times New Roman" w:hAnsi="Times New Roman"/>
                <w:sz w:val="24"/>
                <w:szCs w:val="24"/>
              </w:rPr>
              <w:t xml:space="preserve">  </w:t>
            </w:r>
            <w:r w:rsidRPr="003752AE">
              <w:rPr>
                <w:rFonts w:ascii="Times New Roman" w:hAnsi="Times New Roman"/>
                <w:sz w:val="24"/>
                <w:szCs w:val="24"/>
              </w:rPr>
              <w:t>Would an indirect approach to satisfy this CTE reduce the potential trust that an NVE could provide?  More specifically, should we consider proposing specific requirements that would need to be met in order for indirect authentication and authorization processes to be implemented consistently across NVEs?</w:t>
            </w:r>
          </w:p>
          <w:p w:rsidR="00AC7703" w:rsidRPr="00A36FD5" w:rsidRDefault="00AC7703" w:rsidP="00BF53C3">
            <w:pPr>
              <w:ind w:left="90"/>
              <w:rPr>
                <w:b w:val="0"/>
                <w:bCs w:val="0"/>
                <w:sz w:val="20"/>
                <w:szCs w:val="20"/>
              </w:rPr>
            </w:pPr>
          </w:p>
        </w:tc>
      </w:tr>
      <w:tr w:rsidR="00B6652B" w:rsidRPr="00A36FD5">
        <w:trPr>
          <w:cnfStyle w:val="000000010000"/>
          <w:jc w:val="center"/>
        </w:trPr>
        <w:tc>
          <w:tcPr>
            <w:cnfStyle w:val="001000000000"/>
            <w:tcW w:w="5000" w:type="pct"/>
            <w:tcBorders>
              <w:bottom w:val="single" w:sz="8" w:space="0" w:color="7BA0CD" w:themeColor="accent1" w:themeTint="BF"/>
            </w:tcBorders>
            <w:shd w:val="clear" w:color="auto" w:fill="DBE5F1" w:themeFill="accent1" w:themeFillTint="33"/>
          </w:tcPr>
          <w:p w:rsidR="00B6652B" w:rsidRDefault="00527F83" w:rsidP="00B6652B">
            <w:pPr>
              <w:ind w:left="90"/>
              <w:rPr>
                <w:rFonts w:ascii="Times New Roman" w:hAnsi="Times New Roman"/>
                <w:sz w:val="24"/>
                <w:szCs w:val="24"/>
              </w:rPr>
            </w:pPr>
            <w:r>
              <w:rPr>
                <w:rFonts w:ascii="Times New Roman" w:hAnsi="Times New Roman"/>
                <w:sz w:val="24"/>
                <w:szCs w:val="24"/>
                <w:u w:val="single"/>
              </w:rPr>
              <w:lastRenderedPageBreak/>
              <w:t>Question Context:</w:t>
            </w:r>
            <w:r>
              <w:rPr>
                <w:rFonts w:ascii="Times New Roman" w:hAnsi="Times New Roman"/>
                <w:sz w:val="24"/>
                <w:szCs w:val="24"/>
              </w:rPr>
              <w:t xml:space="preserve">  In reference to CTE [S-2]: </w:t>
            </w:r>
            <w:r w:rsidRPr="00E31299">
              <w:rPr>
                <w:rFonts w:ascii="Times New Roman" w:hAnsi="Times New Roman"/>
                <w:sz w:val="24"/>
                <w:szCs w:val="24"/>
              </w:rPr>
              <w:t>An NVE must only facilitate electronic health information exchange for parties it has authenticated and authorized, either directly or indirectly.</w:t>
            </w:r>
          </w:p>
          <w:p w:rsidR="00527F83" w:rsidRPr="00A36FD5" w:rsidRDefault="00527F83" w:rsidP="00B6652B">
            <w:pPr>
              <w:ind w:left="90"/>
              <w:rPr>
                <w:sz w:val="20"/>
                <w:szCs w:val="20"/>
              </w:rPr>
            </w:pPr>
          </w:p>
        </w:tc>
      </w:tr>
      <w:tr w:rsidR="00AC7703" w:rsidRPr="00A36FD5">
        <w:trPr>
          <w:cnfStyle w:val="000000100000"/>
          <w:jc w:val="center"/>
        </w:trPr>
        <w:tc>
          <w:tcPr>
            <w:cnfStyle w:val="001000000000"/>
            <w:tcW w:w="5000" w:type="pct"/>
            <w:shd w:val="clear" w:color="auto" w:fill="FFFFFF" w:themeFill="background1"/>
          </w:tcPr>
          <w:p w:rsidR="00AC7703" w:rsidRPr="003E3D3F" w:rsidRDefault="00823408" w:rsidP="00BE0A5A">
            <w:pPr>
              <w:spacing w:after="60"/>
              <w:rPr>
                <w:rFonts w:ascii="Times New Roman" w:hAnsi="Times New Roman" w:cs="Times New Roman"/>
                <w:b w:val="0"/>
              </w:rPr>
            </w:pPr>
            <w:r>
              <w:rPr>
                <w:rFonts w:ascii="Times New Roman" w:hAnsi="Times New Roman" w:cs="Times New Roman"/>
                <w:b w:val="0"/>
              </w:rPr>
              <w:t xml:space="preserve">See Q. 24. </w:t>
            </w:r>
          </w:p>
          <w:p w:rsidR="007807D2" w:rsidRDefault="007807D2" w:rsidP="007807D2">
            <w:pPr>
              <w:rPr>
                <w:rFonts w:ascii="Times New Roman" w:hAnsi="Times New Roman"/>
                <w:b w:val="0"/>
              </w:rPr>
            </w:pPr>
          </w:p>
          <w:p w:rsidR="007807D2" w:rsidRPr="007807D2" w:rsidRDefault="007807D2" w:rsidP="007807D2">
            <w:pPr>
              <w:rPr>
                <w:rFonts w:ascii="Times New Roman" w:hAnsi="Times New Roman"/>
                <w:b w:val="0"/>
              </w:rPr>
            </w:pPr>
            <w:r w:rsidRPr="007807D2">
              <w:rPr>
                <w:rFonts w:ascii="Times New Roman" w:hAnsi="Times New Roman"/>
                <w:b w:val="0"/>
              </w:rPr>
              <w:t>The HITPC believes that NVEs should be responsible for authenticating and authorizing entities they serve at an organizational level, allowing organizations to authorizing and authenticate their own users.</w:t>
            </w:r>
          </w:p>
          <w:p w:rsidR="007807D2" w:rsidRDefault="007807D2" w:rsidP="007807D2">
            <w:pPr>
              <w:rPr>
                <w:rFonts w:ascii="Times New Roman" w:hAnsi="Times New Roman"/>
                <w:b w:val="0"/>
              </w:rPr>
            </w:pPr>
          </w:p>
          <w:p w:rsidR="007807D2" w:rsidRPr="007807D2" w:rsidRDefault="007807D2" w:rsidP="007807D2">
            <w:pPr>
              <w:rPr>
                <w:rFonts w:ascii="Times New Roman" w:hAnsi="Times New Roman"/>
                <w:b w:val="0"/>
              </w:rPr>
            </w:pPr>
            <w:r w:rsidRPr="007807D2">
              <w:rPr>
                <w:rFonts w:ascii="Times New Roman" w:hAnsi="Times New Roman"/>
                <w:b w:val="0"/>
              </w:rPr>
              <w:t>The HITPC does not find it appropriate to establish specific requirements for indirect authentication and authorization processes for NVEs. Authentication and authorization processes will be dependent upon the unique services provided by each NVE and their clients, influenced by market and regulatory forces. NVEs should be transparent regarding authentication requirements.</w:t>
            </w:r>
          </w:p>
          <w:p w:rsidR="00BF53C3" w:rsidRPr="003E3D3F" w:rsidRDefault="00BF53C3" w:rsidP="00BE0A5A">
            <w:pPr>
              <w:spacing w:after="60"/>
              <w:rPr>
                <w:rFonts w:ascii="Times New Roman" w:hAnsi="Times New Roman" w:cs="Times New Roman"/>
                <w:b w:val="0"/>
              </w:rPr>
            </w:pPr>
          </w:p>
        </w:tc>
      </w:tr>
    </w:tbl>
    <w:p w:rsidR="007C2834" w:rsidRPr="00A36FD5" w:rsidRDefault="007C2834">
      <w:pPr>
        <w:rPr>
          <w:b/>
        </w:rPr>
      </w:pPr>
    </w:p>
    <w:tbl>
      <w:tblPr>
        <w:tblStyle w:val="MediumShading1-Accent11"/>
        <w:tblW w:w="5000" w:type="pct"/>
        <w:tblLook w:val="04A0"/>
      </w:tblPr>
      <w:tblGrid>
        <w:gridCol w:w="14616"/>
      </w:tblGrid>
      <w:tr w:rsidR="007F56D4" w:rsidRPr="002E56FA">
        <w:trPr>
          <w:cnfStyle w:val="100000000000"/>
          <w:tblHeader/>
        </w:trPr>
        <w:tc>
          <w:tcPr>
            <w:cnfStyle w:val="001000000000"/>
            <w:tcW w:w="5000" w:type="pct"/>
          </w:tcPr>
          <w:p w:rsidR="007F56D4" w:rsidRPr="002E56FA" w:rsidRDefault="00527F83" w:rsidP="00BE0A5A">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CF79D7" w:rsidRPr="00A36FD5">
        <w:trPr>
          <w:cnfStyle w:val="000000100000"/>
        </w:trPr>
        <w:tc>
          <w:tcPr>
            <w:cnfStyle w:val="001000000000"/>
            <w:tcW w:w="5000" w:type="pct"/>
            <w:shd w:val="clear" w:color="auto" w:fill="DBE5F1" w:themeFill="accent1" w:themeFillTint="33"/>
          </w:tcPr>
          <w:p w:rsidR="00CF79D7" w:rsidRDefault="00527F83" w:rsidP="00527F83">
            <w:pPr>
              <w:ind w:left="90"/>
              <w:rPr>
                <w:rFonts w:ascii="Times New Roman" w:hAnsi="Times New Roman"/>
                <w:sz w:val="24"/>
                <w:szCs w:val="24"/>
              </w:rPr>
            </w:pPr>
            <w:r w:rsidRPr="004A4EA2">
              <w:rPr>
                <w:rFonts w:ascii="Times New Roman" w:hAnsi="Times New Roman"/>
                <w:sz w:val="24"/>
                <w:szCs w:val="24"/>
                <w:u w:val="single"/>
              </w:rPr>
              <w:t>Question 2</w:t>
            </w:r>
            <w:r>
              <w:rPr>
                <w:rFonts w:ascii="Times New Roman" w:hAnsi="Times New Roman"/>
                <w:sz w:val="24"/>
                <w:szCs w:val="24"/>
                <w:u w:val="single"/>
              </w:rPr>
              <w:t>6</w:t>
            </w:r>
            <w:r w:rsidRPr="004A4EA2">
              <w:rPr>
                <w:rFonts w:ascii="Times New Roman" w:hAnsi="Times New Roman"/>
                <w:sz w:val="24"/>
                <w:szCs w:val="24"/>
                <w:u w:val="single"/>
              </w:rPr>
              <w:t>:</w:t>
            </w:r>
            <w:r>
              <w:rPr>
                <w:rFonts w:ascii="Times New Roman" w:hAnsi="Times New Roman"/>
                <w:sz w:val="24"/>
                <w:szCs w:val="24"/>
              </w:rPr>
              <w:t xml:space="preserve">  </w:t>
            </w:r>
            <w:r w:rsidRPr="005F45AF">
              <w:rPr>
                <w:rFonts w:ascii="Times New Roman" w:hAnsi="Times New Roman"/>
                <w:sz w:val="24"/>
                <w:szCs w:val="24"/>
              </w:rPr>
              <w:t>With respect to this CTE as well as others (particularly the Safeguards CTEs), should we consider applying the “flow down” concept in more cases?  That is, should we impose requirements on NVEs to enforce upon the parties for which they facilitate electronic exchange, to ensure greater consistency and/or compliance with the requirements specified in some CTEs?</w:t>
            </w:r>
          </w:p>
          <w:p w:rsidR="00527F83" w:rsidRPr="00A36FD5" w:rsidRDefault="00527F83" w:rsidP="00527F83">
            <w:pPr>
              <w:ind w:left="90"/>
              <w:rPr>
                <w:b w:val="0"/>
                <w:bCs w:val="0"/>
                <w:sz w:val="20"/>
                <w:szCs w:val="20"/>
              </w:rPr>
            </w:pPr>
          </w:p>
        </w:tc>
      </w:tr>
      <w:tr w:rsidR="0051637A"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527F83" w:rsidRDefault="00527F83" w:rsidP="00527F83">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[S-2]: </w:t>
            </w:r>
            <w:r w:rsidRPr="00E31299">
              <w:rPr>
                <w:rFonts w:ascii="Times New Roman" w:hAnsi="Times New Roman"/>
                <w:sz w:val="24"/>
                <w:szCs w:val="24"/>
              </w:rPr>
              <w:t>An NVE must only facilitate electronic health information exchange for parties it has authenticated and authorized, either directly or indirectly.</w:t>
            </w:r>
          </w:p>
          <w:p w:rsidR="0051637A" w:rsidRPr="00A36FD5" w:rsidRDefault="0051637A" w:rsidP="0051637A">
            <w:pPr>
              <w:spacing w:after="60"/>
              <w:ind w:left="90"/>
              <w:rPr>
                <w:sz w:val="20"/>
                <w:szCs w:val="20"/>
              </w:rPr>
            </w:pPr>
          </w:p>
        </w:tc>
      </w:tr>
      <w:tr w:rsidR="00CF79D7" w:rsidRPr="00A36FD5">
        <w:trPr>
          <w:cnfStyle w:val="000000100000"/>
        </w:trPr>
        <w:tc>
          <w:tcPr>
            <w:cnfStyle w:val="001000000000"/>
            <w:tcW w:w="5000" w:type="pct"/>
            <w:shd w:val="clear" w:color="auto" w:fill="FFFFFF" w:themeFill="background1"/>
          </w:tcPr>
          <w:p w:rsidR="00575714" w:rsidRPr="00575714" w:rsidRDefault="00575714" w:rsidP="00575714">
            <w:pPr>
              <w:spacing w:after="60"/>
              <w:rPr>
                <w:rFonts w:ascii="Times New Roman" w:hAnsi="Times New Roman" w:cs="Times New Roman"/>
                <w:b w:val="0"/>
              </w:rPr>
            </w:pPr>
            <w:r w:rsidRPr="00575714">
              <w:rPr>
                <w:rFonts w:ascii="Times New Roman" w:hAnsi="Times New Roman" w:cs="Times New Roman"/>
                <w:b w:val="0"/>
              </w:rPr>
              <w:t>The CTEs should allow for authentication of participating (provider) entities, and leave to each entity the responsibility of authenticating individual users (consistent with previous HIT Policy Committee recommendations for entity-level digital certificates).</w:t>
            </w:r>
          </w:p>
          <w:p w:rsidR="00740517" w:rsidRDefault="00575714" w:rsidP="00575714">
            <w:pPr>
              <w:spacing w:after="60"/>
              <w:rPr>
                <w:rFonts w:ascii="Times New Roman" w:hAnsi="Times New Roman" w:cs="Times New Roman"/>
                <w:b w:val="0"/>
              </w:rPr>
            </w:pPr>
            <w:r w:rsidRPr="00575714">
              <w:rPr>
                <w:rFonts w:ascii="Times New Roman" w:hAnsi="Times New Roman" w:cs="Times New Roman"/>
                <w:b w:val="0"/>
              </w:rPr>
              <w:t>NVEs may (but should not be required to) set additional policies for individual user authentication, such as requiring more than user name and password for remote access (previous HIT Policy Committee recommendation).</w:t>
            </w:r>
          </w:p>
          <w:p w:rsidR="007807D2" w:rsidRPr="007807D2" w:rsidRDefault="007807D2" w:rsidP="007807D2">
            <w:pPr>
              <w:rPr>
                <w:rFonts w:ascii="Times New Roman" w:hAnsi="Times New Roman"/>
                <w:b w:val="0"/>
                <w:sz w:val="20"/>
                <w:szCs w:val="20"/>
              </w:rPr>
            </w:pPr>
            <w:r w:rsidRPr="007807D2">
              <w:rPr>
                <w:rFonts w:ascii="Times New Roman" w:hAnsi="Times New Roman"/>
                <w:b w:val="0"/>
              </w:rPr>
              <w:t>The HITPC believes that NVEs should be responsible for authenticating and authorizing entities they serve at an organizational level, allowing organizations to authorizing and authenticate their own users</w:t>
            </w:r>
            <w:r w:rsidRPr="007807D2">
              <w:rPr>
                <w:rFonts w:ascii="Times New Roman" w:hAnsi="Times New Roman"/>
                <w:b w:val="0"/>
                <w:sz w:val="20"/>
                <w:szCs w:val="20"/>
              </w:rPr>
              <w:t>.</w:t>
            </w:r>
          </w:p>
          <w:p w:rsidR="00CF79D7" w:rsidRPr="008913B0" w:rsidRDefault="00CF79D7" w:rsidP="00A64EAC">
            <w:pPr>
              <w:spacing w:after="60"/>
              <w:rPr>
                <w:rFonts w:ascii="Times New Roman" w:hAnsi="Times New Roman" w:cs="Times New Roman"/>
              </w:rPr>
            </w:pPr>
          </w:p>
        </w:tc>
      </w:tr>
    </w:tbl>
    <w:p w:rsidR="007F56D4" w:rsidRDefault="007F56D4">
      <w:pPr>
        <w:rPr>
          <w:b/>
        </w:rPr>
      </w:pPr>
    </w:p>
    <w:tbl>
      <w:tblPr>
        <w:tblStyle w:val="MediumShading1-Accent11"/>
        <w:tblW w:w="5000" w:type="pct"/>
        <w:tblLook w:val="04A0"/>
      </w:tblPr>
      <w:tblGrid>
        <w:gridCol w:w="14616"/>
      </w:tblGrid>
      <w:tr w:rsidR="007F56D4" w:rsidRPr="002E56FA">
        <w:trPr>
          <w:cnfStyle w:val="100000000000"/>
          <w:tblHeader/>
        </w:trPr>
        <w:tc>
          <w:tcPr>
            <w:cnfStyle w:val="001000000000"/>
            <w:tcW w:w="5000" w:type="pct"/>
          </w:tcPr>
          <w:p w:rsidR="007F56D4" w:rsidRPr="002E56FA" w:rsidRDefault="00527F83" w:rsidP="007F56D4">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CF79D7" w:rsidRPr="00A36FD5">
        <w:trPr>
          <w:cnfStyle w:val="000000100000"/>
        </w:trPr>
        <w:tc>
          <w:tcPr>
            <w:cnfStyle w:val="001000000000"/>
            <w:tcW w:w="5000" w:type="pct"/>
            <w:shd w:val="clear" w:color="auto" w:fill="DBE5F1" w:themeFill="accent1" w:themeFillTint="33"/>
          </w:tcPr>
          <w:p w:rsidR="00527F83" w:rsidRDefault="00527F83" w:rsidP="00527F83">
            <w:pPr>
              <w:ind w:left="90"/>
              <w:rPr>
                <w:rFonts w:ascii="Times New Roman" w:hAnsi="Times New Roman"/>
                <w:sz w:val="24"/>
                <w:szCs w:val="24"/>
              </w:rPr>
            </w:pPr>
            <w:r w:rsidRPr="004A4EA2">
              <w:rPr>
                <w:rFonts w:ascii="Times New Roman" w:hAnsi="Times New Roman"/>
                <w:sz w:val="24"/>
                <w:szCs w:val="24"/>
                <w:u w:val="single"/>
              </w:rPr>
              <w:t>Question 2</w:t>
            </w:r>
            <w:r>
              <w:rPr>
                <w:rFonts w:ascii="Times New Roman" w:hAnsi="Times New Roman"/>
                <w:sz w:val="24"/>
                <w:szCs w:val="24"/>
                <w:u w:val="single"/>
              </w:rPr>
              <w:t>7</w:t>
            </w:r>
            <w:r w:rsidRPr="004A4EA2">
              <w:rPr>
                <w:rFonts w:ascii="Times New Roman" w:hAnsi="Times New Roman"/>
                <w:sz w:val="24"/>
                <w:szCs w:val="24"/>
                <w:u w:val="single"/>
              </w:rPr>
              <w:t>:</w:t>
            </w:r>
            <w:r>
              <w:rPr>
                <w:rFonts w:ascii="Times New Roman" w:hAnsi="Times New Roman"/>
                <w:sz w:val="24"/>
                <w:szCs w:val="24"/>
              </w:rPr>
              <w:t xml:space="preserve">  </w:t>
            </w:r>
            <w:r w:rsidRPr="007372F4">
              <w:rPr>
                <w:rFonts w:ascii="Times New Roman" w:hAnsi="Times New Roman"/>
                <w:sz w:val="24"/>
                <w:szCs w:val="24"/>
              </w:rPr>
              <w:t xml:space="preserve">In accommodating various meaningful choice approaches (e.g., opt-in, opt-out, or some combination of the two), what would be the operational challenges for each approach? What types of criteria could we use for validating meaningful choice under each </w:t>
            </w:r>
            <w:r w:rsidRPr="007372F4">
              <w:rPr>
                <w:rFonts w:ascii="Times New Roman" w:hAnsi="Times New Roman"/>
                <w:sz w:val="24"/>
                <w:szCs w:val="24"/>
              </w:rPr>
              <w:lastRenderedPageBreak/>
              <w:t>approach?  Considering some States have already established certain “choice” policies, how could we ensure consistency in implementing this CTE?</w:t>
            </w:r>
          </w:p>
          <w:p w:rsidR="00CF79D7" w:rsidRPr="00A36FD5" w:rsidRDefault="00CF79D7" w:rsidP="00CF79D7">
            <w:pPr>
              <w:ind w:left="90"/>
              <w:rPr>
                <w:b w:val="0"/>
                <w:bCs w:val="0"/>
                <w:sz w:val="20"/>
                <w:szCs w:val="20"/>
              </w:rPr>
            </w:pPr>
          </w:p>
        </w:tc>
      </w:tr>
      <w:tr w:rsidR="0051637A"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527F83" w:rsidRDefault="00527F83" w:rsidP="00527F83">
            <w:pPr>
              <w:ind w:left="90"/>
              <w:rPr>
                <w:rFonts w:ascii="Times New Roman" w:hAnsi="Times New Roman"/>
                <w:sz w:val="24"/>
                <w:szCs w:val="24"/>
              </w:rPr>
            </w:pPr>
            <w:r>
              <w:rPr>
                <w:rFonts w:ascii="Times New Roman" w:hAnsi="Times New Roman"/>
                <w:sz w:val="24"/>
                <w:szCs w:val="24"/>
                <w:u w:val="single"/>
              </w:rPr>
              <w:lastRenderedPageBreak/>
              <w:t>Question Context:</w:t>
            </w:r>
            <w:r>
              <w:rPr>
                <w:rFonts w:ascii="Times New Roman" w:hAnsi="Times New Roman"/>
                <w:sz w:val="24"/>
                <w:szCs w:val="24"/>
              </w:rPr>
              <w:t xml:space="preserve">  In reference to CTE [S-3]: </w:t>
            </w:r>
            <w:r w:rsidRPr="00B81726">
              <w:rPr>
                <w:rFonts w:ascii="Times New Roman" w:hAnsi="Times New Roman"/>
                <w:sz w:val="24"/>
                <w:szCs w:val="24"/>
              </w:rPr>
              <w:t>An NVE must ensure that individuals are provided with a meaningful choice regarding whether their IIHI may be exchanged by the NVE.</w:t>
            </w:r>
          </w:p>
          <w:p w:rsidR="0051637A" w:rsidRPr="00A36FD5" w:rsidRDefault="0051637A" w:rsidP="0051637A">
            <w:pPr>
              <w:spacing w:after="60"/>
              <w:ind w:left="90"/>
              <w:rPr>
                <w:sz w:val="20"/>
                <w:szCs w:val="20"/>
              </w:rPr>
            </w:pPr>
          </w:p>
        </w:tc>
      </w:tr>
      <w:tr w:rsidR="00CF79D7" w:rsidRPr="00A36FD5">
        <w:trPr>
          <w:cnfStyle w:val="000000100000"/>
        </w:trPr>
        <w:tc>
          <w:tcPr>
            <w:cnfStyle w:val="001000000000"/>
            <w:tcW w:w="5000" w:type="pct"/>
            <w:shd w:val="clear" w:color="auto" w:fill="FFFFFF" w:themeFill="background1"/>
          </w:tcPr>
          <w:p w:rsidR="007314BB" w:rsidRPr="007314BB" w:rsidRDefault="007314BB" w:rsidP="007314BB">
            <w:pPr>
              <w:spacing w:after="60"/>
              <w:rPr>
                <w:rFonts w:ascii="Times New Roman" w:hAnsi="Times New Roman" w:cs="Times New Roman"/>
                <w:b w:val="0"/>
              </w:rPr>
            </w:pPr>
            <w:r w:rsidRPr="007314BB">
              <w:rPr>
                <w:rFonts w:ascii="Times New Roman" w:hAnsi="Times New Roman" w:cs="Times New Roman"/>
                <w:b w:val="0"/>
              </w:rPr>
              <w:t xml:space="preserve">The </w:t>
            </w:r>
            <w:r w:rsidR="00864FA7">
              <w:rPr>
                <w:rFonts w:ascii="Times New Roman" w:hAnsi="Times New Roman" w:cs="Times New Roman"/>
                <w:b w:val="0"/>
              </w:rPr>
              <w:t>HITPC</w:t>
            </w:r>
            <w:r w:rsidRPr="007314BB">
              <w:rPr>
                <w:rFonts w:ascii="Times New Roman" w:hAnsi="Times New Roman" w:cs="Times New Roman"/>
                <w:b w:val="0"/>
              </w:rPr>
              <w:t xml:space="preserve"> recommends that NVEs follow the same criteria for meaningful choice (“meaningful consent”</w:t>
            </w:r>
            <w:r w:rsidRPr="007314BB">
              <w:rPr>
                <w:rFonts w:ascii="Times New Roman" w:hAnsi="Times New Roman" w:cs="Times New Roman"/>
                <w:b w:val="0"/>
                <w:vertAlign w:val="superscript"/>
              </w:rPr>
              <w:footnoteReference w:id="2"/>
            </w:r>
            <w:r w:rsidRPr="007314BB">
              <w:rPr>
                <w:rFonts w:ascii="Times New Roman" w:hAnsi="Times New Roman" w:cs="Times New Roman"/>
                <w:b w:val="0"/>
              </w:rPr>
              <w:t xml:space="preserve">) that the </w:t>
            </w:r>
            <w:r w:rsidR="00864FA7">
              <w:rPr>
                <w:rFonts w:ascii="Times New Roman" w:hAnsi="Times New Roman" w:cs="Times New Roman"/>
                <w:b w:val="0"/>
              </w:rPr>
              <w:t>HITPC</w:t>
            </w:r>
            <w:r w:rsidRPr="007314BB">
              <w:rPr>
                <w:rFonts w:ascii="Times New Roman" w:hAnsi="Times New Roman" w:cs="Times New Roman"/>
                <w:b w:val="0"/>
              </w:rPr>
              <w:t xml:space="preserve"> previously recommended. As noted in the RFI, consent is meaningful when it:</w:t>
            </w:r>
          </w:p>
          <w:p w:rsidR="007314BB" w:rsidRPr="007314BB" w:rsidRDefault="007314BB" w:rsidP="006F4BDD">
            <w:pPr>
              <w:numPr>
                <w:ilvl w:val="0"/>
                <w:numId w:val="10"/>
              </w:numPr>
              <w:spacing w:after="60"/>
              <w:rPr>
                <w:rFonts w:ascii="Times New Roman" w:hAnsi="Times New Roman" w:cs="Times New Roman"/>
                <w:b w:val="0"/>
              </w:rPr>
            </w:pPr>
            <w:r w:rsidRPr="007314BB">
              <w:rPr>
                <w:rFonts w:ascii="Times New Roman" w:hAnsi="Times New Roman" w:cs="Times New Roman"/>
                <w:b w:val="0"/>
              </w:rPr>
              <w:t xml:space="preserve">Allows the individual advanced knowledge/time to make a decision; </w:t>
            </w:r>
          </w:p>
          <w:p w:rsidR="007314BB" w:rsidRPr="007314BB" w:rsidRDefault="007314BB" w:rsidP="006F4BDD">
            <w:pPr>
              <w:numPr>
                <w:ilvl w:val="0"/>
                <w:numId w:val="10"/>
              </w:numPr>
              <w:spacing w:after="60"/>
              <w:rPr>
                <w:rFonts w:ascii="Times New Roman" w:hAnsi="Times New Roman" w:cs="Times New Roman"/>
                <w:b w:val="0"/>
              </w:rPr>
            </w:pPr>
            <w:r w:rsidRPr="007314BB">
              <w:rPr>
                <w:rFonts w:ascii="Times New Roman" w:hAnsi="Times New Roman" w:cs="Times New Roman"/>
                <w:b w:val="0"/>
              </w:rPr>
              <w:t xml:space="preserve">Is not compelled, or is not used for discriminatory purposes; </w:t>
            </w:r>
          </w:p>
          <w:p w:rsidR="007314BB" w:rsidRPr="007314BB" w:rsidRDefault="007314BB" w:rsidP="006F4BDD">
            <w:pPr>
              <w:numPr>
                <w:ilvl w:val="0"/>
                <w:numId w:val="10"/>
              </w:numPr>
              <w:spacing w:after="60"/>
              <w:rPr>
                <w:rFonts w:ascii="Times New Roman" w:hAnsi="Times New Roman" w:cs="Times New Roman"/>
                <w:b w:val="0"/>
              </w:rPr>
            </w:pPr>
            <w:r w:rsidRPr="007314BB">
              <w:rPr>
                <w:rFonts w:ascii="Times New Roman" w:hAnsi="Times New Roman" w:cs="Times New Roman"/>
                <w:b w:val="0"/>
              </w:rPr>
              <w:t xml:space="preserve">Provides full transparency and education; </w:t>
            </w:r>
          </w:p>
          <w:p w:rsidR="007314BB" w:rsidRPr="007314BB" w:rsidRDefault="007314BB" w:rsidP="006F4BDD">
            <w:pPr>
              <w:numPr>
                <w:ilvl w:val="0"/>
                <w:numId w:val="10"/>
              </w:numPr>
              <w:spacing w:after="60"/>
              <w:rPr>
                <w:rFonts w:ascii="Times New Roman" w:hAnsi="Times New Roman" w:cs="Times New Roman"/>
                <w:b w:val="0"/>
              </w:rPr>
            </w:pPr>
            <w:r w:rsidRPr="007314BB">
              <w:rPr>
                <w:rFonts w:ascii="Times New Roman" w:hAnsi="Times New Roman" w:cs="Times New Roman"/>
                <w:b w:val="0"/>
              </w:rPr>
              <w:t>Is commensurate with the circumstances; and</w:t>
            </w:r>
          </w:p>
          <w:p w:rsidR="007314BB" w:rsidRPr="007314BB" w:rsidRDefault="007314BB" w:rsidP="006F4BDD">
            <w:pPr>
              <w:numPr>
                <w:ilvl w:val="0"/>
                <w:numId w:val="10"/>
              </w:numPr>
              <w:spacing w:after="60"/>
              <w:rPr>
                <w:rFonts w:ascii="Times New Roman" w:hAnsi="Times New Roman" w:cs="Times New Roman"/>
                <w:b w:val="0"/>
              </w:rPr>
            </w:pPr>
            <w:r w:rsidRPr="007314BB">
              <w:rPr>
                <w:rFonts w:ascii="Times New Roman" w:hAnsi="Times New Roman" w:cs="Times New Roman"/>
                <w:b w:val="0"/>
              </w:rPr>
              <w:t xml:space="preserve">Must be consistent with reasonable patient expectations for privacy, health, and safety; and must be revocable. </w:t>
            </w:r>
          </w:p>
          <w:p w:rsidR="00740517" w:rsidRDefault="007314BB" w:rsidP="007314BB">
            <w:pPr>
              <w:spacing w:after="60"/>
              <w:rPr>
                <w:rFonts w:ascii="Times New Roman" w:hAnsi="Times New Roman" w:cs="Times New Roman"/>
                <w:b w:val="0"/>
              </w:rPr>
            </w:pPr>
            <w:r w:rsidRPr="007314BB">
              <w:rPr>
                <w:rFonts w:ascii="Times New Roman" w:hAnsi="Times New Roman" w:cs="Times New Roman"/>
                <w:b w:val="0"/>
              </w:rPr>
              <w:t>Consistency in approach—opt-in or opt-out—is not as important as meeting these specific criteria, which could also be used for validation purposes.  An NVE is required to apply consent with respect to the data sharing it performs or facilitates; consequently, some variation in policy among NVEs is acceptable (and may be necessary in order to accommodate different community norms).</w:t>
            </w:r>
          </w:p>
          <w:p w:rsidR="007807D2" w:rsidRDefault="007807D2" w:rsidP="007314BB">
            <w:pPr>
              <w:spacing w:after="60"/>
              <w:rPr>
                <w:rFonts w:ascii="Times New Roman" w:hAnsi="Times New Roman" w:cs="Times New Roman"/>
                <w:b w:val="0"/>
              </w:rPr>
            </w:pPr>
          </w:p>
          <w:p w:rsidR="007807D2" w:rsidRPr="007807D2" w:rsidRDefault="007807D2" w:rsidP="007807D2">
            <w:pPr>
              <w:rPr>
                <w:rFonts w:ascii="Times New Roman" w:hAnsi="Times New Roman"/>
                <w:b w:val="0"/>
              </w:rPr>
            </w:pPr>
            <w:r w:rsidRPr="007807D2">
              <w:rPr>
                <w:rFonts w:ascii="Times New Roman" w:hAnsi="Times New Roman"/>
                <w:b w:val="0"/>
              </w:rPr>
              <w:t>The HITPC believes that many NVEs will not act as providers, or those otherwise tasked with obtaining and monitoring meaningful choice directly from patients. Unless NVEs are providers already required to obtain consent from patients, NVEs working to facilitate directed exchange should not be required to obtain consent. Requiring NVEs to ensure meaningful consent was obtained would create a significant operational barrier for most NVEs.</w:t>
            </w:r>
          </w:p>
          <w:p w:rsidR="007807D2" w:rsidRDefault="007807D2" w:rsidP="007807D2">
            <w:pPr>
              <w:rPr>
                <w:rFonts w:ascii="Times New Roman" w:hAnsi="Times New Roman"/>
                <w:b w:val="0"/>
              </w:rPr>
            </w:pPr>
          </w:p>
          <w:p w:rsidR="007807D2" w:rsidRPr="007807D2" w:rsidRDefault="007807D2" w:rsidP="007807D2">
            <w:pPr>
              <w:rPr>
                <w:rFonts w:ascii="Times New Roman" w:hAnsi="Times New Roman"/>
                <w:b w:val="0"/>
              </w:rPr>
            </w:pPr>
            <w:r w:rsidRPr="007807D2">
              <w:rPr>
                <w:rFonts w:ascii="Times New Roman" w:hAnsi="Times New Roman"/>
                <w:b w:val="0"/>
              </w:rPr>
              <w:t>NVEs should be transparent and provide notice as to how data accessed will be used. Accordingly, patients can offer meaningful opt-in or opt-out consent to providers served by a particular NVE.</w:t>
            </w:r>
          </w:p>
          <w:p w:rsidR="007807D2" w:rsidRDefault="007807D2" w:rsidP="007807D2">
            <w:pPr>
              <w:spacing w:before="40" w:after="60"/>
              <w:rPr>
                <w:rFonts w:ascii="Times New Roman" w:hAnsi="Times New Roman" w:cs="Times New Roman"/>
              </w:rPr>
            </w:pPr>
          </w:p>
          <w:p w:rsidR="007807D2" w:rsidRDefault="007807D2" w:rsidP="007807D2">
            <w:pPr>
              <w:spacing w:before="40" w:after="60"/>
              <w:rPr>
                <w:rFonts w:ascii="Times New Roman" w:hAnsi="Times New Roman" w:cs="Times New Roman"/>
                <w:b w:val="0"/>
                <w:i/>
              </w:rPr>
            </w:pPr>
            <w:r>
              <w:rPr>
                <w:rFonts w:ascii="Times New Roman" w:hAnsi="Times New Roman" w:cs="Times New Roman"/>
                <w:b w:val="0"/>
                <w:i/>
              </w:rPr>
              <w:t xml:space="preserve">The HITPC did not reach consensus on whether </w:t>
            </w:r>
            <w:r w:rsidR="00864FA7">
              <w:rPr>
                <w:rFonts w:ascii="Times New Roman" w:hAnsi="Times New Roman" w:cs="Times New Roman"/>
                <w:b w:val="0"/>
                <w:i/>
              </w:rPr>
              <w:t xml:space="preserve">all NVEs </w:t>
            </w:r>
            <w:r>
              <w:rPr>
                <w:rFonts w:ascii="Times New Roman" w:hAnsi="Times New Roman" w:cs="Times New Roman"/>
                <w:b w:val="0"/>
                <w:i/>
              </w:rPr>
              <w:t>should be required to offer meaningful choice</w:t>
            </w:r>
            <w:r w:rsidR="00B7654C">
              <w:rPr>
                <w:rFonts w:ascii="Times New Roman" w:hAnsi="Times New Roman" w:cs="Times New Roman"/>
                <w:b w:val="0"/>
                <w:i/>
              </w:rPr>
              <w:t xml:space="preserve"> for all circumstances</w:t>
            </w:r>
            <w:r>
              <w:rPr>
                <w:rFonts w:ascii="Times New Roman" w:hAnsi="Times New Roman" w:cs="Times New Roman"/>
                <w:b w:val="0"/>
                <w:i/>
              </w:rPr>
              <w:t xml:space="preserve">.  The Committee believes that further discussion is needed about policies for different use case scenarios, linked to the concept of modules for validation, and also on </w:t>
            </w:r>
            <w:r w:rsidRPr="00A04E48">
              <w:rPr>
                <w:rFonts w:ascii="Times New Roman" w:hAnsi="Times New Roman" w:cs="Times New Roman"/>
                <w:b w:val="0"/>
                <w:i/>
              </w:rPr>
              <w:t xml:space="preserve">the </w:t>
            </w:r>
            <w:r w:rsidR="00B7654C">
              <w:rPr>
                <w:rFonts w:ascii="Times New Roman" w:hAnsi="Times New Roman" w:cs="Times New Roman"/>
                <w:b w:val="0"/>
                <w:i/>
              </w:rPr>
              <w:t xml:space="preserve">applicability of consent obtained by one organization to uses </w:t>
            </w:r>
            <w:r w:rsidR="00B20737">
              <w:rPr>
                <w:rFonts w:ascii="Times New Roman" w:hAnsi="Times New Roman" w:cs="Times New Roman"/>
                <w:b w:val="0"/>
                <w:i/>
              </w:rPr>
              <w:t>by</w:t>
            </w:r>
            <w:r w:rsidR="00B7654C">
              <w:rPr>
                <w:rFonts w:ascii="Times New Roman" w:hAnsi="Times New Roman" w:cs="Times New Roman"/>
                <w:b w:val="0"/>
                <w:i/>
              </w:rPr>
              <w:t xml:space="preserve"> the receiving organization</w:t>
            </w:r>
            <w:r w:rsidR="00B20737">
              <w:rPr>
                <w:rFonts w:ascii="Times New Roman" w:hAnsi="Times New Roman" w:cs="Times New Roman"/>
                <w:b w:val="0"/>
                <w:i/>
              </w:rPr>
              <w:t xml:space="preserve">. </w:t>
            </w:r>
            <w:r>
              <w:rPr>
                <w:rFonts w:ascii="Times New Roman" w:hAnsi="Times New Roman" w:cs="Times New Roman"/>
                <w:b w:val="0"/>
                <w:i/>
              </w:rPr>
              <w:t>(See Question 33)</w:t>
            </w:r>
          </w:p>
          <w:p w:rsidR="00CF79D7" w:rsidRPr="007314BB" w:rsidRDefault="00CF79D7" w:rsidP="00A0154B">
            <w:pPr>
              <w:spacing w:after="60"/>
              <w:rPr>
                <w:rFonts w:ascii="Times New Roman" w:hAnsi="Times New Roman" w:cs="Times New Roman"/>
                <w:b w:val="0"/>
              </w:rPr>
            </w:pPr>
          </w:p>
        </w:tc>
      </w:tr>
    </w:tbl>
    <w:p w:rsidR="007C2834" w:rsidRPr="00A36FD5" w:rsidRDefault="007C2834">
      <w:pPr>
        <w:rPr>
          <w:b/>
        </w:rPr>
      </w:pPr>
    </w:p>
    <w:tbl>
      <w:tblPr>
        <w:tblStyle w:val="MediumShading1-Accent11"/>
        <w:tblW w:w="5000" w:type="pct"/>
        <w:tblLook w:val="04A0"/>
      </w:tblPr>
      <w:tblGrid>
        <w:gridCol w:w="14616"/>
      </w:tblGrid>
      <w:tr w:rsidR="007F56D4" w:rsidRPr="002E56FA">
        <w:trPr>
          <w:cnfStyle w:val="100000000000"/>
          <w:tblHeader/>
        </w:trPr>
        <w:tc>
          <w:tcPr>
            <w:cnfStyle w:val="001000000000"/>
            <w:tcW w:w="5000" w:type="pct"/>
          </w:tcPr>
          <w:p w:rsidR="007F56D4" w:rsidRPr="002E56FA" w:rsidRDefault="00527F83" w:rsidP="00B316E8">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527F83" w:rsidRPr="00A36FD5">
        <w:trPr>
          <w:cnfStyle w:val="000000100000"/>
        </w:trPr>
        <w:tc>
          <w:tcPr>
            <w:cnfStyle w:val="001000000000"/>
            <w:tcW w:w="5000" w:type="pct"/>
            <w:shd w:val="clear" w:color="auto" w:fill="DBE5F1" w:themeFill="accent1" w:themeFillTint="33"/>
          </w:tcPr>
          <w:p w:rsidR="00527F83" w:rsidRDefault="00527F83" w:rsidP="00527F83">
            <w:pPr>
              <w:ind w:left="90"/>
              <w:rPr>
                <w:rFonts w:ascii="Times New Roman" w:hAnsi="Times New Roman"/>
                <w:sz w:val="24"/>
                <w:szCs w:val="24"/>
              </w:rPr>
            </w:pPr>
            <w:r w:rsidRPr="004A4EA2">
              <w:rPr>
                <w:rFonts w:ascii="Times New Roman" w:hAnsi="Times New Roman"/>
                <w:sz w:val="24"/>
                <w:szCs w:val="24"/>
                <w:u w:val="single"/>
              </w:rPr>
              <w:t>Question 2</w:t>
            </w:r>
            <w:r>
              <w:rPr>
                <w:rFonts w:ascii="Times New Roman" w:hAnsi="Times New Roman"/>
                <w:sz w:val="24"/>
                <w:szCs w:val="24"/>
                <w:u w:val="single"/>
              </w:rPr>
              <w:t>8</w:t>
            </w:r>
            <w:r w:rsidRPr="004A4EA2">
              <w:rPr>
                <w:rFonts w:ascii="Times New Roman" w:hAnsi="Times New Roman"/>
                <w:sz w:val="24"/>
                <w:szCs w:val="24"/>
                <w:u w:val="single"/>
              </w:rPr>
              <w:t>:</w:t>
            </w:r>
            <w:r>
              <w:rPr>
                <w:rFonts w:ascii="Times New Roman" w:hAnsi="Times New Roman"/>
                <w:sz w:val="24"/>
                <w:szCs w:val="24"/>
              </w:rPr>
              <w:t xml:space="preserve">  </w:t>
            </w:r>
            <w:r w:rsidRPr="007372F4">
              <w:rPr>
                <w:rFonts w:ascii="Times New Roman" w:hAnsi="Times New Roman"/>
                <w:sz w:val="24"/>
                <w:szCs w:val="24"/>
              </w:rPr>
              <w:t>Under what circumstances and in what manner should individual choice be required for other electronic exchange purposes?</w:t>
            </w:r>
          </w:p>
          <w:p w:rsidR="00527F83" w:rsidRPr="00A36FD5" w:rsidRDefault="00527F83" w:rsidP="00527F83">
            <w:pPr>
              <w:ind w:left="90"/>
              <w:rPr>
                <w:b w:val="0"/>
                <w:bCs w:val="0"/>
                <w:sz w:val="20"/>
                <w:szCs w:val="20"/>
              </w:rPr>
            </w:pPr>
          </w:p>
        </w:tc>
      </w:tr>
      <w:tr w:rsidR="00527F83"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527F83" w:rsidRDefault="00527F83" w:rsidP="00527F83">
            <w:pPr>
              <w:ind w:left="90"/>
              <w:rPr>
                <w:rFonts w:ascii="Times New Roman" w:hAnsi="Times New Roman"/>
                <w:sz w:val="24"/>
                <w:szCs w:val="24"/>
              </w:rPr>
            </w:pPr>
            <w:r>
              <w:rPr>
                <w:rFonts w:ascii="Times New Roman" w:hAnsi="Times New Roman"/>
                <w:sz w:val="24"/>
                <w:szCs w:val="24"/>
                <w:u w:val="single"/>
              </w:rPr>
              <w:lastRenderedPageBreak/>
              <w:t>Question Context:</w:t>
            </w:r>
            <w:r>
              <w:rPr>
                <w:rFonts w:ascii="Times New Roman" w:hAnsi="Times New Roman"/>
                <w:sz w:val="24"/>
                <w:szCs w:val="24"/>
              </w:rPr>
              <w:t xml:space="preserve">  In reference to CTE [S-3]: </w:t>
            </w:r>
            <w:r w:rsidRPr="00B81726">
              <w:rPr>
                <w:rFonts w:ascii="Times New Roman" w:hAnsi="Times New Roman"/>
                <w:sz w:val="24"/>
                <w:szCs w:val="24"/>
              </w:rPr>
              <w:t>An NVE must ensure that individuals are provided with a meaningful choice regarding whether their IIHI may be exchanged by the NVE.</w:t>
            </w:r>
          </w:p>
          <w:p w:rsidR="00527F83" w:rsidRPr="00A36FD5" w:rsidRDefault="00527F83" w:rsidP="00527F83">
            <w:pPr>
              <w:spacing w:after="60"/>
              <w:ind w:left="90"/>
              <w:rPr>
                <w:sz w:val="20"/>
                <w:szCs w:val="20"/>
              </w:rPr>
            </w:pPr>
          </w:p>
        </w:tc>
      </w:tr>
      <w:tr w:rsidR="00527F83" w:rsidRPr="00A36FD5">
        <w:trPr>
          <w:cnfStyle w:val="000000100000"/>
        </w:trPr>
        <w:tc>
          <w:tcPr>
            <w:cnfStyle w:val="001000000000"/>
            <w:tcW w:w="5000" w:type="pct"/>
            <w:shd w:val="clear" w:color="auto" w:fill="FFFFFF" w:themeFill="background1"/>
          </w:tcPr>
          <w:p w:rsidR="00A1148A" w:rsidRPr="00A1148A" w:rsidRDefault="00A1148A" w:rsidP="007807D2">
            <w:pPr>
              <w:rPr>
                <w:rFonts w:ascii="Times New Roman" w:hAnsi="Times New Roman" w:cs="Times New Roman"/>
                <w:b w:val="0"/>
              </w:rPr>
            </w:pPr>
            <w:r w:rsidRPr="00A1148A">
              <w:rPr>
                <w:rFonts w:ascii="Times New Roman" w:hAnsi="Times New Roman" w:cs="Times New Roman"/>
                <w:b w:val="0"/>
              </w:rPr>
              <w:t xml:space="preserve">The </w:t>
            </w:r>
            <w:r w:rsidR="00864FA7">
              <w:rPr>
                <w:rFonts w:ascii="Times New Roman" w:hAnsi="Times New Roman" w:cs="Times New Roman"/>
                <w:b w:val="0"/>
              </w:rPr>
              <w:t>HITPC</w:t>
            </w:r>
            <w:r w:rsidRPr="00A1148A">
              <w:rPr>
                <w:rFonts w:ascii="Times New Roman" w:hAnsi="Times New Roman" w:cs="Times New Roman"/>
                <w:b w:val="0"/>
              </w:rPr>
              <w:t xml:space="preserve"> has not yet considered whether individual consent should be required for other electronic exchange purposes, beyond what the HIPAA Privacy Rule currently requires.</w:t>
            </w:r>
          </w:p>
          <w:p w:rsidR="007807D2" w:rsidRDefault="007807D2" w:rsidP="00FC1386">
            <w:pPr>
              <w:ind w:firstLine="360"/>
              <w:rPr>
                <w:rFonts w:ascii="Times New Roman" w:hAnsi="Times New Roman" w:cs="Times New Roman"/>
                <w:b w:val="0"/>
              </w:rPr>
            </w:pPr>
          </w:p>
          <w:p w:rsidR="00E6442E" w:rsidRDefault="00A1148A" w:rsidP="007807D2">
            <w:pPr>
              <w:rPr>
                <w:rFonts w:ascii="Times New Roman" w:hAnsi="Times New Roman" w:cs="Times New Roman"/>
                <w:b w:val="0"/>
              </w:rPr>
            </w:pPr>
            <w:r w:rsidRPr="00A1148A">
              <w:rPr>
                <w:rFonts w:ascii="Times New Roman" w:hAnsi="Times New Roman" w:cs="Times New Roman"/>
                <w:b w:val="0"/>
              </w:rPr>
              <w:t xml:space="preserve">The </w:t>
            </w:r>
            <w:r w:rsidR="00864FA7">
              <w:rPr>
                <w:rFonts w:ascii="Times New Roman" w:hAnsi="Times New Roman" w:cs="Times New Roman"/>
                <w:b w:val="0"/>
              </w:rPr>
              <w:t>HITPC</w:t>
            </w:r>
            <w:r w:rsidRPr="00A1148A">
              <w:rPr>
                <w:rFonts w:ascii="Times New Roman" w:hAnsi="Times New Roman" w:cs="Times New Roman"/>
                <w:b w:val="0"/>
              </w:rPr>
              <w:t xml:space="preserve"> agrees that consent (beyond what might already be required by law) should not be required when an NVE is facilitating secure, directed exchange.  However, when the decision regarding whether or not to share health information is no longer in control of the provider (or the provider’s OHCA), the patient should have meaningful consent about whether or not his/her information is collected, used, or disclosed by the NVE.  Examples of NVEs that should provide meaningful consent include centralized databases, federated models where the NVE controls data sharing decisions, or NVEs that aggregate data from multiple sources. When the NVE model is one where consent should be required, patients should have meaningful consent even if the purpose for exchange is for treatment. </w:t>
            </w:r>
          </w:p>
          <w:p w:rsidR="00DB0C26" w:rsidRDefault="00DB0C26" w:rsidP="00FC1386">
            <w:pPr>
              <w:ind w:firstLine="360"/>
              <w:rPr>
                <w:rFonts w:ascii="Times New Roman" w:hAnsi="Times New Roman" w:cs="Times New Roman"/>
                <w:b w:val="0"/>
              </w:rPr>
            </w:pPr>
          </w:p>
          <w:p w:rsidR="00DB0C26" w:rsidRDefault="00DB0C26" w:rsidP="007807D2">
            <w:pPr>
              <w:rPr>
                <w:rFonts w:ascii="Times New Roman" w:hAnsi="Times New Roman" w:cs="Times New Roman"/>
                <w:b w:val="0"/>
                <w:i/>
              </w:rPr>
            </w:pPr>
            <w:r>
              <w:rPr>
                <w:rFonts w:ascii="Times New Roman" w:hAnsi="Times New Roman" w:cs="Times New Roman"/>
                <w:b w:val="0"/>
                <w:i/>
              </w:rPr>
              <w:t xml:space="preserve">The HITPC </w:t>
            </w:r>
            <w:r w:rsidR="003964F6">
              <w:rPr>
                <w:rFonts w:ascii="Times New Roman" w:hAnsi="Times New Roman" w:cs="Times New Roman"/>
                <w:b w:val="0"/>
                <w:i/>
              </w:rPr>
              <w:t xml:space="preserve">recommended that ONC provide guidance on other exchange scenarios, including but not limited to directed query and exchange within an OCHA.  </w:t>
            </w:r>
          </w:p>
          <w:p w:rsidR="003964F6" w:rsidRPr="00DB0C26" w:rsidRDefault="003964F6" w:rsidP="00FC1386">
            <w:pPr>
              <w:ind w:firstLine="360"/>
              <w:rPr>
                <w:rFonts w:ascii="Times New Roman" w:hAnsi="Times New Roman" w:cs="Times New Roman"/>
                <w:b w:val="0"/>
                <w:i/>
              </w:rPr>
            </w:pPr>
          </w:p>
          <w:p w:rsidR="00527F83" w:rsidRPr="00A36FD5" w:rsidRDefault="00527F83" w:rsidP="00BE0A5A">
            <w:pPr>
              <w:spacing w:after="60"/>
              <w:rPr>
                <w:rFonts w:ascii="Times New Roman" w:hAnsi="Times New Roman" w:cs="Times New Roman"/>
                <w:b w:val="0"/>
                <w:sz w:val="20"/>
                <w:szCs w:val="20"/>
              </w:rPr>
            </w:pPr>
          </w:p>
        </w:tc>
      </w:tr>
    </w:tbl>
    <w:p w:rsidR="007F56D4" w:rsidRDefault="007F56D4" w:rsidP="007F56D4">
      <w:pPr>
        <w:tabs>
          <w:tab w:val="left" w:pos="900"/>
        </w:tabs>
        <w:ind w:left="360"/>
        <w:rPr>
          <w:b/>
        </w:rPr>
      </w:pPr>
    </w:p>
    <w:p w:rsidR="00A946D8" w:rsidRPr="00A36FD5" w:rsidRDefault="00A946D8" w:rsidP="007F56D4">
      <w:pPr>
        <w:tabs>
          <w:tab w:val="left" w:pos="900"/>
        </w:tabs>
        <w:ind w:left="360"/>
        <w:rPr>
          <w:b/>
        </w:rPr>
      </w:pPr>
    </w:p>
    <w:tbl>
      <w:tblPr>
        <w:tblStyle w:val="MediumShading1-Accent11"/>
        <w:tblW w:w="5000" w:type="pct"/>
        <w:tblLook w:val="04A0"/>
      </w:tblPr>
      <w:tblGrid>
        <w:gridCol w:w="14616"/>
      </w:tblGrid>
      <w:tr w:rsidR="004D2CFB" w:rsidRPr="002E56FA">
        <w:trPr>
          <w:cnfStyle w:val="100000000000"/>
          <w:trHeight w:val="296"/>
          <w:tblHeader/>
        </w:trPr>
        <w:tc>
          <w:tcPr>
            <w:cnfStyle w:val="001000000000"/>
            <w:tcW w:w="5000" w:type="pct"/>
          </w:tcPr>
          <w:p w:rsidR="004D2CFB" w:rsidRPr="002E56FA" w:rsidRDefault="00527F83" w:rsidP="00717F30">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527F83" w:rsidRPr="00A36FD5">
        <w:trPr>
          <w:cnfStyle w:val="000000100000"/>
          <w:trHeight w:val="358"/>
        </w:trPr>
        <w:tc>
          <w:tcPr>
            <w:cnfStyle w:val="001000000000"/>
            <w:tcW w:w="5000" w:type="pct"/>
            <w:shd w:val="clear" w:color="auto" w:fill="DBE5F1" w:themeFill="accent1" w:themeFillTint="33"/>
          </w:tcPr>
          <w:p w:rsidR="00527F83" w:rsidRDefault="00527F83" w:rsidP="00527F83">
            <w:pPr>
              <w:ind w:left="90"/>
              <w:rPr>
                <w:rFonts w:ascii="Times New Roman" w:hAnsi="Times New Roman"/>
                <w:sz w:val="24"/>
                <w:szCs w:val="24"/>
              </w:rPr>
            </w:pPr>
            <w:r w:rsidRPr="004A4EA2">
              <w:rPr>
                <w:rFonts w:ascii="Times New Roman" w:hAnsi="Times New Roman"/>
                <w:sz w:val="24"/>
                <w:szCs w:val="24"/>
                <w:u w:val="single"/>
              </w:rPr>
              <w:t>Question 2</w:t>
            </w:r>
            <w:r>
              <w:rPr>
                <w:rFonts w:ascii="Times New Roman" w:hAnsi="Times New Roman"/>
                <w:sz w:val="24"/>
                <w:szCs w:val="24"/>
                <w:u w:val="single"/>
              </w:rPr>
              <w:t>9</w:t>
            </w:r>
            <w:r w:rsidRPr="004A4EA2">
              <w:rPr>
                <w:rFonts w:ascii="Times New Roman" w:hAnsi="Times New Roman"/>
                <w:sz w:val="24"/>
                <w:szCs w:val="24"/>
                <w:u w:val="single"/>
              </w:rPr>
              <w:t>:</w:t>
            </w:r>
            <w:r>
              <w:rPr>
                <w:rFonts w:ascii="Times New Roman" w:hAnsi="Times New Roman"/>
                <w:sz w:val="24"/>
                <w:szCs w:val="24"/>
              </w:rPr>
              <w:t xml:space="preserve">  </w:t>
            </w:r>
            <w:r w:rsidRPr="007372F4">
              <w:rPr>
                <w:rFonts w:ascii="Times New Roman" w:hAnsi="Times New Roman"/>
                <w:sz w:val="24"/>
                <w:szCs w:val="24"/>
              </w:rPr>
              <w:t xml:space="preserve">Should an additional “meaningful choice” Safeguards CTE be considered to address electronic exchange scenarios (e.g., distributed query) that do not take place following Interoperability CTE I-1?  </w:t>
            </w:r>
          </w:p>
          <w:p w:rsidR="00527F83" w:rsidRPr="00A36FD5" w:rsidRDefault="00527F83" w:rsidP="00527F83">
            <w:pPr>
              <w:ind w:left="90"/>
              <w:rPr>
                <w:b w:val="0"/>
                <w:bCs w:val="0"/>
                <w:sz w:val="20"/>
                <w:szCs w:val="20"/>
              </w:rPr>
            </w:pPr>
          </w:p>
        </w:tc>
      </w:tr>
      <w:tr w:rsidR="00527F83" w:rsidRPr="00A36FD5">
        <w:trPr>
          <w:cnfStyle w:val="000000010000"/>
          <w:trHeight w:val="295"/>
        </w:trPr>
        <w:tc>
          <w:tcPr>
            <w:cnfStyle w:val="001000000000"/>
            <w:tcW w:w="5000" w:type="pct"/>
            <w:tcBorders>
              <w:bottom w:val="single" w:sz="8" w:space="0" w:color="7BA0CD" w:themeColor="accent1" w:themeTint="BF"/>
            </w:tcBorders>
            <w:shd w:val="clear" w:color="auto" w:fill="DBE5F1" w:themeFill="accent1" w:themeFillTint="33"/>
          </w:tcPr>
          <w:p w:rsidR="00527F83" w:rsidRDefault="00527F83" w:rsidP="00527F83">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[S-3]: </w:t>
            </w:r>
            <w:r w:rsidRPr="00B81726">
              <w:rPr>
                <w:rFonts w:ascii="Times New Roman" w:hAnsi="Times New Roman"/>
                <w:sz w:val="24"/>
                <w:szCs w:val="24"/>
              </w:rPr>
              <w:t>An NVE must ensure that individuals are provided with a meaningful choice regarding whether their IIHI may be exchanged by the NVE.</w:t>
            </w:r>
          </w:p>
          <w:p w:rsidR="00527F83" w:rsidRPr="00A36FD5" w:rsidRDefault="00527F83" w:rsidP="00527F83">
            <w:pPr>
              <w:spacing w:after="60"/>
              <w:ind w:left="90"/>
              <w:rPr>
                <w:sz w:val="20"/>
                <w:szCs w:val="20"/>
              </w:rPr>
            </w:pPr>
          </w:p>
        </w:tc>
      </w:tr>
      <w:tr w:rsidR="001419EE" w:rsidRPr="00A36FD5">
        <w:trPr>
          <w:cnfStyle w:val="000000100000"/>
          <w:trHeight w:val="890"/>
        </w:trPr>
        <w:tc>
          <w:tcPr>
            <w:cnfStyle w:val="001000000000"/>
            <w:tcW w:w="5000" w:type="pct"/>
            <w:shd w:val="clear" w:color="auto" w:fill="FFFFFF" w:themeFill="background1"/>
          </w:tcPr>
          <w:p w:rsidR="00945B75" w:rsidRPr="00177B53" w:rsidRDefault="00FC1386" w:rsidP="00177B53">
            <w:pPr>
              <w:spacing w:before="40" w:after="60"/>
              <w:rPr>
                <w:rFonts w:ascii="Times New Roman" w:hAnsi="Times New Roman" w:cs="Times New Roman"/>
              </w:rPr>
            </w:pPr>
            <w:r w:rsidRPr="00FC1386">
              <w:rPr>
                <w:rFonts w:ascii="Times New Roman" w:hAnsi="Times New Roman" w:cs="Times New Roman"/>
                <w:b w:val="0"/>
              </w:rPr>
              <w:t xml:space="preserve">See Q. 27 and 28. </w:t>
            </w:r>
          </w:p>
        </w:tc>
      </w:tr>
    </w:tbl>
    <w:p w:rsidR="004D2CFB" w:rsidRPr="00A36FD5" w:rsidRDefault="004D2CFB" w:rsidP="007F56D4">
      <w:pPr>
        <w:tabs>
          <w:tab w:val="left" w:pos="900"/>
        </w:tabs>
        <w:ind w:left="360"/>
        <w:rPr>
          <w:b/>
        </w:rPr>
      </w:pPr>
    </w:p>
    <w:tbl>
      <w:tblPr>
        <w:tblStyle w:val="MediumShading1-Accent11"/>
        <w:tblW w:w="5000" w:type="pct"/>
        <w:tblLook w:val="04A0"/>
      </w:tblPr>
      <w:tblGrid>
        <w:gridCol w:w="14616"/>
      </w:tblGrid>
      <w:tr w:rsidR="00BE0A5A" w:rsidRPr="002E56FA">
        <w:trPr>
          <w:cnfStyle w:val="100000000000"/>
        </w:trPr>
        <w:tc>
          <w:tcPr>
            <w:cnfStyle w:val="001000000000"/>
            <w:tcW w:w="5000" w:type="pct"/>
          </w:tcPr>
          <w:p w:rsidR="00BE0A5A" w:rsidRPr="002E56FA" w:rsidRDefault="00527F83" w:rsidP="00BE0A5A">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527F83" w:rsidRPr="00A36FD5">
        <w:trPr>
          <w:cnfStyle w:val="000000100000"/>
        </w:trPr>
        <w:tc>
          <w:tcPr>
            <w:cnfStyle w:val="001000000000"/>
            <w:tcW w:w="5000" w:type="pct"/>
            <w:shd w:val="clear" w:color="auto" w:fill="DBE5F1" w:themeFill="accent1" w:themeFillTint="33"/>
          </w:tcPr>
          <w:p w:rsidR="00527F83" w:rsidRDefault="00527F83" w:rsidP="00527F83">
            <w:pPr>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30</w:t>
            </w:r>
            <w:r w:rsidRPr="004A4EA2">
              <w:rPr>
                <w:rFonts w:ascii="Times New Roman" w:hAnsi="Times New Roman"/>
                <w:sz w:val="24"/>
                <w:szCs w:val="24"/>
                <w:u w:val="single"/>
              </w:rPr>
              <w:t>:</w:t>
            </w:r>
            <w:r>
              <w:rPr>
                <w:rFonts w:ascii="Times New Roman" w:hAnsi="Times New Roman"/>
                <w:sz w:val="24"/>
                <w:szCs w:val="24"/>
              </w:rPr>
              <w:t xml:space="preserve">  </w:t>
            </w:r>
            <w:r w:rsidRPr="007372F4">
              <w:rPr>
                <w:rFonts w:ascii="Times New Roman" w:hAnsi="Times New Roman"/>
                <w:sz w:val="24"/>
                <w:szCs w:val="24"/>
              </w:rPr>
              <w:t xml:space="preserve">The process of giving patients a meaningful choice may be delegated to providers or other users of NVE services (as opposed to the patient receiving the choice from the NVE directly).  In such instances, how would the provision of meaningful choice </w:t>
            </w:r>
            <w:proofErr w:type="gramStart"/>
            <w:r w:rsidRPr="007372F4">
              <w:rPr>
                <w:rFonts w:ascii="Times New Roman" w:hAnsi="Times New Roman"/>
                <w:sz w:val="24"/>
                <w:szCs w:val="24"/>
              </w:rPr>
              <w:t>be</w:t>
            </w:r>
            <w:proofErr w:type="gramEnd"/>
            <w:r w:rsidRPr="007372F4">
              <w:rPr>
                <w:rFonts w:ascii="Times New Roman" w:hAnsi="Times New Roman"/>
                <w:sz w:val="24"/>
                <w:szCs w:val="24"/>
              </w:rPr>
              <w:t xml:space="preserve"> validated?</w:t>
            </w:r>
          </w:p>
          <w:p w:rsidR="00527F83" w:rsidRPr="00A36FD5" w:rsidRDefault="00527F83" w:rsidP="00527F83">
            <w:pPr>
              <w:ind w:left="90"/>
              <w:rPr>
                <w:b w:val="0"/>
                <w:bCs w:val="0"/>
                <w:sz w:val="20"/>
                <w:szCs w:val="20"/>
              </w:rPr>
            </w:pPr>
          </w:p>
        </w:tc>
      </w:tr>
      <w:tr w:rsidR="00527F83"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527F83" w:rsidRDefault="00527F83" w:rsidP="00527F83">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[S-3]: </w:t>
            </w:r>
            <w:r w:rsidRPr="00B81726">
              <w:rPr>
                <w:rFonts w:ascii="Times New Roman" w:hAnsi="Times New Roman"/>
                <w:sz w:val="24"/>
                <w:szCs w:val="24"/>
              </w:rPr>
              <w:t>An NVE must ensure that individuals are provided with a meaningful choice regarding whether their IIHI may be exchanged by the NVE.</w:t>
            </w:r>
          </w:p>
          <w:p w:rsidR="00527F83" w:rsidRPr="00A36FD5" w:rsidRDefault="00527F83" w:rsidP="00527F83">
            <w:pPr>
              <w:spacing w:after="60"/>
              <w:ind w:left="90"/>
              <w:rPr>
                <w:sz w:val="20"/>
                <w:szCs w:val="20"/>
              </w:rPr>
            </w:pPr>
          </w:p>
        </w:tc>
      </w:tr>
      <w:tr w:rsidR="00945B75" w:rsidRPr="00A36FD5">
        <w:trPr>
          <w:cnfStyle w:val="000000100000"/>
        </w:trPr>
        <w:tc>
          <w:tcPr>
            <w:cnfStyle w:val="001000000000"/>
            <w:tcW w:w="5000" w:type="pct"/>
            <w:shd w:val="clear" w:color="auto" w:fill="FFFFFF" w:themeFill="background1"/>
          </w:tcPr>
          <w:p w:rsidR="00177B53" w:rsidRPr="00177B53" w:rsidRDefault="00177B53" w:rsidP="007807D2">
            <w:pPr>
              <w:rPr>
                <w:rFonts w:ascii="Times New Roman" w:hAnsi="Times New Roman" w:cs="Times New Roman"/>
                <w:b w:val="0"/>
              </w:rPr>
            </w:pPr>
            <w:r w:rsidRPr="00177B53">
              <w:rPr>
                <w:rFonts w:ascii="Times New Roman" w:hAnsi="Times New Roman" w:cs="Times New Roman"/>
                <w:b w:val="0"/>
              </w:rPr>
              <w:lastRenderedPageBreak/>
              <w:t xml:space="preserve">The </w:t>
            </w:r>
            <w:r w:rsidR="00864FA7">
              <w:rPr>
                <w:rFonts w:ascii="Times New Roman" w:hAnsi="Times New Roman" w:cs="Times New Roman"/>
                <w:b w:val="0"/>
              </w:rPr>
              <w:t>HITPC</w:t>
            </w:r>
            <w:r w:rsidRPr="00177B53">
              <w:rPr>
                <w:rFonts w:ascii="Times New Roman" w:hAnsi="Times New Roman" w:cs="Times New Roman"/>
                <w:b w:val="0"/>
              </w:rPr>
              <w:t xml:space="preserve"> has observed that the relationship between the patient and his or her health care provider is the foundation for trust in health information exchange, particularly with respect to protecting the confidentiality of personal health information. For this reason, we believe that providers should, in most cases, have some responsibility for discussing patient choice with respect to the NVE.  Nevertheless, NVEs should also play a role in educating the community about the NVE, its purposes, and its practices, and the NVE should give providers resources to help educate their patients so that meaningful choice is possible.  With respect to documentation of consent (when such documentation is needed), in circumstances where providers are responsible for educating patients and documenting consent, meaningful consent can be validated through an attestation from providers. </w:t>
            </w:r>
          </w:p>
          <w:p w:rsidR="00945B75" w:rsidRPr="00A36FD5" w:rsidRDefault="00945B75" w:rsidP="00BE0A5A">
            <w:pPr>
              <w:spacing w:after="60"/>
              <w:rPr>
                <w:rFonts w:ascii="Times New Roman" w:hAnsi="Times New Roman" w:cs="Times New Roman"/>
                <w:b w:val="0"/>
                <w:sz w:val="20"/>
                <w:szCs w:val="20"/>
              </w:rPr>
            </w:pPr>
          </w:p>
        </w:tc>
      </w:tr>
    </w:tbl>
    <w:p w:rsidR="00E07EC2" w:rsidRPr="00A36FD5" w:rsidRDefault="00E07EC2" w:rsidP="00094310">
      <w:pPr>
        <w:tabs>
          <w:tab w:val="left" w:pos="900"/>
          <w:tab w:val="left" w:pos="2790"/>
        </w:tabs>
        <w:rPr>
          <w:rFonts w:ascii="Times New Roman" w:hAnsi="Times New Roman" w:cs="Times New Roman"/>
          <w:b/>
        </w:rPr>
      </w:pPr>
    </w:p>
    <w:tbl>
      <w:tblPr>
        <w:tblStyle w:val="MediumShading1-Accent11"/>
        <w:tblW w:w="5000" w:type="pct"/>
        <w:tblLook w:val="04A0"/>
      </w:tblPr>
      <w:tblGrid>
        <w:gridCol w:w="14616"/>
      </w:tblGrid>
      <w:tr w:rsidR="008E3084" w:rsidRPr="00A36FD5">
        <w:trPr>
          <w:cnfStyle w:val="100000000000"/>
          <w:tblHeader/>
        </w:trPr>
        <w:tc>
          <w:tcPr>
            <w:cnfStyle w:val="001000000000"/>
            <w:tcW w:w="5000" w:type="pct"/>
          </w:tcPr>
          <w:p w:rsidR="008E3084" w:rsidRPr="00A36FD5" w:rsidRDefault="00527F83" w:rsidP="008E7238">
            <w:pPr>
              <w:rPr>
                <w:b w:val="0"/>
                <w:color w:val="auto"/>
              </w:rPr>
            </w:pPr>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945B75" w:rsidRPr="00A36FD5">
        <w:trPr>
          <w:cnfStyle w:val="000000100000"/>
        </w:trPr>
        <w:tc>
          <w:tcPr>
            <w:cnfStyle w:val="001000000000"/>
            <w:tcW w:w="5000" w:type="pct"/>
            <w:shd w:val="clear" w:color="auto" w:fill="DBE5F1" w:themeFill="accent1" w:themeFillTint="33"/>
          </w:tcPr>
          <w:p w:rsidR="00945B75" w:rsidRDefault="00527F83" w:rsidP="00B4641A">
            <w:pPr>
              <w:tabs>
                <w:tab w:val="left" w:pos="1890"/>
              </w:tabs>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31</w:t>
            </w:r>
            <w:r w:rsidRPr="004A4EA2">
              <w:rPr>
                <w:rFonts w:ascii="Times New Roman" w:hAnsi="Times New Roman"/>
                <w:sz w:val="24"/>
                <w:szCs w:val="24"/>
                <w:u w:val="single"/>
              </w:rPr>
              <w:t>:</w:t>
            </w:r>
            <w:r>
              <w:rPr>
                <w:rFonts w:ascii="Times New Roman" w:hAnsi="Times New Roman"/>
                <w:sz w:val="24"/>
                <w:szCs w:val="24"/>
              </w:rPr>
              <w:t xml:space="preserve">  </w:t>
            </w:r>
            <w:r w:rsidRPr="002E61F6">
              <w:rPr>
                <w:rFonts w:ascii="Times New Roman" w:hAnsi="Times New Roman"/>
                <w:sz w:val="24"/>
                <w:szCs w:val="24"/>
              </w:rPr>
              <w:t>Should there be exceptions to this CTE? If so, please describe these exceptions.</w:t>
            </w:r>
          </w:p>
          <w:p w:rsidR="00527F83" w:rsidRPr="00A36FD5" w:rsidRDefault="00527F83" w:rsidP="00945B75">
            <w:pPr>
              <w:ind w:left="90"/>
              <w:rPr>
                <w:b w:val="0"/>
                <w:bCs w:val="0"/>
                <w:sz w:val="20"/>
                <w:szCs w:val="20"/>
              </w:rPr>
            </w:pPr>
          </w:p>
        </w:tc>
      </w:tr>
      <w:tr w:rsidR="00170D21"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527F83" w:rsidRDefault="00527F83" w:rsidP="00527F83">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[S-4]: </w:t>
            </w:r>
            <w:r w:rsidRPr="00972B49">
              <w:rPr>
                <w:rFonts w:ascii="Times New Roman" w:hAnsi="Times New Roman"/>
                <w:sz w:val="24"/>
                <w:szCs w:val="24"/>
              </w:rPr>
              <w:t>An NVE must only exchange encrypted IIHI.</w:t>
            </w:r>
          </w:p>
          <w:p w:rsidR="00170D21" w:rsidRPr="00A36FD5" w:rsidRDefault="00170D21" w:rsidP="00170D21">
            <w:pPr>
              <w:tabs>
                <w:tab w:val="left" w:pos="540"/>
              </w:tabs>
              <w:ind w:left="360" w:hanging="90"/>
              <w:rPr>
                <w:sz w:val="20"/>
                <w:szCs w:val="20"/>
              </w:rPr>
            </w:pPr>
          </w:p>
        </w:tc>
      </w:tr>
      <w:tr w:rsidR="00163A24" w:rsidRPr="00A36FD5">
        <w:trPr>
          <w:cnfStyle w:val="000000100000"/>
          <w:trHeight w:val="1177"/>
        </w:trPr>
        <w:tc>
          <w:tcPr>
            <w:cnfStyle w:val="001000000000"/>
            <w:tcW w:w="5000" w:type="pct"/>
            <w:shd w:val="clear" w:color="auto" w:fill="FFFFFF" w:themeFill="background1"/>
          </w:tcPr>
          <w:p w:rsidR="001F6375" w:rsidRDefault="0059066B" w:rsidP="007807D2">
            <w:pPr>
              <w:spacing w:before="40" w:after="60"/>
              <w:rPr>
                <w:rFonts w:ascii="Times New Roman" w:hAnsi="Times New Roman" w:cs="Times New Roman"/>
                <w:b w:val="0"/>
              </w:rPr>
            </w:pPr>
            <w:r w:rsidRPr="0059066B">
              <w:rPr>
                <w:rFonts w:ascii="Times New Roman" w:hAnsi="Times New Roman" w:cs="Times New Roman"/>
                <w:b w:val="0"/>
              </w:rPr>
              <w:t xml:space="preserve">The </w:t>
            </w:r>
            <w:r w:rsidR="00864FA7">
              <w:rPr>
                <w:rFonts w:ascii="Times New Roman" w:hAnsi="Times New Roman" w:cs="Times New Roman"/>
                <w:b w:val="0"/>
              </w:rPr>
              <w:t>HITPC</w:t>
            </w:r>
            <w:r w:rsidRPr="0059066B">
              <w:rPr>
                <w:rFonts w:ascii="Times New Roman" w:hAnsi="Times New Roman" w:cs="Times New Roman"/>
                <w:b w:val="0"/>
              </w:rPr>
              <w:t xml:space="preserve"> supports the position that NVEs must ensure that data in motion is encrypted but concludes that Condition [S-4] is redundant of other requirements. The Security Rule already contains an addressable specification requiring encryption of data in transit, as appropriate. This addressable specification—which CTE [S-1] would make “required”—along with the Security Rule’s emphasis on risk management adequately cover the issue of encryption. The </w:t>
            </w:r>
            <w:r w:rsidR="00864FA7">
              <w:rPr>
                <w:rFonts w:ascii="Times New Roman" w:hAnsi="Times New Roman" w:cs="Times New Roman"/>
                <w:b w:val="0"/>
              </w:rPr>
              <w:t>HITPC</w:t>
            </w:r>
            <w:r w:rsidRPr="0059066B">
              <w:rPr>
                <w:rFonts w:ascii="Times New Roman" w:hAnsi="Times New Roman" w:cs="Times New Roman"/>
                <w:b w:val="0"/>
              </w:rPr>
              <w:t xml:space="preserve"> recommends that this CTE be deleted.</w:t>
            </w:r>
          </w:p>
          <w:p w:rsidR="007807D2" w:rsidRPr="007807D2" w:rsidRDefault="007807D2" w:rsidP="007807D2">
            <w:pPr>
              <w:rPr>
                <w:rFonts w:ascii="Times New Roman" w:hAnsi="Times New Roman"/>
                <w:b w:val="0"/>
              </w:rPr>
            </w:pPr>
            <w:r w:rsidRPr="007807D2">
              <w:rPr>
                <w:rFonts w:ascii="Times New Roman" w:hAnsi="Times New Roman"/>
                <w:b w:val="0"/>
              </w:rPr>
              <w:t>An NVE must exchange IIHI in an encrypted manner or through an encrypted channel, with the sole exception being when the NVE is exchanging IIHI within a physically secure setting such as within a data center.</w:t>
            </w:r>
          </w:p>
          <w:p w:rsidR="007807D2" w:rsidRDefault="007807D2" w:rsidP="007807D2">
            <w:pPr>
              <w:rPr>
                <w:rFonts w:ascii="Times New Roman" w:hAnsi="Times New Roman"/>
                <w:b w:val="0"/>
              </w:rPr>
            </w:pPr>
            <w:r w:rsidRPr="007807D2">
              <w:rPr>
                <w:rFonts w:ascii="Times New Roman" w:hAnsi="Times New Roman"/>
                <w:b w:val="0"/>
              </w:rPr>
              <w:t xml:space="preserve">Micky wants transparent about data exchange that could be outside purview of HIPAA.  </w:t>
            </w:r>
          </w:p>
          <w:p w:rsidR="007807D2" w:rsidRDefault="007807D2" w:rsidP="007807D2">
            <w:pPr>
              <w:rPr>
                <w:rFonts w:ascii="Times New Roman" w:hAnsi="Times New Roman"/>
                <w:b w:val="0"/>
              </w:rPr>
            </w:pPr>
          </w:p>
          <w:p w:rsidR="007807D2" w:rsidRPr="007807D2" w:rsidRDefault="007807D2" w:rsidP="007807D2">
            <w:pPr>
              <w:rPr>
                <w:rFonts w:ascii="Times New Roman" w:hAnsi="Times New Roman"/>
                <w:b w:val="0"/>
              </w:rPr>
            </w:pPr>
            <w:r>
              <w:rPr>
                <w:rFonts w:ascii="Times New Roman" w:hAnsi="Times New Roman" w:cs="Times New Roman"/>
                <w:b w:val="0"/>
                <w:i/>
              </w:rPr>
              <w:t xml:space="preserve">The HITPC recommends that </w:t>
            </w:r>
            <w:r w:rsidRPr="00EE0915">
              <w:rPr>
                <w:rFonts w:ascii="Times New Roman" w:hAnsi="Times New Roman" w:cs="Times New Roman"/>
                <w:b w:val="0"/>
                <w:i/>
              </w:rPr>
              <w:t>S-4  be removed as its objectives are already covered by S-1</w:t>
            </w:r>
          </w:p>
          <w:p w:rsidR="00163A24" w:rsidRPr="00E02137" w:rsidRDefault="00163A24" w:rsidP="00E02137">
            <w:pPr>
              <w:ind w:firstLine="360"/>
              <w:rPr>
                <w:rFonts w:ascii="Times New Roman" w:hAnsi="Times New Roman" w:cs="Times New Roman"/>
                <w:b w:val="0"/>
              </w:rPr>
            </w:pPr>
          </w:p>
        </w:tc>
      </w:tr>
    </w:tbl>
    <w:p w:rsidR="008E3084" w:rsidRPr="00A36FD5" w:rsidRDefault="008E3084" w:rsidP="00094310">
      <w:pPr>
        <w:tabs>
          <w:tab w:val="left" w:pos="900"/>
          <w:tab w:val="left" w:pos="2790"/>
        </w:tabs>
        <w:rPr>
          <w:b/>
        </w:rPr>
      </w:pPr>
    </w:p>
    <w:tbl>
      <w:tblPr>
        <w:tblStyle w:val="MediumShading1-Accent11"/>
        <w:tblW w:w="5000" w:type="pct"/>
        <w:tblLook w:val="04A0"/>
      </w:tblPr>
      <w:tblGrid>
        <w:gridCol w:w="14616"/>
      </w:tblGrid>
      <w:tr w:rsidR="008E3084" w:rsidRPr="002E56FA">
        <w:trPr>
          <w:cnfStyle w:val="100000000000"/>
          <w:tblHeader/>
        </w:trPr>
        <w:tc>
          <w:tcPr>
            <w:cnfStyle w:val="001000000000"/>
            <w:tcW w:w="5000" w:type="pct"/>
          </w:tcPr>
          <w:p w:rsidR="008E3084" w:rsidRPr="002E56FA" w:rsidRDefault="00527F83" w:rsidP="008E3084">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945B75" w:rsidRPr="00A36FD5">
        <w:trPr>
          <w:cnfStyle w:val="000000100000"/>
        </w:trPr>
        <w:tc>
          <w:tcPr>
            <w:cnfStyle w:val="001000000000"/>
            <w:tcW w:w="5000" w:type="pct"/>
            <w:shd w:val="clear" w:color="auto" w:fill="DBE5F1" w:themeFill="accent1" w:themeFillTint="33"/>
          </w:tcPr>
          <w:p w:rsidR="00BB6867" w:rsidRDefault="00BB6867" w:rsidP="00BB6867">
            <w:pPr>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32</w:t>
            </w:r>
            <w:r w:rsidRPr="004A4EA2">
              <w:rPr>
                <w:rFonts w:ascii="Times New Roman" w:hAnsi="Times New Roman"/>
                <w:sz w:val="24"/>
                <w:szCs w:val="24"/>
                <w:u w:val="single"/>
              </w:rPr>
              <w:t>:</w:t>
            </w:r>
            <w:r>
              <w:rPr>
                <w:rFonts w:ascii="Times New Roman" w:hAnsi="Times New Roman"/>
                <w:sz w:val="24"/>
                <w:szCs w:val="24"/>
              </w:rPr>
              <w:t xml:space="preserve">  </w:t>
            </w:r>
            <w:r w:rsidRPr="00461FBD">
              <w:rPr>
                <w:rFonts w:ascii="Times New Roman" w:hAnsi="Times New Roman"/>
                <w:sz w:val="24"/>
                <w:szCs w:val="24"/>
              </w:rPr>
              <w:t>Are there specific uses or actions about which we should consider explicitly requiring an NVE to be transparent?</w:t>
            </w:r>
          </w:p>
          <w:p w:rsidR="00945B75" w:rsidRPr="00A36FD5" w:rsidRDefault="00945B75" w:rsidP="00945B75">
            <w:pPr>
              <w:ind w:left="90"/>
              <w:rPr>
                <w:b w:val="0"/>
                <w:bCs w:val="0"/>
                <w:sz w:val="20"/>
                <w:szCs w:val="20"/>
              </w:rPr>
            </w:pPr>
          </w:p>
        </w:tc>
      </w:tr>
      <w:tr w:rsidR="00170D21"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BB6867" w:rsidRDefault="00BB6867" w:rsidP="00BB6867">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[S-5]: </w:t>
            </w:r>
            <w:r w:rsidRPr="00972B49">
              <w:rPr>
                <w:rFonts w:ascii="Times New Roman" w:hAnsi="Times New Roman"/>
                <w:sz w:val="24"/>
                <w:szCs w:val="24"/>
              </w:rPr>
              <w:t>An NVE must make publicly available a notice of its data practices describing why IIHI is collected, how it is used, and to whom and for what reason it is disclosed.</w:t>
            </w:r>
          </w:p>
          <w:p w:rsidR="00170D21" w:rsidRPr="00A36FD5" w:rsidRDefault="00170D21" w:rsidP="00700472">
            <w:pPr>
              <w:spacing w:after="60"/>
              <w:ind w:left="450" w:hanging="360"/>
              <w:rPr>
                <w:sz w:val="20"/>
                <w:szCs w:val="20"/>
              </w:rPr>
            </w:pPr>
          </w:p>
        </w:tc>
      </w:tr>
      <w:tr w:rsidR="00945B75" w:rsidRPr="00A36FD5">
        <w:trPr>
          <w:cnfStyle w:val="000000100000"/>
          <w:trHeight w:val="1096"/>
        </w:trPr>
        <w:tc>
          <w:tcPr>
            <w:cnfStyle w:val="001000000000"/>
            <w:tcW w:w="5000" w:type="pct"/>
            <w:shd w:val="clear" w:color="auto" w:fill="FFFFFF" w:themeFill="background1"/>
          </w:tcPr>
          <w:p w:rsidR="007807D2" w:rsidRDefault="007807D2" w:rsidP="007807D2">
            <w:pPr>
              <w:rPr>
                <w:rFonts w:ascii="Times New Roman" w:hAnsi="Times New Roman"/>
                <w:b w:val="0"/>
              </w:rPr>
            </w:pPr>
          </w:p>
          <w:p w:rsidR="007807D2" w:rsidRPr="007807D2" w:rsidRDefault="007807D2" w:rsidP="007807D2">
            <w:pPr>
              <w:rPr>
                <w:rFonts w:ascii="Times New Roman" w:hAnsi="Times New Roman"/>
                <w:b w:val="0"/>
              </w:rPr>
            </w:pPr>
            <w:r w:rsidRPr="007807D2">
              <w:rPr>
                <w:rFonts w:ascii="Times New Roman" w:hAnsi="Times New Roman"/>
                <w:b w:val="0"/>
              </w:rPr>
              <w:t>The HITPC believes that all NVEs should be transparent and provide notice as to how data--whether identifiable or de-identified-- will be used. See additional comments in response to question 34. NVEs will be expected to adhere to HIPAA regulations and be transparent with regards to data exchange outside the purview of HIPAA.</w:t>
            </w:r>
          </w:p>
          <w:p w:rsidR="007807D2" w:rsidRDefault="007807D2" w:rsidP="007807D2">
            <w:pPr>
              <w:rPr>
                <w:rFonts w:ascii="Times New Roman" w:hAnsi="Times New Roman"/>
                <w:b w:val="0"/>
              </w:rPr>
            </w:pPr>
          </w:p>
          <w:p w:rsidR="007807D2" w:rsidRPr="007807D2" w:rsidRDefault="007807D2" w:rsidP="007807D2">
            <w:pPr>
              <w:rPr>
                <w:rFonts w:ascii="Times New Roman" w:hAnsi="Times New Roman"/>
                <w:b w:val="0"/>
              </w:rPr>
            </w:pPr>
            <w:r w:rsidRPr="007807D2">
              <w:rPr>
                <w:rFonts w:ascii="Times New Roman" w:hAnsi="Times New Roman"/>
                <w:b w:val="0"/>
              </w:rPr>
              <w:lastRenderedPageBreak/>
              <w:t>In particular those NVEs not directly using or facilitating data exchange for treatment and healthcare services to patients should have well defined categories of their uses of exchange data.</w:t>
            </w:r>
          </w:p>
          <w:p w:rsidR="007807D2" w:rsidRPr="007807D2" w:rsidRDefault="007807D2" w:rsidP="007807D2">
            <w:pPr>
              <w:spacing w:before="40" w:after="60"/>
              <w:rPr>
                <w:rFonts w:ascii="Times New Roman" w:hAnsi="Times New Roman" w:cs="Times New Roman"/>
                <w:b w:val="0"/>
                <w:i/>
              </w:rPr>
            </w:pPr>
          </w:p>
          <w:p w:rsidR="00A41760" w:rsidRPr="007807D2" w:rsidRDefault="007807D2" w:rsidP="007807D2">
            <w:pPr>
              <w:spacing w:after="60"/>
              <w:rPr>
                <w:rFonts w:ascii="Times New Roman" w:hAnsi="Times New Roman" w:cs="Times New Roman"/>
              </w:rPr>
            </w:pPr>
            <w:r w:rsidRPr="007807D2">
              <w:rPr>
                <w:rFonts w:ascii="Times New Roman" w:hAnsi="Times New Roman" w:cs="Times New Roman"/>
                <w:b w:val="0"/>
                <w:i/>
              </w:rPr>
              <w:t>The HITPC believes NVEs should not have to disclose each client, but rather the classes of clients with whom they share data. NVEs should also make note of when they obtain new classes of clients/modify how they share data.</w:t>
            </w:r>
          </w:p>
        </w:tc>
      </w:tr>
    </w:tbl>
    <w:p w:rsidR="008E3084" w:rsidRPr="00A36FD5" w:rsidRDefault="008E3084" w:rsidP="00094310">
      <w:pPr>
        <w:tabs>
          <w:tab w:val="left" w:pos="900"/>
          <w:tab w:val="left" w:pos="2790"/>
        </w:tabs>
        <w:rPr>
          <w:b/>
        </w:rPr>
      </w:pPr>
    </w:p>
    <w:tbl>
      <w:tblPr>
        <w:tblStyle w:val="MediumShading1-Accent11"/>
        <w:tblW w:w="5000" w:type="pct"/>
        <w:tblBorders>
          <w:insideV w:val="single" w:sz="8" w:space="0" w:color="7BA0CD" w:themeColor="accent1" w:themeTint="BF"/>
        </w:tblBorders>
        <w:tblLook w:val="04A0"/>
      </w:tblPr>
      <w:tblGrid>
        <w:gridCol w:w="14616"/>
      </w:tblGrid>
      <w:tr w:rsidR="00671428" w:rsidRPr="00A36FD5">
        <w:trPr>
          <w:cnfStyle w:val="100000000000"/>
          <w:tblHeader/>
        </w:trPr>
        <w:tc>
          <w:tcPr>
            <w:cnfStyle w:val="001000000000"/>
            <w:tcW w:w="5000" w:type="pct"/>
            <w:tcBorders>
              <w:top w:val="none" w:sz="0" w:space="0" w:color="auto"/>
              <w:left w:val="none" w:sz="0" w:space="0" w:color="auto"/>
              <w:bottom w:val="none" w:sz="0" w:space="0" w:color="auto"/>
              <w:right w:val="none" w:sz="0" w:space="0" w:color="auto"/>
            </w:tcBorders>
          </w:tcPr>
          <w:p w:rsidR="00671428" w:rsidRPr="00B727D2" w:rsidRDefault="00BB6867" w:rsidP="008E7238">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BB6867" w:rsidRPr="00A36FD5">
        <w:trPr>
          <w:cnfStyle w:val="000000100000"/>
        </w:trPr>
        <w:tc>
          <w:tcPr>
            <w:cnfStyle w:val="001000000000"/>
            <w:tcW w:w="5000" w:type="pct"/>
            <w:shd w:val="clear" w:color="auto" w:fill="DBE5F1" w:themeFill="accent1" w:themeFillTint="33"/>
          </w:tcPr>
          <w:p w:rsidR="00BB6867" w:rsidRDefault="00BB6867" w:rsidP="00B551EA">
            <w:pPr>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33</w:t>
            </w:r>
            <w:r w:rsidRPr="004A4EA2">
              <w:rPr>
                <w:rFonts w:ascii="Times New Roman" w:hAnsi="Times New Roman"/>
                <w:sz w:val="24"/>
                <w:szCs w:val="24"/>
                <w:u w:val="single"/>
              </w:rPr>
              <w:t>:</w:t>
            </w:r>
            <w:r>
              <w:rPr>
                <w:rFonts w:ascii="Times New Roman" w:hAnsi="Times New Roman"/>
                <w:sz w:val="24"/>
                <w:szCs w:val="24"/>
              </w:rPr>
              <w:t xml:space="preserve">  </w:t>
            </w:r>
            <w:r w:rsidRPr="00461FBD">
              <w:rPr>
                <w:rFonts w:ascii="Times New Roman" w:hAnsi="Times New Roman"/>
                <w:sz w:val="24"/>
                <w:szCs w:val="24"/>
              </w:rPr>
              <w:t>Would an NVE be able to accurately disclose all of the activities it may need to include in its notice?  Should some type of summarization be permitted?</w:t>
            </w:r>
          </w:p>
          <w:p w:rsidR="00BB6867" w:rsidRPr="00A36FD5" w:rsidRDefault="00BB6867" w:rsidP="00B551EA">
            <w:pPr>
              <w:ind w:left="90"/>
              <w:rPr>
                <w:b w:val="0"/>
                <w:bCs w:val="0"/>
                <w:sz w:val="20"/>
                <w:szCs w:val="20"/>
              </w:rPr>
            </w:pPr>
          </w:p>
        </w:tc>
      </w:tr>
      <w:tr w:rsidR="00BB6867" w:rsidRPr="00A36FD5">
        <w:trPr>
          <w:cnfStyle w:val="000000010000"/>
        </w:trPr>
        <w:tc>
          <w:tcPr>
            <w:cnfStyle w:val="001000000000"/>
            <w:tcW w:w="5000" w:type="pct"/>
            <w:shd w:val="clear" w:color="auto" w:fill="DBE5F1" w:themeFill="accent1" w:themeFillTint="33"/>
          </w:tcPr>
          <w:p w:rsidR="00BB6867" w:rsidRDefault="00BB6867" w:rsidP="00B551EA">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[S-5]: </w:t>
            </w:r>
            <w:r w:rsidRPr="00972B49">
              <w:rPr>
                <w:rFonts w:ascii="Times New Roman" w:hAnsi="Times New Roman"/>
                <w:sz w:val="24"/>
                <w:szCs w:val="24"/>
              </w:rPr>
              <w:t>An NVE must make publicly available a notice of its data practices describing why IIHI is collected, how it is used, and to whom and for what reason it is disclosed.</w:t>
            </w:r>
          </w:p>
          <w:p w:rsidR="00BB6867" w:rsidRPr="00A36FD5" w:rsidRDefault="00BB6867" w:rsidP="00B551EA">
            <w:pPr>
              <w:spacing w:after="60"/>
              <w:ind w:left="450" w:hanging="360"/>
              <w:rPr>
                <w:sz w:val="20"/>
                <w:szCs w:val="20"/>
              </w:rPr>
            </w:pPr>
          </w:p>
        </w:tc>
      </w:tr>
      <w:tr w:rsidR="00671428" w:rsidRPr="00A36FD5">
        <w:trPr>
          <w:cnfStyle w:val="000000100000"/>
        </w:trPr>
        <w:tc>
          <w:tcPr>
            <w:cnfStyle w:val="001000000000"/>
            <w:tcW w:w="5000" w:type="pct"/>
            <w:shd w:val="clear" w:color="auto" w:fill="FFFFFF" w:themeFill="background1"/>
          </w:tcPr>
          <w:p w:rsidR="006B5036" w:rsidRDefault="006B5036" w:rsidP="0027468F">
            <w:pPr>
              <w:ind w:firstLine="360"/>
              <w:rPr>
                <w:rFonts w:ascii="Times New Roman" w:hAnsi="Times New Roman" w:cs="Times New Roman"/>
                <w:b w:val="0"/>
              </w:rPr>
            </w:pPr>
          </w:p>
          <w:p w:rsidR="001D0E43" w:rsidRDefault="001500E9" w:rsidP="0015448A">
            <w:pPr>
              <w:rPr>
                <w:rFonts w:ascii="Times New Roman" w:hAnsi="Times New Roman" w:cs="Times New Roman"/>
                <w:b w:val="0"/>
              </w:rPr>
            </w:pPr>
            <w:r w:rsidRPr="001500E9">
              <w:rPr>
                <w:rFonts w:ascii="Times New Roman" w:hAnsi="Times New Roman" w:cs="Times New Roman"/>
                <w:b w:val="0"/>
              </w:rPr>
              <w:t>NVEs should provide a layered notice: a short, 1-2 page summary of actual information sharing policies and activities, with an opportunity for interested individuals or NVE participants to obtain more specific details (such as through website links or a contact who can answer specific questions). This summary notice should cover categories of information sharing (vs. each and every specific instance of data use and disclosure).  ONC should do further work with stakeholders to determine standardized categories and terminology for information uses by NVEs.  [Note: this is consistent with recent FTC recommendations on consumer privacy, which call for privacy notices to be “clearer, shorter, and more standardized to enable better comprehension and comparison of privacy practices.”]</w:t>
            </w:r>
          </w:p>
          <w:p w:rsidR="00B20737" w:rsidRDefault="00B20737" w:rsidP="0027468F">
            <w:pPr>
              <w:ind w:firstLine="360"/>
              <w:rPr>
                <w:rFonts w:ascii="Times New Roman" w:hAnsi="Times New Roman" w:cs="Times New Roman"/>
                <w:b w:val="0"/>
              </w:rPr>
            </w:pPr>
          </w:p>
          <w:p w:rsidR="004641D8" w:rsidRDefault="00B20737">
            <w:pPr>
              <w:rPr>
                <w:rFonts w:ascii="Times New Roman" w:hAnsi="Times New Roman" w:cs="Times New Roman"/>
                <w:b w:val="0"/>
                <w:bCs w:val="0"/>
              </w:rPr>
            </w:pPr>
            <w:r w:rsidRPr="005C5B66">
              <w:rPr>
                <w:rFonts w:ascii="Times New Roman" w:hAnsi="Times New Roman" w:cs="Times New Roman"/>
                <w:b w:val="0"/>
              </w:rPr>
              <w:t xml:space="preserve">It is important that the notice be written not only in plain English but also at the reading level of the average patient </w:t>
            </w:r>
            <w:r>
              <w:rPr>
                <w:rFonts w:ascii="Times New Roman" w:hAnsi="Times New Roman" w:cs="Times New Roman"/>
                <w:b w:val="0"/>
              </w:rPr>
              <w:t xml:space="preserve">seen by the health center/provider </w:t>
            </w:r>
            <w:r w:rsidRPr="005C5B66">
              <w:rPr>
                <w:rFonts w:ascii="Times New Roman" w:hAnsi="Times New Roman" w:cs="Times New Roman"/>
                <w:b w:val="0"/>
              </w:rPr>
              <w:t xml:space="preserve">and presented in compliance with applicable laws with respect to language and disability. </w:t>
            </w:r>
          </w:p>
          <w:p w:rsidR="00696060" w:rsidRDefault="00696060" w:rsidP="0027468F">
            <w:pPr>
              <w:ind w:firstLine="360"/>
              <w:rPr>
                <w:rFonts w:ascii="Times New Roman" w:hAnsi="Times New Roman" w:cs="Times New Roman"/>
                <w:b w:val="0"/>
              </w:rPr>
            </w:pPr>
          </w:p>
          <w:p w:rsidR="001D0E43" w:rsidRDefault="00696060" w:rsidP="0015448A">
            <w:pPr>
              <w:rPr>
                <w:rFonts w:ascii="Times New Roman" w:hAnsi="Times New Roman" w:cs="Times New Roman"/>
                <w:b w:val="0"/>
                <w:i/>
              </w:rPr>
            </w:pPr>
            <w:r>
              <w:rPr>
                <w:rFonts w:ascii="Times New Roman" w:hAnsi="Times New Roman" w:cs="Times New Roman"/>
                <w:b w:val="0"/>
                <w:i/>
              </w:rPr>
              <w:t xml:space="preserve">The HITPC </w:t>
            </w:r>
            <w:r w:rsidR="001E2806">
              <w:rPr>
                <w:rFonts w:ascii="Times New Roman" w:hAnsi="Times New Roman" w:cs="Times New Roman"/>
                <w:b w:val="0"/>
                <w:i/>
              </w:rPr>
              <w:t xml:space="preserve">believes that NVEs should disclose classes of uses, including public health and population health.  The Committee </w:t>
            </w:r>
            <w:r w:rsidR="009D478B">
              <w:rPr>
                <w:rFonts w:ascii="Times New Roman" w:hAnsi="Times New Roman" w:cs="Times New Roman"/>
                <w:b w:val="0"/>
                <w:i/>
              </w:rPr>
              <w:t xml:space="preserve">also believes it is important to educate patients about the valuable uses of de-identified data, and about the </w:t>
            </w:r>
            <w:r w:rsidR="002E48A8">
              <w:rPr>
                <w:rFonts w:ascii="Times New Roman" w:hAnsi="Times New Roman" w:cs="Times New Roman"/>
                <w:b w:val="0"/>
                <w:i/>
              </w:rPr>
              <w:t xml:space="preserve">legal </w:t>
            </w:r>
            <w:r w:rsidR="009D478B">
              <w:rPr>
                <w:rFonts w:ascii="Times New Roman" w:hAnsi="Times New Roman" w:cs="Times New Roman"/>
                <w:b w:val="0"/>
                <w:i/>
              </w:rPr>
              <w:t>righ</w:t>
            </w:r>
            <w:r w:rsidR="002E48A8">
              <w:rPr>
                <w:rFonts w:ascii="Times New Roman" w:hAnsi="Times New Roman" w:cs="Times New Roman"/>
                <w:b w:val="0"/>
                <w:i/>
              </w:rPr>
              <w:t>t</w:t>
            </w:r>
            <w:r w:rsidR="009D478B">
              <w:rPr>
                <w:rFonts w:ascii="Times New Roman" w:hAnsi="Times New Roman" w:cs="Times New Roman"/>
                <w:b w:val="0"/>
                <w:i/>
              </w:rPr>
              <w:t xml:space="preserve"> of provi</w:t>
            </w:r>
            <w:r w:rsidR="004F5AA6">
              <w:rPr>
                <w:rFonts w:ascii="Times New Roman" w:hAnsi="Times New Roman" w:cs="Times New Roman"/>
                <w:b w:val="0"/>
                <w:i/>
              </w:rPr>
              <w:t xml:space="preserve">der organizations that receive </w:t>
            </w:r>
            <w:r w:rsidR="009D478B">
              <w:rPr>
                <w:rFonts w:ascii="Times New Roman" w:hAnsi="Times New Roman" w:cs="Times New Roman"/>
                <w:b w:val="0"/>
                <w:i/>
              </w:rPr>
              <w:t xml:space="preserve">data to use it as they wish for </w:t>
            </w:r>
            <w:r w:rsidR="006C7767">
              <w:rPr>
                <w:rFonts w:ascii="Times New Roman" w:hAnsi="Times New Roman" w:cs="Times New Roman"/>
                <w:b w:val="0"/>
                <w:i/>
              </w:rPr>
              <w:t>treatment, payment, and operations</w:t>
            </w:r>
            <w:r w:rsidR="009D478B">
              <w:rPr>
                <w:rFonts w:ascii="Times New Roman" w:hAnsi="Times New Roman" w:cs="Times New Roman"/>
                <w:b w:val="0"/>
                <w:i/>
              </w:rPr>
              <w:t xml:space="preserve">. </w:t>
            </w:r>
          </w:p>
          <w:p w:rsidR="007807D2" w:rsidRDefault="007807D2" w:rsidP="0027468F">
            <w:pPr>
              <w:ind w:firstLine="360"/>
              <w:rPr>
                <w:rFonts w:ascii="Times New Roman" w:hAnsi="Times New Roman" w:cs="Times New Roman"/>
                <w:b w:val="0"/>
              </w:rPr>
            </w:pPr>
          </w:p>
          <w:p w:rsidR="007807D2" w:rsidRDefault="007807D2" w:rsidP="007807D2">
            <w:pPr>
              <w:rPr>
                <w:rFonts w:ascii="Times New Roman" w:hAnsi="Times New Roman"/>
                <w:b w:val="0"/>
              </w:rPr>
            </w:pPr>
            <w:r w:rsidRPr="007807D2">
              <w:rPr>
                <w:rFonts w:ascii="Times New Roman" w:hAnsi="Times New Roman"/>
                <w:b w:val="0"/>
              </w:rPr>
              <w:t xml:space="preserve">The HITPC believes that all NVEs should be transparent and provide notice as to how data accessed will be used. </w:t>
            </w:r>
          </w:p>
          <w:p w:rsidR="007807D2" w:rsidRPr="007807D2" w:rsidRDefault="007807D2" w:rsidP="007807D2">
            <w:pPr>
              <w:rPr>
                <w:rFonts w:ascii="Times New Roman" w:hAnsi="Times New Roman"/>
                <w:b w:val="0"/>
              </w:rPr>
            </w:pPr>
          </w:p>
          <w:p w:rsidR="007807D2" w:rsidRPr="007807D2" w:rsidRDefault="007807D2" w:rsidP="007807D2">
            <w:pPr>
              <w:rPr>
                <w:rFonts w:ascii="Times New Roman" w:hAnsi="Times New Roman"/>
                <w:b w:val="0"/>
              </w:rPr>
            </w:pPr>
            <w:r w:rsidRPr="007807D2">
              <w:rPr>
                <w:rFonts w:ascii="Times New Roman" w:hAnsi="Times New Roman"/>
                <w:b w:val="0"/>
              </w:rPr>
              <w:t>NVEs should be permitted to provide categorical use case descriptions in its notices. Requiring NVEs to provide notice on every specific activity would create a significant burden.</w:t>
            </w:r>
          </w:p>
          <w:p w:rsidR="00A41760" w:rsidRPr="005E71BB" w:rsidRDefault="00A41760" w:rsidP="005E71BB">
            <w:pPr>
              <w:ind w:firstLine="360"/>
              <w:rPr>
                <w:rFonts w:ascii="Times New Roman" w:hAnsi="Times New Roman" w:cs="Times New Roman"/>
                <w:b w:val="0"/>
                <w:sz w:val="20"/>
                <w:szCs w:val="20"/>
              </w:rPr>
            </w:pPr>
          </w:p>
        </w:tc>
      </w:tr>
    </w:tbl>
    <w:p w:rsidR="00BB6867" w:rsidRDefault="00BB6867" w:rsidP="00094310">
      <w:pPr>
        <w:tabs>
          <w:tab w:val="left" w:pos="900"/>
          <w:tab w:val="left" w:pos="2790"/>
        </w:tabs>
        <w:rPr>
          <w:b/>
        </w:rPr>
      </w:pPr>
    </w:p>
    <w:tbl>
      <w:tblPr>
        <w:tblStyle w:val="MediumShading1-Accent11"/>
        <w:tblW w:w="5000" w:type="pct"/>
        <w:tblBorders>
          <w:insideV w:val="single" w:sz="8" w:space="0" w:color="7BA0CD" w:themeColor="accent1" w:themeTint="BF"/>
        </w:tblBorders>
        <w:tblLook w:val="04A0"/>
      </w:tblPr>
      <w:tblGrid>
        <w:gridCol w:w="14616"/>
      </w:tblGrid>
      <w:tr w:rsidR="00135EF0" w:rsidRPr="00A36FD5">
        <w:trPr>
          <w:cnfStyle w:val="100000000000"/>
          <w:tblHeader/>
        </w:trPr>
        <w:tc>
          <w:tcPr>
            <w:cnfStyle w:val="001000000000"/>
            <w:tcW w:w="5000" w:type="pct"/>
            <w:tcBorders>
              <w:top w:val="none" w:sz="0" w:space="0" w:color="auto"/>
              <w:left w:val="none" w:sz="0" w:space="0" w:color="auto"/>
              <w:bottom w:val="none" w:sz="0" w:space="0" w:color="auto"/>
              <w:right w:val="none" w:sz="0" w:space="0" w:color="auto"/>
            </w:tcBorders>
          </w:tcPr>
          <w:p w:rsidR="00135EF0" w:rsidRPr="00B727D2" w:rsidRDefault="007A6316" w:rsidP="00DD1178">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7A6316" w:rsidRPr="00A36FD5">
        <w:trPr>
          <w:cnfStyle w:val="000000100000"/>
        </w:trPr>
        <w:tc>
          <w:tcPr>
            <w:cnfStyle w:val="001000000000"/>
            <w:tcW w:w="5000" w:type="pct"/>
            <w:shd w:val="clear" w:color="auto" w:fill="DBE5F1" w:themeFill="accent1" w:themeFillTint="33"/>
          </w:tcPr>
          <w:p w:rsidR="007A6316" w:rsidRDefault="007A6316" w:rsidP="00B551EA">
            <w:pPr>
              <w:ind w:left="90"/>
              <w:rPr>
                <w:rFonts w:ascii="Times New Roman" w:hAnsi="Times New Roman"/>
                <w:sz w:val="24"/>
                <w:szCs w:val="24"/>
              </w:rPr>
            </w:pPr>
            <w:r w:rsidRPr="004A4EA2">
              <w:rPr>
                <w:rFonts w:ascii="Times New Roman" w:hAnsi="Times New Roman"/>
                <w:sz w:val="24"/>
                <w:szCs w:val="24"/>
                <w:u w:val="single"/>
              </w:rPr>
              <w:lastRenderedPageBreak/>
              <w:t xml:space="preserve">Question </w:t>
            </w:r>
            <w:r>
              <w:rPr>
                <w:rFonts w:ascii="Times New Roman" w:hAnsi="Times New Roman"/>
                <w:sz w:val="24"/>
                <w:szCs w:val="24"/>
                <w:u w:val="single"/>
              </w:rPr>
              <w:t>34</w:t>
            </w:r>
            <w:r w:rsidRPr="004A4EA2">
              <w:rPr>
                <w:rFonts w:ascii="Times New Roman" w:hAnsi="Times New Roman"/>
                <w:sz w:val="24"/>
                <w:szCs w:val="24"/>
                <w:u w:val="single"/>
              </w:rPr>
              <w:t>:</w:t>
            </w:r>
            <w:r>
              <w:rPr>
                <w:rFonts w:ascii="Times New Roman" w:hAnsi="Times New Roman"/>
                <w:sz w:val="24"/>
                <w:szCs w:val="24"/>
              </w:rPr>
              <w:t xml:space="preserve">  </w:t>
            </w:r>
            <w:r w:rsidRPr="00461FBD">
              <w:rPr>
                <w:rFonts w:ascii="Times New Roman" w:hAnsi="Times New Roman"/>
                <w:sz w:val="24"/>
                <w:szCs w:val="24"/>
              </w:rPr>
              <w:t>What is the anticipated cost and administrative burden for providing such notice?</w:t>
            </w:r>
          </w:p>
          <w:p w:rsidR="007A6316" w:rsidRPr="00A36FD5" w:rsidRDefault="007A6316" w:rsidP="00B551EA">
            <w:pPr>
              <w:ind w:left="90"/>
              <w:rPr>
                <w:b w:val="0"/>
                <w:bCs w:val="0"/>
                <w:sz w:val="20"/>
                <w:szCs w:val="20"/>
              </w:rPr>
            </w:pPr>
          </w:p>
        </w:tc>
      </w:tr>
      <w:tr w:rsidR="007A6316" w:rsidRPr="00A36FD5">
        <w:trPr>
          <w:cnfStyle w:val="000000010000"/>
          <w:trHeight w:val="970"/>
        </w:trPr>
        <w:tc>
          <w:tcPr>
            <w:cnfStyle w:val="001000000000"/>
            <w:tcW w:w="5000" w:type="pct"/>
            <w:shd w:val="clear" w:color="auto" w:fill="DBE5F1" w:themeFill="accent1" w:themeFillTint="33"/>
          </w:tcPr>
          <w:p w:rsidR="007A6316" w:rsidRPr="007A6316" w:rsidRDefault="007A6316" w:rsidP="007A6316">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[S-5]: </w:t>
            </w:r>
            <w:r w:rsidRPr="00972B49">
              <w:rPr>
                <w:rFonts w:ascii="Times New Roman" w:hAnsi="Times New Roman"/>
                <w:sz w:val="24"/>
                <w:szCs w:val="24"/>
              </w:rPr>
              <w:t>An NVE must make publicly available a notice of its data practices describing why IIHI is collected, how it is used, and to whom and for what reason it is disclosed.</w:t>
            </w:r>
          </w:p>
        </w:tc>
      </w:tr>
      <w:tr w:rsidR="007A6316" w:rsidRPr="00A36FD5">
        <w:trPr>
          <w:cnfStyle w:val="000000100000"/>
        </w:trPr>
        <w:tc>
          <w:tcPr>
            <w:cnfStyle w:val="001000000000"/>
            <w:tcW w:w="5000" w:type="pct"/>
            <w:shd w:val="clear" w:color="auto" w:fill="FFFFFF" w:themeFill="background1"/>
          </w:tcPr>
          <w:p w:rsidR="007807D2" w:rsidRDefault="00624D21" w:rsidP="007807D2">
            <w:pPr>
              <w:rPr>
                <w:rFonts w:ascii="Times New Roman" w:hAnsi="Times New Roman" w:cs="Times New Roman"/>
                <w:b w:val="0"/>
              </w:rPr>
            </w:pPr>
            <w:r w:rsidRPr="007807D2">
              <w:rPr>
                <w:rFonts w:ascii="Times New Roman" w:hAnsi="Times New Roman" w:cs="Times New Roman"/>
                <w:b w:val="0"/>
              </w:rPr>
              <w:t xml:space="preserve">Providing notice will not be burdensome or costly if NVEs are provided with a model notice or guidelines outlining specific and well-defined categories/types of data practices to be reported in data notices. </w:t>
            </w:r>
          </w:p>
          <w:p w:rsidR="007807D2" w:rsidRDefault="007807D2" w:rsidP="007807D2">
            <w:pPr>
              <w:rPr>
                <w:rFonts w:ascii="Times New Roman" w:hAnsi="Times New Roman" w:cs="Times New Roman"/>
                <w:b w:val="0"/>
              </w:rPr>
            </w:pPr>
          </w:p>
          <w:p w:rsidR="00624D21" w:rsidRPr="007807D2" w:rsidRDefault="00624D21" w:rsidP="007807D2">
            <w:pPr>
              <w:rPr>
                <w:rFonts w:ascii="Times New Roman" w:hAnsi="Times New Roman" w:cs="Times New Roman"/>
                <w:b w:val="0"/>
              </w:rPr>
            </w:pPr>
            <w:r w:rsidRPr="007807D2">
              <w:rPr>
                <w:rFonts w:ascii="Times New Roman" w:hAnsi="Times New Roman" w:cs="Times New Roman"/>
                <w:b w:val="0"/>
              </w:rPr>
              <w:t>In the absence of clear and well-defined guidelines the cost and burden will be high due to legal and compliance efforts.</w:t>
            </w:r>
          </w:p>
          <w:p w:rsidR="007A6316" w:rsidRPr="00A36FD5" w:rsidRDefault="007A6316" w:rsidP="00DD1178">
            <w:pPr>
              <w:spacing w:after="60"/>
              <w:rPr>
                <w:rFonts w:ascii="Times New Roman" w:hAnsi="Times New Roman" w:cs="Times New Roman"/>
                <w:b w:val="0"/>
                <w:sz w:val="20"/>
                <w:szCs w:val="20"/>
              </w:rPr>
            </w:pPr>
          </w:p>
          <w:p w:rsidR="007A6316" w:rsidRPr="00A36FD5" w:rsidRDefault="007A6316" w:rsidP="00DD1178">
            <w:pPr>
              <w:spacing w:after="60"/>
              <w:rPr>
                <w:rFonts w:ascii="Times New Roman" w:hAnsi="Times New Roman" w:cs="Times New Roman"/>
                <w:b w:val="0"/>
                <w:sz w:val="20"/>
                <w:szCs w:val="20"/>
              </w:rPr>
            </w:pPr>
          </w:p>
        </w:tc>
      </w:tr>
    </w:tbl>
    <w:p w:rsidR="00671428" w:rsidRPr="00A36FD5" w:rsidRDefault="00671428" w:rsidP="00094310">
      <w:pPr>
        <w:tabs>
          <w:tab w:val="left" w:pos="900"/>
          <w:tab w:val="left" w:pos="2790"/>
        </w:tabs>
        <w:rPr>
          <w:b/>
        </w:rPr>
      </w:pPr>
    </w:p>
    <w:tbl>
      <w:tblPr>
        <w:tblStyle w:val="MediumShading1-Accent11"/>
        <w:tblW w:w="5000" w:type="pct"/>
        <w:tblLook w:val="04A0"/>
      </w:tblPr>
      <w:tblGrid>
        <w:gridCol w:w="14616"/>
      </w:tblGrid>
      <w:tr w:rsidR="00671428" w:rsidRPr="00A36FD5">
        <w:trPr>
          <w:cnfStyle w:val="100000000000"/>
          <w:tblHeader/>
        </w:trPr>
        <w:tc>
          <w:tcPr>
            <w:cnfStyle w:val="001000000000"/>
            <w:tcW w:w="5000" w:type="pct"/>
          </w:tcPr>
          <w:p w:rsidR="00671428" w:rsidRPr="00B727D2" w:rsidRDefault="007A6316" w:rsidP="00671428">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7A6316" w:rsidRPr="00A36FD5">
        <w:trPr>
          <w:cnfStyle w:val="000000100000"/>
        </w:trPr>
        <w:tc>
          <w:tcPr>
            <w:cnfStyle w:val="001000000000"/>
            <w:tcW w:w="5000" w:type="pct"/>
            <w:shd w:val="clear" w:color="auto" w:fill="DBE5F1" w:themeFill="accent1" w:themeFillTint="33"/>
          </w:tcPr>
          <w:p w:rsidR="007A6316" w:rsidRDefault="007A6316" w:rsidP="00B551EA">
            <w:pPr>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35</w:t>
            </w:r>
            <w:r w:rsidRPr="004A4EA2">
              <w:rPr>
                <w:rFonts w:ascii="Times New Roman" w:hAnsi="Times New Roman"/>
                <w:sz w:val="24"/>
                <w:szCs w:val="24"/>
                <w:u w:val="single"/>
              </w:rPr>
              <w:t>:</w:t>
            </w:r>
            <w:r>
              <w:rPr>
                <w:rFonts w:ascii="Times New Roman" w:hAnsi="Times New Roman"/>
                <w:sz w:val="24"/>
                <w:szCs w:val="24"/>
              </w:rPr>
              <w:t xml:space="preserve">  </w:t>
            </w:r>
            <w:r w:rsidRPr="00461FBD">
              <w:rPr>
                <w:rFonts w:ascii="Times New Roman" w:hAnsi="Times New Roman"/>
                <w:sz w:val="24"/>
                <w:szCs w:val="24"/>
              </w:rPr>
              <w:t>Should this CTE require that an NVE disclose its activities related to de-identified and aggregated data?</w:t>
            </w:r>
          </w:p>
          <w:p w:rsidR="007A6316" w:rsidRPr="00A36FD5" w:rsidRDefault="007A6316" w:rsidP="00B551EA">
            <w:pPr>
              <w:ind w:left="90"/>
              <w:rPr>
                <w:b w:val="0"/>
                <w:bCs w:val="0"/>
                <w:sz w:val="20"/>
                <w:szCs w:val="20"/>
              </w:rPr>
            </w:pPr>
          </w:p>
        </w:tc>
      </w:tr>
      <w:tr w:rsidR="007A6316"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7A6316" w:rsidRDefault="007A6316" w:rsidP="00B551EA">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[S-5]: </w:t>
            </w:r>
            <w:r w:rsidRPr="00972B49">
              <w:rPr>
                <w:rFonts w:ascii="Times New Roman" w:hAnsi="Times New Roman"/>
                <w:sz w:val="24"/>
                <w:szCs w:val="24"/>
              </w:rPr>
              <w:t>An NVE must make publicly available a notice of its data practices describing why IIHI is collected, how it is used, and to whom and for what reason it is disclosed.</w:t>
            </w:r>
          </w:p>
          <w:p w:rsidR="007A6316" w:rsidRPr="007A6316" w:rsidRDefault="007A6316" w:rsidP="00B551EA">
            <w:pPr>
              <w:ind w:left="90"/>
              <w:rPr>
                <w:rFonts w:ascii="Times New Roman" w:hAnsi="Times New Roman"/>
                <w:sz w:val="24"/>
                <w:szCs w:val="24"/>
              </w:rPr>
            </w:pPr>
          </w:p>
        </w:tc>
      </w:tr>
      <w:tr w:rsidR="00671428" w:rsidRPr="00A36FD5">
        <w:trPr>
          <w:cnfStyle w:val="000000100000"/>
        </w:trPr>
        <w:tc>
          <w:tcPr>
            <w:cnfStyle w:val="001000000000"/>
            <w:tcW w:w="5000" w:type="pct"/>
            <w:shd w:val="clear" w:color="auto" w:fill="FFFFFF" w:themeFill="background1"/>
          </w:tcPr>
          <w:p w:rsidR="007807D2" w:rsidRDefault="002739B7" w:rsidP="007807D2">
            <w:pPr>
              <w:pStyle w:val="ListParagraph"/>
              <w:ind w:left="0"/>
              <w:rPr>
                <w:rFonts w:ascii="Times New Roman" w:hAnsi="Times New Roman" w:cs="Times New Roman"/>
                <w:b w:val="0"/>
              </w:rPr>
            </w:pPr>
            <w:r w:rsidRPr="002739B7">
              <w:rPr>
                <w:rFonts w:ascii="Times New Roman" w:hAnsi="Times New Roman" w:cs="Times New Roman"/>
                <w:b w:val="0"/>
              </w:rPr>
              <w:t xml:space="preserve">The notice should also include uses and disclosures of de-identified data, per the Policy Committee’s previous recommendations. </w:t>
            </w:r>
          </w:p>
          <w:p w:rsidR="007807D2" w:rsidRDefault="007807D2" w:rsidP="007807D2">
            <w:pPr>
              <w:pStyle w:val="ListParagraph"/>
              <w:ind w:left="0"/>
              <w:rPr>
                <w:rFonts w:ascii="Times New Roman" w:hAnsi="Times New Roman" w:cs="Times New Roman"/>
                <w:b w:val="0"/>
              </w:rPr>
            </w:pPr>
          </w:p>
          <w:p w:rsidR="007807D2" w:rsidRPr="00624D21" w:rsidRDefault="007807D2" w:rsidP="007807D2">
            <w:pPr>
              <w:pStyle w:val="ListParagraph"/>
              <w:ind w:left="0"/>
              <w:rPr>
                <w:rFonts w:ascii="Times New Roman" w:hAnsi="Times New Roman"/>
                <w:b w:val="0"/>
              </w:rPr>
            </w:pPr>
            <w:r w:rsidRPr="00624D21">
              <w:rPr>
                <w:rFonts w:ascii="Times New Roman" w:hAnsi="Times New Roman"/>
                <w:b w:val="0"/>
              </w:rPr>
              <w:t xml:space="preserve">The </w:t>
            </w:r>
            <w:r>
              <w:rPr>
                <w:rFonts w:ascii="Times New Roman" w:hAnsi="Times New Roman"/>
                <w:b w:val="0"/>
              </w:rPr>
              <w:t>HITPC</w:t>
            </w:r>
            <w:r w:rsidRPr="00624D21">
              <w:rPr>
                <w:rFonts w:ascii="Times New Roman" w:hAnsi="Times New Roman"/>
                <w:b w:val="0"/>
              </w:rPr>
              <w:t xml:space="preserve"> believes that all NVEs should be transparent and provide notice about how data will be used. As stated in answer to question 34, uses of de-identified information should be disclosed in the NVEs public notice of data practices along with the commitment not to re-identify the data.</w:t>
            </w:r>
          </w:p>
          <w:p w:rsidR="004F5B2A" w:rsidRPr="00D01C35" w:rsidRDefault="004F5B2A" w:rsidP="00CC369A">
            <w:pPr>
              <w:ind w:firstLine="360"/>
              <w:rPr>
                <w:rFonts w:ascii="Times New Roman" w:hAnsi="Times New Roman" w:cs="Times New Roman"/>
                <w:b w:val="0"/>
              </w:rPr>
            </w:pPr>
          </w:p>
        </w:tc>
      </w:tr>
    </w:tbl>
    <w:p w:rsidR="007A6316" w:rsidRDefault="007A6316" w:rsidP="00094310">
      <w:pPr>
        <w:tabs>
          <w:tab w:val="left" w:pos="900"/>
          <w:tab w:val="left" w:pos="2790"/>
        </w:tabs>
        <w:rPr>
          <w:b/>
        </w:rPr>
      </w:pPr>
    </w:p>
    <w:tbl>
      <w:tblPr>
        <w:tblStyle w:val="MediumShading1-Accent11"/>
        <w:tblW w:w="5000" w:type="pct"/>
        <w:tblLook w:val="04A0"/>
      </w:tblPr>
      <w:tblGrid>
        <w:gridCol w:w="14616"/>
      </w:tblGrid>
      <w:tr w:rsidR="0056570D" w:rsidRPr="002E56FA">
        <w:trPr>
          <w:cnfStyle w:val="100000000000"/>
          <w:tblHeader/>
        </w:trPr>
        <w:tc>
          <w:tcPr>
            <w:cnfStyle w:val="001000000000"/>
            <w:tcW w:w="5000" w:type="pct"/>
          </w:tcPr>
          <w:p w:rsidR="0056570D" w:rsidRPr="002E56FA" w:rsidRDefault="007A6316" w:rsidP="008E7238">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7A6316" w:rsidRPr="00A36FD5">
        <w:trPr>
          <w:cnfStyle w:val="000000100000"/>
        </w:trPr>
        <w:tc>
          <w:tcPr>
            <w:cnfStyle w:val="001000000000"/>
            <w:tcW w:w="5000" w:type="pct"/>
            <w:shd w:val="clear" w:color="auto" w:fill="DBE5F1" w:themeFill="accent1" w:themeFillTint="33"/>
          </w:tcPr>
          <w:p w:rsidR="007A6316" w:rsidRDefault="007A6316" w:rsidP="00B551EA">
            <w:pPr>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36</w:t>
            </w:r>
            <w:r w:rsidRPr="004A4EA2">
              <w:rPr>
                <w:rFonts w:ascii="Times New Roman" w:hAnsi="Times New Roman"/>
                <w:sz w:val="24"/>
                <w:szCs w:val="24"/>
                <w:u w:val="single"/>
              </w:rPr>
              <w:t>:</w:t>
            </w:r>
            <w:r>
              <w:rPr>
                <w:rFonts w:ascii="Times New Roman" w:hAnsi="Times New Roman"/>
                <w:sz w:val="24"/>
                <w:szCs w:val="24"/>
              </w:rPr>
              <w:t xml:space="preserve">  </w:t>
            </w:r>
            <w:r w:rsidRPr="00461FBD">
              <w:rPr>
                <w:rFonts w:ascii="Times New Roman" w:hAnsi="Times New Roman"/>
                <w:sz w:val="24"/>
                <w:szCs w:val="24"/>
              </w:rPr>
              <w:t>Should this CTE require that an NVE just post its notice on a website or should it be required to broadly disseminate the notice to the health care providers and others to which it provides electronic exchange services?</w:t>
            </w:r>
          </w:p>
          <w:p w:rsidR="007A6316" w:rsidRPr="00A36FD5" w:rsidRDefault="007A6316" w:rsidP="00B551EA">
            <w:pPr>
              <w:ind w:left="90"/>
              <w:rPr>
                <w:b w:val="0"/>
                <w:bCs w:val="0"/>
                <w:sz w:val="20"/>
                <w:szCs w:val="20"/>
              </w:rPr>
            </w:pPr>
          </w:p>
        </w:tc>
      </w:tr>
      <w:tr w:rsidR="007A6316"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7A6316" w:rsidRDefault="007A6316" w:rsidP="00B551EA">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[S-5]: </w:t>
            </w:r>
            <w:r w:rsidRPr="00972B49">
              <w:rPr>
                <w:rFonts w:ascii="Times New Roman" w:hAnsi="Times New Roman"/>
                <w:sz w:val="24"/>
                <w:szCs w:val="24"/>
              </w:rPr>
              <w:t>An NVE must make publicly available a notice of its data practices describing why IIHI is collected, how it is used, and to whom and for what reason it is disclosed.</w:t>
            </w:r>
          </w:p>
          <w:p w:rsidR="007A6316" w:rsidRPr="007A6316" w:rsidRDefault="007A6316" w:rsidP="00B551EA">
            <w:pPr>
              <w:ind w:left="90"/>
              <w:rPr>
                <w:rFonts w:ascii="Times New Roman" w:hAnsi="Times New Roman"/>
                <w:sz w:val="24"/>
                <w:szCs w:val="24"/>
              </w:rPr>
            </w:pPr>
          </w:p>
        </w:tc>
      </w:tr>
      <w:tr w:rsidR="007A6316" w:rsidRPr="00A36FD5">
        <w:trPr>
          <w:cnfStyle w:val="000000100000"/>
        </w:trPr>
        <w:tc>
          <w:tcPr>
            <w:cnfStyle w:val="001000000000"/>
            <w:tcW w:w="5000" w:type="pct"/>
            <w:shd w:val="clear" w:color="auto" w:fill="FFFFFF" w:themeFill="background1"/>
          </w:tcPr>
          <w:p w:rsidR="004F5B2A" w:rsidRPr="007807D2" w:rsidRDefault="004F5B2A" w:rsidP="007807D2">
            <w:pPr>
              <w:spacing w:before="40" w:after="60"/>
              <w:rPr>
                <w:rFonts w:ascii="Times New Roman" w:hAnsi="Times New Roman" w:cs="Times New Roman"/>
                <w:b w:val="0"/>
              </w:rPr>
            </w:pPr>
            <w:r w:rsidRPr="007807D2">
              <w:rPr>
                <w:rFonts w:ascii="Times New Roman" w:hAnsi="Times New Roman" w:cs="Times New Roman"/>
                <w:b w:val="0"/>
              </w:rPr>
              <w:t xml:space="preserve">NVEs should be required to make their notices available to all participants in the NVE. NVEs should also post notices and any updates to the notices on the NVE’s website(s). NVEs should also make available website notices for NVE participants to share with their patients.  </w:t>
            </w:r>
          </w:p>
          <w:p w:rsidR="007807D2" w:rsidRDefault="007807D2" w:rsidP="007807D2">
            <w:pPr>
              <w:rPr>
                <w:rFonts w:ascii="Times New Roman" w:hAnsi="Times New Roman" w:cs="Times New Roman"/>
                <w:b w:val="0"/>
              </w:rPr>
            </w:pPr>
            <w:r w:rsidRPr="007807D2">
              <w:rPr>
                <w:rFonts w:ascii="Times New Roman" w:hAnsi="Times New Roman" w:cs="Times New Roman"/>
                <w:b w:val="0"/>
              </w:rPr>
              <w:lastRenderedPageBreak/>
              <w:t>The rule making process should not be used to determine the detailed specifics of what notice is appropriate. Perhaps FTC guidance on privacy notices is a reasonable alternative.</w:t>
            </w:r>
          </w:p>
          <w:p w:rsidR="007807D2" w:rsidRDefault="007807D2" w:rsidP="007807D2">
            <w:pPr>
              <w:rPr>
                <w:rFonts w:ascii="Times New Roman" w:hAnsi="Times New Roman" w:cs="Times New Roman"/>
                <w:b w:val="0"/>
              </w:rPr>
            </w:pPr>
            <w:r w:rsidRPr="007807D2">
              <w:rPr>
                <w:rFonts w:ascii="Times New Roman" w:hAnsi="Times New Roman" w:cs="Times New Roman"/>
                <w:b w:val="0"/>
              </w:rPr>
              <w:t>The notice should be broadly disseminated.</w:t>
            </w:r>
          </w:p>
          <w:p w:rsidR="007807D2" w:rsidRPr="007807D2" w:rsidRDefault="007807D2" w:rsidP="007807D2">
            <w:pPr>
              <w:rPr>
                <w:rFonts w:ascii="Times New Roman" w:hAnsi="Times New Roman" w:cs="Times New Roman"/>
                <w:b w:val="0"/>
              </w:rPr>
            </w:pPr>
            <w:r w:rsidRPr="007807D2">
              <w:rPr>
                <w:rFonts w:ascii="Times New Roman" w:hAnsi="Times New Roman" w:cs="Times New Roman"/>
                <w:b w:val="0"/>
              </w:rPr>
              <w:t>An additional comment from a workgroup member recommended an automated mechanism so that when patients don’t authorize specific categories of uses for their data; exchange of data does not occur.</w:t>
            </w:r>
          </w:p>
          <w:p w:rsidR="007A6316" w:rsidRPr="007807D2" w:rsidRDefault="007A6316" w:rsidP="001543C2">
            <w:pPr>
              <w:tabs>
                <w:tab w:val="left" w:pos="1440"/>
              </w:tabs>
              <w:spacing w:before="40" w:after="60"/>
              <w:rPr>
                <w:rFonts w:ascii="Times New Roman" w:hAnsi="Times New Roman" w:cs="Times New Roman"/>
                <w:b w:val="0"/>
              </w:rPr>
            </w:pPr>
          </w:p>
        </w:tc>
      </w:tr>
    </w:tbl>
    <w:p w:rsidR="00942B88" w:rsidRDefault="00942B88" w:rsidP="00CE0D14">
      <w:pPr>
        <w:tabs>
          <w:tab w:val="left" w:pos="900"/>
          <w:tab w:val="left" w:pos="2790"/>
        </w:tabs>
        <w:spacing w:after="0" w:line="240" w:lineRule="auto"/>
        <w:rPr>
          <w:b/>
        </w:rPr>
      </w:pPr>
    </w:p>
    <w:p w:rsidR="007A6316" w:rsidRDefault="007A6316" w:rsidP="00CE0D14">
      <w:pPr>
        <w:tabs>
          <w:tab w:val="left" w:pos="900"/>
          <w:tab w:val="left" w:pos="2790"/>
        </w:tabs>
        <w:spacing w:after="0" w:line="240" w:lineRule="auto"/>
        <w:rPr>
          <w:b/>
        </w:rPr>
      </w:pPr>
    </w:p>
    <w:p w:rsidR="006B5036" w:rsidRDefault="006B5036" w:rsidP="00CE0D14">
      <w:pPr>
        <w:tabs>
          <w:tab w:val="left" w:pos="900"/>
          <w:tab w:val="left" w:pos="2790"/>
        </w:tabs>
        <w:spacing w:after="0" w:line="240" w:lineRule="auto"/>
        <w:rPr>
          <w:b/>
        </w:rPr>
      </w:pPr>
    </w:p>
    <w:p w:rsidR="006B5036" w:rsidRDefault="006B5036" w:rsidP="00CE0D14">
      <w:pPr>
        <w:tabs>
          <w:tab w:val="left" w:pos="900"/>
          <w:tab w:val="left" w:pos="2790"/>
        </w:tabs>
        <w:spacing w:after="0" w:line="240" w:lineRule="auto"/>
        <w:rPr>
          <w:b/>
        </w:rPr>
      </w:pPr>
    </w:p>
    <w:p w:rsidR="006B5036" w:rsidRDefault="006B5036" w:rsidP="00CE0D14">
      <w:pPr>
        <w:tabs>
          <w:tab w:val="left" w:pos="900"/>
          <w:tab w:val="left" w:pos="2790"/>
        </w:tabs>
        <w:spacing w:after="0" w:line="240" w:lineRule="auto"/>
        <w:rPr>
          <w:b/>
        </w:rPr>
      </w:pPr>
    </w:p>
    <w:p w:rsidR="006B5036" w:rsidRDefault="006B5036" w:rsidP="00CE0D14">
      <w:pPr>
        <w:tabs>
          <w:tab w:val="left" w:pos="900"/>
          <w:tab w:val="left" w:pos="2790"/>
        </w:tabs>
        <w:spacing w:after="0" w:line="240" w:lineRule="auto"/>
        <w:rPr>
          <w:b/>
        </w:rPr>
      </w:pPr>
    </w:p>
    <w:p w:rsidR="006728F0" w:rsidRDefault="006728F0" w:rsidP="00CE0D14">
      <w:pPr>
        <w:tabs>
          <w:tab w:val="left" w:pos="900"/>
          <w:tab w:val="left" w:pos="2790"/>
        </w:tabs>
        <w:spacing w:after="0" w:line="240" w:lineRule="auto"/>
        <w:rPr>
          <w:b/>
        </w:rPr>
      </w:pPr>
    </w:p>
    <w:p w:rsidR="006728F0" w:rsidRDefault="006728F0" w:rsidP="00CE0D14">
      <w:pPr>
        <w:tabs>
          <w:tab w:val="left" w:pos="900"/>
          <w:tab w:val="left" w:pos="2790"/>
        </w:tabs>
        <w:spacing w:after="0" w:line="240" w:lineRule="auto"/>
        <w:rPr>
          <w:b/>
        </w:rPr>
      </w:pPr>
    </w:p>
    <w:p w:rsidR="007A6316" w:rsidRPr="00A36FD5" w:rsidRDefault="007A6316" w:rsidP="00CE0D14">
      <w:pPr>
        <w:tabs>
          <w:tab w:val="left" w:pos="900"/>
          <w:tab w:val="left" w:pos="2790"/>
        </w:tabs>
        <w:spacing w:after="0" w:line="240" w:lineRule="auto"/>
        <w:rPr>
          <w:b/>
        </w:rPr>
      </w:pPr>
    </w:p>
    <w:p w:rsidR="00C92E70" w:rsidRPr="00A36FD5" w:rsidRDefault="00C92E70" w:rsidP="00CE0D14">
      <w:pPr>
        <w:tabs>
          <w:tab w:val="left" w:pos="900"/>
          <w:tab w:val="left" w:pos="2790"/>
        </w:tabs>
        <w:spacing w:after="0" w:line="240" w:lineRule="auto"/>
        <w:rPr>
          <w:b/>
        </w:rPr>
      </w:pPr>
    </w:p>
    <w:tbl>
      <w:tblPr>
        <w:tblStyle w:val="MediumShading1-Accent11"/>
        <w:tblW w:w="5000" w:type="pct"/>
        <w:tblLook w:val="04A0"/>
      </w:tblPr>
      <w:tblGrid>
        <w:gridCol w:w="14616"/>
      </w:tblGrid>
      <w:tr w:rsidR="00F75BFE" w:rsidRPr="002E56FA">
        <w:trPr>
          <w:cnfStyle w:val="100000000000"/>
          <w:tblHeader/>
        </w:trPr>
        <w:tc>
          <w:tcPr>
            <w:cnfStyle w:val="001000000000"/>
            <w:tcW w:w="5000" w:type="pct"/>
          </w:tcPr>
          <w:p w:rsidR="00F75BFE" w:rsidRPr="002E56FA" w:rsidRDefault="007A6316" w:rsidP="00DD1178">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7A6316" w:rsidRPr="00A36FD5">
        <w:trPr>
          <w:cnfStyle w:val="000000100000"/>
        </w:trPr>
        <w:tc>
          <w:tcPr>
            <w:cnfStyle w:val="001000000000"/>
            <w:tcW w:w="5000" w:type="pct"/>
            <w:shd w:val="clear" w:color="auto" w:fill="DBE5F1" w:themeFill="accent1" w:themeFillTint="33"/>
          </w:tcPr>
          <w:p w:rsidR="007A6316" w:rsidRDefault="007A6316" w:rsidP="00B551EA">
            <w:pPr>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37</w:t>
            </w:r>
            <w:r w:rsidRPr="004A4EA2">
              <w:rPr>
                <w:rFonts w:ascii="Times New Roman" w:hAnsi="Times New Roman"/>
                <w:sz w:val="24"/>
                <w:szCs w:val="24"/>
                <w:u w:val="single"/>
              </w:rPr>
              <w:t>:</w:t>
            </w:r>
            <w:r>
              <w:rPr>
                <w:rFonts w:ascii="Times New Roman" w:hAnsi="Times New Roman"/>
                <w:sz w:val="24"/>
                <w:szCs w:val="24"/>
              </w:rPr>
              <w:t xml:space="preserve">  </w:t>
            </w:r>
            <w:r w:rsidR="00E564AC" w:rsidRPr="00D41F26">
              <w:rPr>
                <w:rFonts w:ascii="Times New Roman" w:hAnsi="Times New Roman"/>
                <w:sz w:val="24"/>
                <w:szCs w:val="24"/>
              </w:rPr>
              <w:t>What impact, if any, would this CTE have on various evolving business models?  Would the additional trust gained from this CTE outweigh the potential impact on these models?</w:t>
            </w:r>
          </w:p>
          <w:p w:rsidR="007A6316" w:rsidRPr="00A36FD5" w:rsidRDefault="007A6316" w:rsidP="00B551EA">
            <w:pPr>
              <w:ind w:left="90"/>
              <w:rPr>
                <w:b w:val="0"/>
                <w:bCs w:val="0"/>
                <w:sz w:val="20"/>
                <w:szCs w:val="20"/>
              </w:rPr>
            </w:pPr>
          </w:p>
        </w:tc>
      </w:tr>
      <w:tr w:rsidR="007A6316"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7A6316" w:rsidRDefault="007A6316" w:rsidP="00B551EA">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[S-6]: </w:t>
            </w:r>
            <w:r w:rsidRPr="00845049">
              <w:rPr>
                <w:rFonts w:ascii="Times New Roman" w:hAnsi="Times New Roman"/>
                <w:sz w:val="24"/>
                <w:szCs w:val="24"/>
              </w:rPr>
              <w:t>An NVE must not use or disclose de-identified health information to which it has access for any commercial purpose.</w:t>
            </w:r>
          </w:p>
          <w:p w:rsidR="007A6316" w:rsidRPr="007A6316" w:rsidRDefault="007A6316" w:rsidP="00B551EA">
            <w:pPr>
              <w:ind w:left="90"/>
              <w:rPr>
                <w:rFonts w:ascii="Times New Roman" w:hAnsi="Times New Roman"/>
                <w:sz w:val="24"/>
                <w:szCs w:val="24"/>
              </w:rPr>
            </w:pPr>
          </w:p>
        </w:tc>
      </w:tr>
      <w:tr w:rsidR="007A6316" w:rsidRPr="00A36FD5">
        <w:trPr>
          <w:cnfStyle w:val="000000100000"/>
        </w:trPr>
        <w:tc>
          <w:tcPr>
            <w:cnfStyle w:val="001000000000"/>
            <w:tcW w:w="5000" w:type="pct"/>
            <w:shd w:val="clear" w:color="auto" w:fill="FFFFFF" w:themeFill="background1"/>
          </w:tcPr>
          <w:p w:rsidR="008F6B2A" w:rsidRPr="007807D2" w:rsidRDefault="008F6B2A" w:rsidP="007807D2">
            <w:pPr>
              <w:rPr>
                <w:rFonts w:ascii="Times New Roman" w:hAnsi="Times New Roman"/>
                <w:b w:val="0"/>
              </w:rPr>
            </w:pPr>
            <w:r w:rsidRPr="007807D2">
              <w:rPr>
                <w:rFonts w:ascii="Times New Roman" w:hAnsi="Times New Roman"/>
                <w:b w:val="0"/>
              </w:rPr>
              <w:t xml:space="preserve">The </w:t>
            </w:r>
            <w:r w:rsidR="00514C5B" w:rsidRPr="007807D2">
              <w:rPr>
                <w:rFonts w:ascii="Times New Roman" w:hAnsi="Times New Roman"/>
                <w:b w:val="0"/>
              </w:rPr>
              <w:t>HITPC</w:t>
            </w:r>
            <w:r w:rsidRPr="007807D2">
              <w:rPr>
                <w:rFonts w:ascii="Times New Roman" w:hAnsi="Times New Roman"/>
                <w:b w:val="0"/>
              </w:rPr>
              <w:t xml:space="preserve"> believes that the proposed </w:t>
            </w:r>
            <w:r w:rsidRPr="007807D2">
              <w:rPr>
                <w:rFonts w:ascii="Times New Roman" w:hAnsi="Times New Roman"/>
                <w:b w:val="0"/>
                <w:u w:val="single"/>
              </w:rPr>
              <w:t>Condition S-6</w:t>
            </w:r>
            <w:r w:rsidRPr="007807D2">
              <w:rPr>
                <w:rFonts w:ascii="Times New Roman" w:hAnsi="Times New Roman"/>
                <w:b w:val="0"/>
              </w:rPr>
              <w:t xml:space="preserve"> would have a chilling effect on many existing and emerging business models including for quality improvement, public health and research.</w:t>
            </w:r>
          </w:p>
          <w:p w:rsidR="008F6B2A" w:rsidRPr="007807D2" w:rsidRDefault="008F6B2A" w:rsidP="007807D2">
            <w:pPr>
              <w:rPr>
                <w:rFonts w:ascii="Times New Roman" w:hAnsi="Times New Roman"/>
                <w:b w:val="0"/>
              </w:rPr>
            </w:pPr>
            <w:r w:rsidRPr="007807D2">
              <w:rPr>
                <w:rFonts w:ascii="Times New Roman" w:hAnsi="Times New Roman"/>
                <w:b w:val="0"/>
              </w:rPr>
              <w:t xml:space="preserve">Instead of prohibiting the use or disclosure of de-identified information, the </w:t>
            </w:r>
            <w:r w:rsidR="00514C5B" w:rsidRPr="007807D2">
              <w:rPr>
                <w:rFonts w:ascii="Times New Roman" w:hAnsi="Times New Roman"/>
                <w:b w:val="0"/>
              </w:rPr>
              <w:t>HITPC</w:t>
            </w:r>
            <w:r w:rsidRPr="007807D2">
              <w:rPr>
                <w:rFonts w:ascii="Times New Roman" w:hAnsi="Times New Roman"/>
                <w:b w:val="0"/>
              </w:rPr>
              <w:t xml:space="preserve"> recommends that NVEs be permitted to disclose de-identified information only:</w:t>
            </w:r>
          </w:p>
          <w:p w:rsidR="008F6B2A" w:rsidRPr="007807D2" w:rsidRDefault="008F6B2A" w:rsidP="006F4BDD">
            <w:pPr>
              <w:pStyle w:val="ListParagraph"/>
              <w:numPr>
                <w:ilvl w:val="1"/>
                <w:numId w:val="25"/>
              </w:numPr>
              <w:rPr>
                <w:rFonts w:ascii="Times New Roman" w:hAnsi="Times New Roman"/>
                <w:b w:val="0"/>
              </w:rPr>
            </w:pPr>
            <w:r w:rsidRPr="007807D2">
              <w:rPr>
                <w:rFonts w:ascii="Times New Roman" w:hAnsi="Times New Roman"/>
                <w:b w:val="0"/>
              </w:rPr>
              <w:t>As permitted under business associate agreements (BAAs) the NVE holds with its customers.</w:t>
            </w:r>
          </w:p>
          <w:p w:rsidR="008F6B2A" w:rsidRPr="007807D2" w:rsidRDefault="008F6B2A" w:rsidP="006F4BDD">
            <w:pPr>
              <w:pStyle w:val="ListParagraph"/>
              <w:numPr>
                <w:ilvl w:val="1"/>
                <w:numId w:val="25"/>
              </w:numPr>
              <w:rPr>
                <w:rFonts w:ascii="Times New Roman" w:hAnsi="Times New Roman"/>
                <w:b w:val="0"/>
              </w:rPr>
            </w:pPr>
            <w:r w:rsidRPr="007807D2">
              <w:rPr>
                <w:rFonts w:ascii="Times New Roman" w:hAnsi="Times New Roman"/>
                <w:b w:val="0"/>
              </w:rPr>
              <w:t>When uses of de-identified information are disclosed in the NVEs public notice of data practices along with the commitment not to re-identify the data.</w:t>
            </w:r>
          </w:p>
          <w:p w:rsidR="008F6B2A" w:rsidRPr="007807D2" w:rsidRDefault="008F6B2A" w:rsidP="006F4BDD">
            <w:pPr>
              <w:pStyle w:val="ListParagraph"/>
              <w:numPr>
                <w:ilvl w:val="1"/>
                <w:numId w:val="25"/>
              </w:numPr>
              <w:rPr>
                <w:rFonts w:ascii="Times New Roman" w:hAnsi="Times New Roman"/>
                <w:b w:val="0"/>
              </w:rPr>
            </w:pPr>
            <w:r w:rsidRPr="007807D2">
              <w:rPr>
                <w:rFonts w:ascii="Times New Roman" w:hAnsi="Times New Roman"/>
                <w:b w:val="0"/>
              </w:rPr>
              <w:t>When de-identified information meets the HIPAA de-identification standards.</w:t>
            </w:r>
          </w:p>
          <w:p w:rsidR="008F6B2A" w:rsidRPr="007807D2" w:rsidRDefault="008F6B2A" w:rsidP="006F4BDD">
            <w:pPr>
              <w:pStyle w:val="ListParagraph"/>
              <w:numPr>
                <w:ilvl w:val="1"/>
                <w:numId w:val="25"/>
              </w:numPr>
              <w:rPr>
                <w:rFonts w:ascii="Times New Roman" w:hAnsi="Times New Roman"/>
                <w:b w:val="0"/>
              </w:rPr>
            </w:pPr>
            <w:r w:rsidRPr="007807D2">
              <w:rPr>
                <w:rFonts w:ascii="Times New Roman" w:hAnsi="Times New Roman"/>
                <w:b w:val="0"/>
              </w:rPr>
              <w:t>When the NVE prohibits any downstream recipients from re-identifying patient information.</w:t>
            </w:r>
          </w:p>
          <w:p w:rsidR="008F6B2A" w:rsidRPr="007807D2" w:rsidRDefault="008F6B2A" w:rsidP="007807D2">
            <w:pPr>
              <w:rPr>
                <w:rFonts w:ascii="Times New Roman" w:hAnsi="Times New Roman"/>
                <w:b w:val="0"/>
                <w:u w:val="single"/>
              </w:rPr>
            </w:pPr>
            <w:r w:rsidRPr="007807D2">
              <w:rPr>
                <w:rFonts w:ascii="Times New Roman" w:hAnsi="Times New Roman"/>
                <w:b w:val="0"/>
              </w:rPr>
              <w:t>This approach is consistent with the recommendations made by the FTC in the recently released report, “Protecting Consumer Privacy in an Era of Rapid Change” http://www.ftc.gov/opa/2012/03/privacyframework.shtm</w:t>
            </w:r>
          </w:p>
          <w:p w:rsidR="007807D2" w:rsidRPr="007807D2" w:rsidRDefault="007807D2" w:rsidP="007807D2">
            <w:pPr>
              <w:rPr>
                <w:rFonts w:ascii="Times New Roman" w:hAnsi="Times New Roman" w:cs="Times New Roman"/>
                <w:b w:val="0"/>
              </w:rPr>
            </w:pPr>
            <w:r w:rsidRPr="007807D2">
              <w:rPr>
                <w:rFonts w:ascii="Times New Roman" w:hAnsi="Times New Roman" w:cs="Times New Roman"/>
                <w:b w:val="0"/>
              </w:rPr>
              <w:t xml:space="preserve">No.  There are many commercial purposes that involve de-identified data that are appropriate.  The HITPC supports CTE S-5, which would require NVEs to post a privacy policy that would disclose such activities.  </w:t>
            </w:r>
          </w:p>
          <w:p w:rsidR="007807D2" w:rsidRPr="007807D2" w:rsidRDefault="007807D2" w:rsidP="007807D2">
            <w:pPr>
              <w:rPr>
                <w:rFonts w:ascii="Times New Roman" w:hAnsi="Times New Roman" w:cs="Times New Roman"/>
                <w:b w:val="0"/>
              </w:rPr>
            </w:pPr>
          </w:p>
          <w:p w:rsidR="007807D2" w:rsidRPr="007807D2" w:rsidRDefault="007807D2" w:rsidP="007807D2">
            <w:pPr>
              <w:rPr>
                <w:rFonts w:ascii="Times New Roman" w:hAnsi="Times New Roman" w:cs="Times New Roman"/>
                <w:b w:val="0"/>
              </w:rPr>
            </w:pPr>
            <w:r w:rsidRPr="007807D2">
              <w:rPr>
                <w:rFonts w:ascii="Times New Roman" w:hAnsi="Times New Roman" w:cs="Times New Roman"/>
                <w:b w:val="0"/>
              </w:rPr>
              <w:lastRenderedPageBreak/>
              <w:t xml:space="preserve">The HITPC recommends this be clarified as to whether it would encompass only data that is exchanged through the NwHIN under governance or all the data which an entity holds.  The boundaries need to be understood.  The HITPC is concerned that it would be difficult to implement if providers are NVEs.  If an NVE is a provider and takes in data, it becomes part of its record.  It would be hard to segregate data that came in via its NVE role.  The HITPC recommends the general principle of local autonomy:  governance rules would apply to exchanges between NVEs, but local rules (rules of the end users) would be respected.  </w:t>
            </w:r>
            <w:r w:rsidRPr="007807D2" w:rsidDel="002B5150">
              <w:rPr>
                <w:rFonts w:ascii="Times New Roman" w:hAnsi="Times New Roman" w:cs="Times New Roman"/>
                <w:b w:val="0"/>
                <w:highlight w:val="yellow"/>
              </w:rPr>
              <w:t xml:space="preserve"> </w:t>
            </w:r>
          </w:p>
          <w:p w:rsidR="007807D2" w:rsidRPr="007807D2" w:rsidRDefault="007807D2" w:rsidP="007807D2">
            <w:pPr>
              <w:rPr>
                <w:rFonts w:ascii="Times New Roman" w:hAnsi="Times New Roman" w:cs="Times New Roman"/>
                <w:b w:val="0"/>
              </w:rPr>
            </w:pPr>
          </w:p>
          <w:p w:rsidR="007807D2" w:rsidRPr="00A50406" w:rsidRDefault="007807D2" w:rsidP="00DD1178">
            <w:pPr>
              <w:tabs>
                <w:tab w:val="left" w:pos="1440"/>
              </w:tabs>
              <w:spacing w:before="40" w:after="60"/>
              <w:rPr>
                <w:rFonts w:ascii="Times New Roman" w:hAnsi="Times New Roman" w:cs="Times New Roman"/>
                <w:b w:val="0"/>
              </w:rPr>
            </w:pPr>
            <w:r w:rsidRPr="007807D2">
              <w:rPr>
                <w:rFonts w:ascii="Times New Roman" w:hAnsi="Times New Roman" w:cs="Times New Roman"/>
                <w:b w:val="0"/>
              </w:rPr>
              <w:t>NOTE:  See question 38 for HITPC comments on this CTE.</w:t>
            </w:r>
            <w:r>
              <w:rPr>
                <w:rFonts w:ascii="Times New Roman" w:hAnsi="Times New Roman" w:cs="Times New Roman"/>
              </w:rPr>
              <w:t xml:space="preserve">  </w:t>
            </w:r>
          </w:p>
          <w:p w:rsidR="007A6316" w:rsidRPr="00A50406" w:rsidRDefault="007A6316" w:rsidP="00DD1178">
            <w:pPr>
              <w:tabs>
                <w:tab w:val="left" w:pos="1440"/>
              </w:tabs>
              <w:spacing w:before="40" w:after="60"/>
              <w:rPr>
                <w:rFonts w:ascii="Times New Roman" w:hAnsi="Times New Roman" w:cs="Times New Roman"/>
                <w:b w:val="0"/>
              </w:rPr>
            </w:pPr>
          </w:p>
        </w:tc>
      </w:tr>
    </w:tbl>
    <w:p w:rsidR="00942B88" w:rsidRDefault="00942B88" w:rsidP="00094310">
      <w:pPr>
        <w:tabs>
          <w:tab w:val="left" w:pos="900"/>
          <w:tab w:val="left" w:pos="2790"/>
        </w:tabs>
        <w:rPr>
          <w:b/>
        </w:rPr>
      </w:pPr>
    </w:p>
    <w:p w:rsidR="00E564AC" w:rsidRDefault="00E564AC" w:rsidP="00094310">
      <w:pPr>
        <w:tabs>
          <w:tab w:val="left" w:pos="900"/>
          <w:tab w:val="left" w:pos="2790"/>
        </w:tabs>
        <w:rPr>
          <w:b/>
        </w:rPr>
      </w:pPr>
    </w:p>
    <w:p w:rsidR="006B5036" w:rsidRDefault="006B5036" w:rsidP="00094310">
      <w:pPr>
        <w:tabs>
          <w:tab w:val="left" w:pos="900"/>
          <w:tab w:val="left" w:pos="2790"/>
        </w:tabs>
        <w:rPr>
          <w:b/>
        </w:rPr>
      </w:pPr>
    </w:p>
    <w:p w:rsidR="006B5036" w:rsidRDefault="006B5036" w:rsidP="00094310">
      <w:pPr>
        <w:tabs>
          <w:tab w:val="left" w:pos="900"/>
          <w:tab w:val="left" w:pos="2790"/>
        </w:tabs>
        <w:rPr>
          <w:b/>
        </w:rPr>
      </w:pPr>
    </w:p>
    <w:p w:rsidR="00286BC0" w:rsidRPr="00A36FD5" w:rsidRDefault="00286BC0" w:rsidP="00094310">
      <w:pPr>
        <w:tabs>
          <w:tab w:val="left" w:pos="900"/>
          <w:tab w:val="left" w:pos="2790"/>
        </w:tabs>
        <w:rPr>
          <w:b/>
        </w:rPr>
      </w:pPr>
    </w:p>
    <w:tbl>
      <w:tblPr>
        <w:tblStyle w:val="MediumShading1-Accent11"/>
        <w:tblW w:w="5000" w:type="pct"/>
        <w:tblLook w:val="04A0"/>
      </w:tblPr>
      <w:tblGrid>
        <w:gridCol w:w="14616"/>
      </w:tblGrid>
      <w:tr w:rsidR="00A52FD3" w:rsidRPr="002E56FA">
        <w:trPr>
          <w:cnfStyle w:val="100000000000"/>
          <w:tblHeader/>
        </w:trPr>
        <w:tc>
          <w:tcPr>
            <w:cnfStyle w:val="001000000000"/>
            <w:tcW w:w="5000" w:type="pct"/>
          </w:tcPr>
          <w:p w:rsidR="00A52FD3" w:rsidRPr="002E56FA" w:rsidRDefault="00E564AC" w:rsidP="00DD1178">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E564AC" w:rsidRPr="00A36FD5">
        <w:trPr>
          <w:cnfStyle w:val="000000100000"/>
        </w:trPr>
        <w:tc>
          <w:tcPr>
            <w:cnfStyle w:val="001000000000"/>
            <w:tcW w:w="5000" w:type="pct"/>
            <w:shd w:val="clear" w:color="auto" w:fill="DBE5F1" w:themeFill="accent1" w:themeFillTint="33"/>
          </w:tcPr>
          <w:p w:rsidR="00E564AC" w:rsidRDefault="00E564AC" w:rsidP="00B551EA">
            <w:pPr>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38</w:t>
            </w:r>
            <w:r w:rsidRPr="004A4EA2">
              <w:rPr>
                <w:rFonts w:ascii="Times New Roman" w:hAnsi="Times New Roman"/>
                <w:sz w:val="24"/>
                <w:szCs w:val="24"/>
                <w:u w:val="single"/>
              </w:rPr>
              <w:t>:</w:t>
            </w:r>
            <w:r>
              <w:rPr>
                <w:rFonts w:ascii="Times New Roman" w:hAnsi="Times New Roman"/>
                <w:sz w:val="24"/>
                <w:szCs w:val="24"/>
              </w:rPr>
              <w:t xml:space="preserve">  </w:t>
            </w:r>
            <w:r w:rsidRPr="00D41F26">
              <w:rPr>
                <w:rFonts w:ascii="Times New Roman" w:hAnsi="Times New Roman"/>
                <w:sz w:val="24"/>
                <w:szCs w:val="24"/>
              </w:rPr>
              <w:t>On what other entities would this have an effect?</w:t>
            </w:r>
          </w:p>
          <w:p w:rsidR="00E564AC" w:rsidRPr="00A36FD5" w:rsidRDefault="00E564AC" w:rsidP="00B551EA">
            <w:pPr>
              <w:ind w:left="90"/>
              <w:rPr>
                <w:b w:val="0"/>
                <w:bCs w:val="0"/>
                <w:sz w:val="20"/>
                <w:szCs w:val="20"/>
              </w:rPr>
            </w:pPr>
          </w:p>
        </w:tc>
      </w:tr>
      <w:tr w:rsidR="00E564AC"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E564AC" w:rsidRDefault="00E564AC" w:rsidP="00B551EA">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[S-6]: </w:t>
            </w:r>
            <w:r w:rsidRPr="00845049">
              <w:rPr>
                <w:rFonts w:ascii="Times New Roman" w:hAnsi="Times New Roman"/>
                <w:sz w:val="24"/>
                <w:szCs w:val="24"/>
              </w:rPr>
              <w:t>An NVE must not use or disclose de-identified health information to which it has access for any commercial purpose.</w:t>
            </w:r>
          </w:p>
          <w:p w:rsidR="00E564AC" w:rsidRPr="007A6316" w:rsidRDefault="00E564AC" w:rsidP="00B551EA">
            <w:pPr>
              <w:ind w:left="90"/>
              <w:rPr>
                <w:rFonts w:ascii="Times New Roman" w:hAnsi="Times New Roman"/>
                <w:sz w:val="24"/>
                <w:szCs w:val="24"/>
              </w:rPr>
            </w:pPr>
          </w:p>
        </w:tc>
      </w:tr>
      <w:tr w:rsidR="004A2028" w:rsidRPr="00A36FD5">
        <w:trPr>
          <w:cnfStyle w:val="000000100000"/>
        </w:trPr>
        <w:tc>
          <w:tcPr>
            <w:cnfStyle w:val="001000000000"/>
            <w:tcW w:w="5000" w:type="pct"/>
            <w:shd w:val="clear" w:color="auto" w:fill="FFFFFF" w:themeFill="background1"/>
          </w:tcPr>
          <w:p w:rsidR="00A60AA1" w:rsidRPr="00A60AA1" w:rsidRDefault="00A60AA1" w:rsidP="00A60AA1">
            <w:pPr>
              <w:rPr>
                <w:rFonts w:ascii="Times New Roman" w:hAnsi="Times New Roman"/>
                <w:b w:val="0"/>
              </w:rPr>
            </w:pPr>
            <w:r w:rsidRPr="00A60AA1">
              <w:rPr>
                <w:rFonts w:ascii="Times New Roman" w:hAnsi="Times New Roman"/>
                <w:b w:val="0"/>
              </w:rPr>
              <w:t xml:space="preserve">The HITPC believes that EHR and PHR vendors, the NVEs, the covered entities they serve and other third party affiliates would be affected by the proposed </w:t>
            </w:r>
            <w:r w:rsidRPr="00A60AA1">
              <w:rPr>
                <w:rFonts w:ascii="Times New Roman" w:hAnsi="Times New Roman"/>
                <w:b w:val="0"/>
                <w:u w:val="single"/>
              </w:rPr>
              <w:t>Condition S-6</w:t>
            </w:r>
            <w:r w:rsidRPr="00A60AA1">
              <w:rPr>
                <w:rFonts w:ascii="Times New Roman" w:hAnsi="Times New Roman"/>
                <w:b w:val="0"/>
              </w:rPr>
              <w:t>.</w:t>
            </w:r>
          </w:p>
          <w:p w:rsidR="004A2028" w:rsidRPr="004A2028" w:rsidRDefault="004A2028" w:rsidP="00A60AA1">
            <w:pPr>
              <w:rPr>
                <w:rFonts w:ascii="Times New Roman" w:hAnsi="Times New Roman" w:cs="Times New Roman"/>
                <w:b w:val="0"/>
              </w:rPr>
            </w:pPr>
            <w:r w:rsidRPr="004A2028">
              <w:rPr>
                <w:rFonts w:ascii="Times New Roman" w:hAnsi="Times New Roman" w:cs="Times New Roman"/>
                <w:b w:val="0"/>
              </w:rPr>
              <w:t xml:space="preserve">The </w:t>
            </w:r>
            <w:r w:rsidR="00864FA7">
              <w:rPr>
                <w:rFonts w:ascii="Times New Roman" w:hAnsi="Times New Roman" w:cs="Times New Roman"/>
                <w:b w:val="0"/>
              </w:rPr>
              <w:t>HITPC</w:t>
            </w:r>
            <w:r w:rsidRPr="004A2028">
              <w:rPr>
                <w:rFonts w:ascii="Times New Roman" w:hAnsi="Times New Roman" w:cs="Times New Roman"/>
                <w:b w:val="0"/>
              </w:rPr>
              <w:t xml:space="preserve"> also had a difference of opinion on this issue.  A number of </w:t>
            </w:r>
            <w:r w:rsidR="00864FA7">
              <w:rPr>
                <w:rFonts w:ascii="Times New Roman" w:hAnsi="Times New Roman" w:cs="Times New Roman"/>
                <w:b w:val="0"/>
              </w:rPr>
              <w:t>HITPC</w:t>
            </w:r>
            <w:r w:rsidRPr="004A2028">
              <w:rPr>
                <w:rFonts w:ascii="Times New Roman" w:hAnsi="Times New Roman" w:cs="Times New Roman"/>
                <w:b w:val="0"/>
              </w:rPr>
              <w:t xml:space="preserve"> members agreed with the following:</w:t>
            </w:r>
          </w:p>
          <w:p w:rsidR="004A2028" w:rsidRPr="004A2028" w:rsidRDefault="004A2028" w:rsidP="00A60AA1">
            <w:pPr>
              <w:rPr>
                <w:rFonts w:ascii="Times New Roman" w:hAnsi="Times New Roman" w:cs="Times New Roman"/>
                <w:b w:val="0"/>
              </w:rPr>
            </w:pPr>
            <w:r w:rsidRPr="004A2028">
              <w:rPr>
                <w:rFonts w:ascii="Times New Roman" w:hAnsi="Times New Roman" w:cs="Times New Roman"/>
                <w:b w:val="0"/>
              </w:rPr>
              <w:t>Prohibiting NVEs from using or disclosing de-identified data for commercial purposes could eliminate a potential model of sustainability.  Other entities would be permitted to do this, whereas this would be prohibited for NVEs.</w:t>
            </w:r>
          </w:p>
          <w:p w:rsidR="004A2028" w:rsidRPr="004A2028" w:rsidRDefault="004A2028" w:rsidP="00A60AA1">
            <w:pPr>
              <w:rPr>
                <w:rFonts w:ascii="Times New Roman" w:hAnsi="Times New Roman" w:cs="Times New Roman"/>
                <w:b w:val="0"/>
              </w:rPr>
            </w:pPr>
            <w:r w:rsidRPr="004A2028">
              <w:rPr>
                <w:rFonts w:ascii="Times New Roman" w:hAnsi="Times New Roman" w:cs="Times New Roman"/>
                <w:b w:val="0"/>
              </w:rPr>
              <w:t>Defining what is a “commercial” purpose in health care can be a challenge, as health care entities must generate revenue in order to remain in the business of providing health care.</w:t>
            </w:r>
          </w:p>
          <w:p w:rsidR="004A2028" w:rsidRPr="004A2028" w:rsidRDefault="004A2028" w:rsidP="00A60AA1">
            <w:pPr>
              <w:rPr>
                <w:rFonts w:ascii="Times New Roman" w:hAnsi="Times New Roman" w:cs="Times New Roman"/>
                <w:b w:val="0"/>
              </w:rPr>
            </w:pPr>
            <w:r w:rsidRPr="004A2028">
              <w:rPr>
                <w:rFonts w:ascii="Times New Roman" w:hAnsi="Times New Roman" w:cs="Times New Roman"/>
                <w:b w:val="0"/>
              </w:rPr>
              <w:t xml:space="preserve">However, other </w:t>
            </w:r>
            <w:r w:rsidR="00864FA7">
              <w:rPr>
                <w:rFonts w:ascii="Times New Roman" w:hAnsi="Times New Roman" w:cs="Times New Roman"/>
                <w:b w:val="0"/>
              </w:rPr>
              <w:t>HITPC</w:t>
            </w:r>
            <w:r w:rsidRPr="004A2028">
              <w:rPr>
                <w:rFonts w:ascii="Times New Roman" w:hAnsi="Times New Roman" w:cs="Times New Roman"/>
                <w:b w:val="0"/>
              </w:rPr>
              <w:t xml:space="preserve"> members expressed concern that allowing NVEs to use or disclose de-identified data for commercial purposes could significantly disrupt the trust environment of the NwHIN.  For example, some patients might object to certain commercial uses of health information, such as data sales for detailing, or data sales for the purpose of identifying providers who might be paid for entering patients into clinical trials. Additionally, some commercial uses of data could be used to create market advantages (or disadvantages) for competitors in the health care system. NVE participants will not always have the power to prohibit certain uses of de-identified data due to disparities in bargaining power. (NVE business associate agreements in some cases could become contracts of adhesion).</w:t>
            </w:r>
          </w:p>
          <w:p w:rsidR="004A2028" w:rsidRPr="004A2028" w:rsidRDefault="004A2028" w:rsidP="00A60AA1">
            <w:pPr>
              <w:rPr>
                <w:rFonts w:ascii="Times New Roman" w:hAnsi="Times New Roman" w:cs="Times New Roman"/>
                <w:b w:val="0"/>
              </w:rPr>
            </w:pPr>
            <w:r w:rsidRPr="004A2028">
              <w:rPr>
                <w:rFonts w:ascii="Times New Roman" w:hAnsi="Times New Roman" w:cs="Times New Roman"/>
                <w:b w:val="0"/>
              </w:rPr>
              <w:t xml:space="preserve">Nevertheless, the </w:t>
            </w:r>
            <w:r w:rsidR="00864FA7">
              <w:rPr>
                <w:rFonts w:ascii="Times New Roman" w:hAnsi="Times New Roman" w:cs="Times New Roman"/>
                <w:b w:val="0"/>
              </w:rPr>
              <w:t>HITPC</w:t>
            </w:r>
            <w:r w:rsidRPr="004A2028">
              <w:rPr>
                <w:rFonts w:ascii="Times New Roman" w:hAnsi="Times New Roman" w:cs="Times New Roman"/>
                <w:b w:val="0"/>
              </w:rPr>
              <w:t xml:space="preserve"> did agree on the following:</w:t>
            </w:r>
          </w:p>
          <w:p w:rsidR="004A2028" w:rsidRPr="004A2028" w:rsidRDefault="004A2028" w:rsidP="006F4BDD">
            <w:pPr>
              <w:pStyle w:val="ListParagraph"/>
              <w:numPr>
                <w:ilvl w:val="0"/>
                <w:numId w:val="11"/>
              </w:numPr>
              <w:rPr>
                <w:rFonts w:ascii="Times New Roman" w:hAnsi="Times New Roman" w:cs="Times New Roman"/>
                <w:b w:val="0"/>
              </w:rPr>
            </w:pPr>
            <w:r w:rsidRPr="004A2028">
              <w:rPr>
                <w:rFonts w:ascii="Times New Roman" w:hAnsi="Times New Roman" w:cs="Times New Roman"/>
                <w:b w:val="0"/>
              </w:rPr>
              <w:t xml:space="preserve">ONC should require NVEs to commit to not re-identifying de-identified data, and require NVEs to bind their downstream de-identified data recipients to </w:t>
            </w:r>
            <w:r w:rsidRPr="004A2028">
              <w:rPr>
                <w:rFonts w:ascii="Times New Roman" w:hAnsi="Times New Roman" w:cs="Times New Roman"/>
                <w:b w:val="0"/>
              </w:rPr>
              <w:lastRenderedPageBreak/>
              <w:t>this policy.  (This is consistent with the FTC’s recent report on consumer privacy.)</w:t>
            </w:r>
          </w:p>
          <w:p w:rsidR="00715D4B" w:rsidRDefault="004A2028" w:rsidP="006F4BDD">
            <w:pPr>
              <w:pStyle w:val="ListParagraph"/>
              <w:numPr>
                <w:ilvl w:val="0"/>
                <w:numId w:val="11"/>
              </w:numPr>
              <w:rPr>
                <w:rFonts w:ascii="Times New Roman" w:hAnsi="Times New Roman" w:cs="Times New Roman"/>
                <w:b w:val="0"/>
              </w:rPr>
            </w:pPr>
            <w:r w:rsidRPr="004A2028">
              <w:rPr>
                <w:rFonts w:ascii="Times New Roman" w:hAnsi="Times New Roman" w:cs="Times New Roman"/>
                <w:b w:val="0"/>
              </w:rPr>
              <w:t xml:space="preserve">As the </w:t>
            </w:r>
            <w:r w:rsidR="00864FA7">
              <w:rPr>
                <w:rFonts w:ascii="Times New Roman" w:hAnsi="Times New Roman" w:cs="Times New Roman"/>
                <w:b w:val="0"/>
              </w:rPr>
              <w:t>HITPC</w:t>
            </w:r>
            <w:r w:rsidRPr="004A2028">
              <w:rPr>
                <w:rFonts w:ascii="Times New Roman" w:hAnsi="Times New Roman" w:cs="Times New Roman"/>
                <w:b w:val="0"/>
              </w:rPr>
              <w:t>/HIT Policy Committee previously recommended, NVEs should be required to disclose uses and disclosures of de-identified data.</w:t>
            </w:r>
          </w:p>
          <w:p w:rsidR="00715D4B" w:rsidRDefault="00715D4B" w:rsidP="00715D4B">
            <w:pPr>
              <w:rPr>
                <w:rFonts w:ascii="Times New Roman" w:hAnsi="Times New Roman" w:cs="Times New Roman"/>
              </w:rPr>
            </w:pPr>
          </w:p>
          <w:p w:rsidR="00A55F69" w:rsidRDefault="00B745CA" w:rsidP="00715D4B">
            <w:pPr>
              <w:rPr>
                <w:rFonts w:ascii="Times New Roman" w:hAnsi="Times New Roman" w:cs="Times New Roman"/>
                <w:b w:val="0"/>
                <w:i/>
              </w:rPr>
            </w:pPr>
            <w:r>
              <w:rPr>
                <w:rFonts w:ascii="Times New Roman" w:hAnsi="Times New Roman" w:cs="Times New Roman"/>
                <w:b w:val="0"/>
                <w:i/>
              </w:rPr>
              <w:t xml:space="preserve">[See also Question 37]  </w:t>
            </w:r>
            <w:r w:rsidR="00A55F69">
              <w:rPr>
                <w:rFonts w:ascii="Times New Roman" w:hAnsi="Times New Roman" w:cs="Times New Roman"/>
                <w:b w:val="0"/>
                <w:i/>
              </w:rPr>
              <w:t xml:space="preserve">The HITPC </w:t>
            </w:r>
            <w:r w:rsidR="00696C28">
              <w:rPr>
                <w:rFonts w:ascii="Times New Roman" w:hAnsi="Times New Roman" w:cs="Times New Roman"/>
                <w:b w:val="0"/>
                <w:i/>
              </w:rPr>
              <w:t>believes that a</w:t>
            </w:r>
            <w:r w:rsidR="00290330">
              <w:rPr>
                <w:rFonts w:ascii="Times New Roman" w:hAnsi="Times New Roman" w:cs="Times New Roman"/>
                <w:b w:val="0"/>
                <w:i/>
              </w:rPr>
              <w:t xml:space="preserve"> cl</w:t>
            </w:r>
            <w:r w:rsidR="00DA46BE">
              <w:rPr>
                <w:rFonts w:ascii="Times New Roman" w:hAnsi="Times New Roman" w:cs="Times New Roman"/>
                <w:b w:val="0"/>
                <w:i/>
              </w:rPr>
              <w:t xml:space="preserve">ear definition of “commercial” </w:t>
            </w:r>
            <w:r w:rsidR="00290330">
              <w:rPr>
                <w:rFonts w:ascii="Times New Roman" w:hAnsi="Times New Roman" w:cs="Times New Roman"/>
                <w:b w:val="0"/>
                <w:i/>
              </w:rPr>
              <w:t>is needed</w:t>
            </w:r>
            <w:r w:rsidR="009F7F10">
              <w:rPr>
                <w:rFonts w:ascii="Times New Roman" w:hAnsi="Times New Roman" w:cs="Times New Roman"/>
                <w:b w:val="0"/>
                <w:i/>
              </w:rPr>
              <w:t xml:space="preserve">, including but not limited to whether “for profit” is </w:t>
            </w:r>
            <w:r w:rsidR="00580EDD">
              <w:rPr>
                <w:rFonts w:ascii="Times New Roman" w:hAnsi="Times New Roman" w:cs="Times New Roman"/>
                <w:b w:val="0"/>
                <w:i/>
              </w:rPr>
              <w:t>a part of the definition</w:t>
            </w:r>
            <w:r w:rsidR="00290330">
              <w:rPr>
                <w:rFonts w:ascii="Times New Roman" w:hAnsi="Times New Roman" w:cs="Times New Roman"/>
                <w:b w:val="0"/>
                <w:i/>
              </w:rPr>
              <w:t xml:space="preserve">.  The Committee </w:t>
            </w:r>
            <w:r w:rsidR="0077080E">
              <w:rPr>
                <w:rFonts w:ascii="Times New Roman" w:hAnsi="Times New Roman" w:cs="Times New Roman"/>
                <w:b w:val="0"/>
                <w:i/>
              </w:rPr>
              <w:t>agreed that NVEs should be</w:t>
            </w:r>
            <w:r w:rsidR="00377D01">
              <w:rPr>
                <w:rFonts w:ascii="Times New Roman" w:hAnsi="Times New Roman" w:cs="Times New Roman"/>
                <w:b w:val="0"/>
                <w:i/>
              </w:rPr>
              <w:t xml:space="preserve"> prohibited from </w:t>
            </w:r>
            <w:r w:rsidR="0077080E">
              <w:rPr>
                <w:rFonts w:ascii="Times New Roman" w:hAnsi="Times New Roman" w:cs="Times New Roman"/>
                <w:b w:val="0"/>
                <w:i/>
              </w:rPr>
              <w:t xml:space="preserve">re-identifying data.  </w:t>
            </w:r>
            <w:r w:rsidR="00377D01">
              <w:rPr>
                <w:rFonts w:ascii="Times New Roman" w:hAnsi="Times New Roman" w:cs="Times New Roman"/>
                <w:b w:val="0"/>
                <w:i/>
              </w:rPr>
              <w:t>The committee</w:t>
            </w:r>
            <w:r w:rsidR="0077080E">
              <w:rPr>
                <w:rFonts w:ascii="Times New Roman" w:hAnsi="Times New Roman" w:cs="Times New Roman"/>
                <w:b w:val="0"/>
                <w:i/>
              </w:rPr>
              <w:t xml:space="preserve"> </w:t>
            </w:r>
            <w:r w:rsidR="00A55F69">
              <w:rPr>
                <w:rFonts w:ascii="Times New Roman" w:hAnsi="Times New Roman" w:cs="Times New Roman"/>
                <w:b w:val="0"/>
                <w:i/>
              </w:rPr>
              <w:t>did not reach consensus on whether or not NVEs should be prohibited from using or disclosing de-identified health information to which it has access for any commercial purpose</w:t>
            </w:r>
            <w:r w:rsidR="00EC304D">
              <w:rPr>
                <w:rFonts w:ascii="Times New Roman" w:hAnsi="Times New Roman" w:cs="Times New Roman"/>
                <w:b w:val="0"/>
                <w:i/>
              </w:rPr>
              <w:t>, but recognized it is a balance between promoting trust and promoting exchange</w:t>
            </w:r>
            <w:proofErr w:type="gramStart"/>
            <w:r w:rsidR="00EC304D">
              <w:rPr>
                <w:rFonts w:ascii="Times New Roman" w:hAnsi="Times New Roman" w:cs="Times New Roman"/>
                <w:b w:val="0"/>
                <w:i/>
              </w:rPr>
              <w:t>.</w:t>
            </w:r>
            <w:r w:rsidR="00A55F69">
              <w:rPr>
                <w:rFonts w:ascii="Times New Roman" w:hAnsi="Times New Roman" w:cs="Times New Roman"/>
                <w:b w:val="0"/>
                <w:i/>
              </w:rPr>
              <w:t>.</w:t>
            </w:r>
            <w:proofErr w:type="gramEnd"/>
            <w:r w:rsidR="00A55F69">
              <w:rPr>
                <w:rFonts w:ascii="Times New Roman" w:hAnsi="Times New Roman" w:cs="Times New Roman"/>
                <w:b w:val="0"/>
                <w:i/>
              </w:rPr>
              <w:t xml:space="preserve">  The following </w:t>
            </w:r>
            <w:r w:rsidR="00696C28">
              <w:rPr>
                <w:rFonts w:ascii="Times New Roman" w:hAnsi="Times New Roman" w:cs="Times New Roman"/>
                <w:b w:val="0"/>
                <w:i/>
              </w:rPr>
              <w:t>issues</w:t>
            </w:r>
            <w:r w:rsidR="00A55F69">
              <w:rPr>
                <w:rFonts w:ascii="Times New Roman" w:hAnsi="Times New Roman" w:cs="Times New Roman"/>
                <w:b w:val="0"/>
                <w:i/>
              </w:rPr>
              <w:t xml:space="preserve"> were raised.</w:t>
            </w:r>
          </w:p>
          <w:p w:rsidR="00A55F69" w:rsidRDefault="00A55F69" w:rsidP="00715D4B">
            <w:pPr>
              <w:rPr>
                <w:rFonts w:ascii="Times New Roman" w:hAnsi="Times New Roman" w:cs="Times New Roman"/>
                <w:b w:val="0"/>
                <w:i/>
              </w:rPr>
            </w:pPr>
          </w:p>
          <w:p w:rsidR="00CF25D3" w:rsidRPr="00626DAE" w:rsidRDefault="00CF25D3" w:rsidP="00CF25D3">
            <w:pPr>
              <w:rPr>
                <w:rFonts w:ascii="Times New Roman" w:hAnsi="Times New Roman" w:cs="Times New Roman"/>
                <w:b w:val="0"/>
                <w:i/>
              </w:rPr>
            </w:pPr>
            <w:r>
              <w:rPr>
                <w:rFonts w:ascii="Times New Roman" w:hAnsi="Times New Roman" w:cs="Times New Roman"/>
                <w:b w:val="0"/>
                <w:i/>
              </w:rPr>
              <w:t>General comments/concerns</w:t>
            </w:r>
          </w:p>
          <w:p w:rsidR="00580EDD" w:rsidRPr="00626DAE" w:rsidRDefault="00830F30" w:rsidP="00D60F3D">
            <w:pPr>
              <w:pStyle w:val="ListParagraph"/>
              <w:numPr>
                <w:ilvl w:val="0"/>
                <w:numId w:val="35"/>
              </w:numPr>
              <w:spacing w:after="200" w:line="276" w:lineRule="auto"/>
              <w:rPr>
                <w:rFonts w:ascii="Times New Roman" w:hAnsi="Times New Roman" w:cs="Times New Roman"/>
                <w:b w:val="0"/>
                <w:i/>
              </w:rPr>
            </w:pPr>
            <w:r w:rsidRPr="00626DAE">
              <w:rPr>
                <w:rFonts w:ascii="Times New Roman" w:hAnsi="Times New Roman" w:cs="Times New Roman"/>
                <w:b w:val="0"/>
                <w:i/>
              </w:rPr>
              <w:t>There was consensus that e</w:t>
            </w:r>
            <w:r w:rsidR="00580EDD" w:rsidRPr="00626DAE">
              <w:rPr>
                <w:rFonts w:ascii="Times New Roman" w:hAnsi="Times New Roman" w:cs="Times New Roman"/>
                <w:b w:val="0"/>
                <w:i/>
              </w:rPr>
              <w:t xml:space="preserve">stablishing trust is essential for providers to gain confidence in </w:t>
            </w:r>
            <w:r w:rsidR="005676B9" w:rsidRPr="00626DAE">
              <w:rPr>
                <w:rFonts w:ascii="Times New Roman" w:hAnsi="Times New Roman" w:cs="Times New Roman"/>
                <w:b w:val="0"/>
                <w:i/>
              </w:rPr>
              <w:t xml:space="preserve">HIE and </w:t>
            </w:r>
            <w:r w:rsidR="0048727D" w:rsidRPr="00626DAE">
              <w:rPr>
                <w:rFonts w:ascii="Times New Roman" w:hAnsi="Times New Roman" w:cs="Times New Roman"/>
                <w:b w:val="0"/>
                <w:i/>
              </w:rPr>
              <w:t>to</w:t>
            </w:r>
            <w:r w:rsidRPr="00626DAE">
              <w:rPr>
                <w:rFonts w:ascii="Times New Roman" w:hAnsi="Times New Roman" w:cs="Times New Roman"/>
                <w:b w:val="0"/>
                <w:i/>
              </w:rPr>
              <w:t xml:space="preserve"> use</w:t>
            </w:r>
            <w:r w:rsidR="00286C37" w:rsidRPr="00626DAE">
              <w:rPr>
                <w:rFonts w:ascii="Times New Roman" w:hAnsi="Times New Roman" w:cs="Times New Roman"/>
                <w:b w:val="0"/>
                <w:i/>
              </w:rPr>
              <w:t xml:space="preserve"> NVEs.</w:t>
            </w:r>
          </w:p>
          <w:p w:rsidR="00CF25D3" w:rsidRPr="00830F30" w:rsidRDefault="00CF25D3" w:rsidP="00CF25D3">
            <w:pPr>
              <w:pStyle w:val="ListParagraph"/>
              <w:numPr>
                <w:ilvl w:val="0"/>
                <w:numId w:val="35"/>
              </w:numPr>
              <w:spacing w:after="200" w:line="276" w:lineRule="auto"/>
              <w:rPr>
                <w:rFonts w:ascii="Times New Roman" w:hAnsi="Times New Roman" w:cs="Times New Roman"/>
                <w:i/>
              </w:rPr>
            </w:pPr>
            <w:r>
              <w:rPr>
                <w:rFonts w:ascii="Times New Roman" w:hAnsi="Times New Roman" w:cs="Times New Roman"/>
                <w:b w:val="0"/>
                <w:i/>
              </w:rPr>
              <w:t xml:space="preserve">There needs to </w:t>
            </w:r>
            <w:r w:rsidR="002D7312">
              <w:rPr>
                <w:rFonts w:ascii="Times New Roman" w:hAnsi="Times New Roman" w:cs="Times New Roman"/>
                <w:b w:val="0"/>
                <w:i/>
              </w:rPr>
              <w:t>b</w:t>
            </w:r>
            <w:r>
              <w:rPr>
                <w:rFonts w:ascii="Times New Roman" w:hAnsi="Times New Roman" w:cs="Times New Roman"/>
                <w:b w:val="0"/>
                <w:i/>
              </w:rPr>
              <w:t>e more discussion and analysis of options for defining categories of commercial uses that could be acceptable with meaningful consent, acceptable without consent, or unacceptable</w:t>
            </w:r>
            <w:r w:rsidR="009156A8">
              <w:rPr>
                <w:rFonts w:ascii="Times New Roman" w:hAnsi="Times New Roman" w:cs="Times New Roman"/>
                <w:b w:val="0"/>
                <w:i/>
              </w:rPr>
              <w:t>;</w:t>
            </w:r>
            <w:r w:rsidR="00B434DA">
              <w:rPr>
                <w:rFonts w:ascii="Times New Roman" w:hAnsi="Times New Roman" w:cs="Times New Roman"/>
                <w:b w:val="0"/>
                <w:i/>
              </w:rPr>
              <w:t xml:space="preserve"> about how consent would be implemented if required; and </w:t>
            </w:r>
            <w:r>
              <w:rPr>
                <w:rFonts w:ascii="Times New Roman" w:hAnsi="Times New Roman" w:cs="Times New Roman"/>
                <w:b w:val="0"/>
                <w:i/>
              </w:rPr>
              <w:t xml:space="preserve"> about the appropriate transparency and notice that would be required for each</w:t>
            </w:r>
            <w:r w:rsidR="00B434DA">
              <w:rPr>
                <w:rFonts w:ascii="Times New Roman" w:hAnsi="Times New Roman" w:cs="Times New Roman"/>
                <w:b w:val="0"/>
                <w:i/>
              </w:rPr>
              <w:t xml:space="preserve"> category</w:t>
            </w:r>
            <w:r>
              <w:rPr>
                <w:rFonts w:ascii="Times New Roman" w:hAnsi="Times New Roman" w:cs="Times New Roman"/>
                <w:b w:val="0"/>
                <w:i/>
              </w:rPr>
              <w:t xml:space="preserve">. </w:t>
            </w:r>
            <w:r w:rsidR="00B85C70">
              <w:rPr>
                <w:rFonts w:ascii="Times New Roman" w:hAnsi="Times New Roman" w:cs="Times New Roman"/>
                <w:b w:val="0"/>
                <w:i/>
              </w:rPr>
              <w:t xml:space="preserve">However, it would be difficult to define what is/is not acceptable. </w:t>
            </w:r>
          </w:p>
          <w:p w:rsidR="00830F30" w:rsidRPr="0097693C" w:rsidRDefault="00830F30" w:rsidP="00CF25D3">
            <w:pPr>
              <w:pStyle w:val="ListParagraph"/>
              <w:numPr>
                <w:ilvl w:val="0"/>
                <w:numId w:val="35"/>
              </w:numPr>
              <w:rPr>
                <w:rFonts w:ascii="Times New Roman" w:hAnsi="Times New Roman" w:cs="Times New Roman"/>
                <w:i/>
              </w:rPr>
            </w:pPr>
            <w:r>
              <w:rPr>
                <w:rFonts w:ascii="Times New Roman" w:hAnsi="Times New Roman" w:cs="Times New Roman"/>
                <w:b w:val="0"/>
                <w:i/>
              </w:rPr>
              <w:t>Another approach discussed was to apply the prohibition on commercial use only to the HIE function of an NVE.  If any other use or disclosure of data is contemplated</w:t>
            </w:r>
            <w:r w:rsidR="00D60F3D">
              <w:rPr>
                <w:rFonts w:ascii="Times New Roman" w:hAnsi="Times New Roman" w:cs="Times New Roman"/>
                <w:b w:val="0"/>
                <w:i/>
              </w:rPr>
              <w:t xml:space="preserve"> by the NVE</w:t>
            </w:r>
            <w:r>
              <w:rPr>
                <w:rFonts w:ascii="Times New Roman" w:hAnsi="Times New Roman" w:cs="Times New Roman"/>
                <w:b w:val="0"/>
                <w:i/>
              </w:rPr>
              <w:t>, those uses would have to be covered under a separate contract, and may require meaningful consent.</w:t>
            </w:r>
          </w:p>
          <w:p w:rsidR="0097693C" w:rsidRDefault="0097693C" w:rsidP="00CF25D3">
            <w:pPr>
              <w:pStyle w:val="ListParagraph"/>
              <w:numPr>
                <w:ilvl w:val="0"/>
                <w:numId w:val="35"/>
              </w:numPr>
              <w:rPr>
                <w:rFonts w:ascii="Times New Roman" w:hAnsi="Times New Roman" w:cs="Times New Roman"/>
                <w:b w:val="0"/>
                <w:i/>
              </w:rPr>
            </w:pPr>
            <w:r w:rsidRPr="0097693C">
              <w:rPr>
                <w:rFonts w:ascii="Times New Roman" w:hAnsi="Times New Roman" w:cs="Times New Roman"/>
                <w:b w:val="0"/>
                <w:i/>
              </w:rPr>
              <w:t xml:space="preserve">ONC should be careful not to conflate de-identified and identifiable data in the final policy. Adding additional privacy/security </w:t>
            </w:r>
            <w:r w:rsidR="00864FA7">
              <w:rPr>
                <w:rFonts w:ascii="Times New Roman" w:hAnsi="Times New Roman" w:cs="Times New Roman"/>
                <w:b w:val="0"/>
                <w:i/>
              </w:rPr>
              <w:t xml:space="preserve">requirements </w:t>
            </w:r>
            <w:r w:rsidRPr="0097693C">
              <w:rPr>
                <w:rFonts w:ascii="Times New Roman" w:hAnsi="Times New Roman" w:cs="Times New Roman"/>
                <w:b w:val="0"/>
                <w:i/>
              </w:rPr>
              <w:t>to de</w:t>
            </w:r>
            <w:r w:rsidR="001D5169">
              <w:rPr>
                <w:rFonts w:ascii="Times New Roman" w:hAnsi="Times New Roman" w:cs="Times New Roman"/>
                <w:b w:val="0"/>
                <w:i/>
              </w:rPr>
              <w:t xml:space="preserve">-identified data </w:t>
            </w:r>
            <w:r w:rsidRPr="0097693C">
              <w:rPr>
                <w:rFonts w:ascii="Times New Roman" w:hAnsi="Times New Roman" w:cs="Times New Roman"/>
                <w:b w:val="0"/>
                <w:i/>
              </w:rPr>
              <w:t>will create more regulations than are currently in place in business practices today that use de-identified data for commercial purposes.</w:t>
            </w:r>
          </w:p>
          <w:p w:rsidR="004D5B82" w:rsidRDefault="005E364E" w:rsidP="00CF25D3">
            <w:pPr>
              <w:pStyle w:val="ListParagraph"/>
              <w:numPr>
                <w:ilvl w:val="0"/>
                <w:numId w:val="35"/>
              </w:numPr>
              <w:rPr>
                <w:rFonts w:ascii="Times New Roman" w:hAnsi="Times New Roman" w:cs="Times New Roman"/>
                <w:b w:val="0"/>
                <w:i/>
              </w:rPr>
            </w:pPr>
            <w:r>
              <w:rPr>
                <w:rFonts w:ascii="Times New Roman" w:hAnsi="Times New Roman" w:cs="Times New Roman"/>
                <w:b w:val="0"/>
                <w:i/>
              </w:rPr>
              <w:t xml:space="preserve">There needs to be more discussion about NVEs as BAs, and what additional requirements beyond HIPAA </w:t>
            </w:r>
            <w:r w:rsidR="00830F30">
              <w:rPr>
                <w:rFonts w:ascii="Times New Roman" w:hAnsi="Times New Roman" w:cs="Times New Roman"/>
                <w:b w:val="0"/>
                <w:i/>
              </w:rPr>
              <w:t>w</w:t>
            </w:r>
            <w:r>
              <w:rPr>
                <w:rFonts w:ascii="Times New Roman" w:hAnsi="Times New Roman" w:cs="Times New Roman"/>
                <w:b w:val="0"/>
                <w:i/>
              </w:rPr>
              <w:t xml:space="preserve">ould be needed, if any. </w:t>
            </w:r>
          </w:p>
          <w:p w:rsidR="00471775" w:rsidRPr="0097693C" w:rsidRDefault="00471775" w:rsidP="00CF25D3">
            <w:pPr>
              <w:pStyle w:val="ListParagraph"/>
              <w:numPr>
                <w:ilvl w:val="0"/>
                <w:numId w:val="35"/>
              </w:numPr>
              <w:rPr>
                <w:rFonts w:ascii="Times New Roman" w:hAnsi="Times New Roman" w:cs="Times New Roman"/>
                <w:b w:val="0"/>
                <w:i/>
              </w:rPr>
            </w:pPr>
            <w:r>
              <w:rPr>
                <w:rFonts w:ascii="Times New Roman" w:hAnsi="Times New Roman" w:cs="Times New Roman"/>
                <w:b w:val="0"/>
                <w:i/>
              </w:rPr>
              <w:t>Some felt that narrowly limiting this CTE could be helpful; others felt that limiting it narrowly undermines the purpose and wouldn’t contribute anything.</w:t>
            </w:r>
          </w:p>
          <w:p w:rsidR="00CF25D3" w:rsidRPr="0097693C" w:rsidRDefault="00CF25D3" w:rsidP="00715D4B">
            <w:pPr>
              <w:rPr>
                <w:rFonts w:ascii="Times New Roman" w:hAnsi="Times New Roman" w:cs="Times New Roman"/>
                <w:b w:val="0"/>
                <w:i/>
              </w:rPr>
            </w:pPr>
          </w:p>
          <w:p w:rsidR="00A55F69" w:rsidRDefault="00A55F69" w:rsidP="00715D4B">
            <w:pPr>
              <w:rPr>
                <w:rFonts w:ascii="Times New Roman" w:hAnsi="Times New Roman" w:cs="Times New Roman"/>
                <w:b w:val="0"/>
                <w:i/>
              </w:rPr>
            </w:pPr>
            <w:r>
              <w:rPr>
                <w:rFonts w:ascii="Times New Roman" w:hAnsi="Times New Roman" w:cs="Times New Roman"/>
                <w:b w:val="0"/>
                <w:i/>
              </w:rPr>
              <w:t>In favor of the prohibition:</w:t>
            </w:r>
          </w:p>
          <w:p w:rsidR="00A55F69" w:rsidRDefault="00696C28" w:rsidP="00696C28">
            <w:pPr>
              <w:pStyle w:val="ListParagraph"/>
              <w:numPr>
                <w:ilvl w:val="0"/>
                <w:numId w:val="34"/>
              </w:numPr>
              <w:rPr>
                <w:rFonts w:ascii="Times New Roman" w:hAnsi="Times New Roman" w:cs="Times New Roman"/>
                <w:b w:val="0"/>
                <w:i/>
              </w:rPr>
            </w:pPr>
            <w:r w:rsidRPr="00696C28">
              <w:rPr>
                <w:rFonts w:ascii="Times New Roman" w:hAnsi="Times New Roman" w:cs="Times New Roman"/>
                <w:b w:val="0"/>
                <w:i/>
              </w:rPr>
              <w:t xml:space="preserve">This CTE is </w:t>
            </w:r>
            <w:r>
              <w:rPr>
                <w:rFonts w:ascii="Times New Roman" w:hAnsi="Times New Roman" w:cs="Times New Roman"/>
                <w:b w:val="0"/>
                <w:i/>
              </w:rPr>
              <w:t xml:space="preserve">needed to build trust and </w:t>
            </w:r>
            <w:r w:rsidR="00830F30">
              <w:rPr>
                <w:rFonts w:ascii="Times New Roman" w:hAnsi="Times New Roman" w:cs="Times New Roman"/>
                <w:b w:val="0"/>
                <w:i/>
              </w:rPr>
              <w:t xml:space="preserve">to </w:t>
            </w:r>
            <w:r>
              <w:rPr>
                <w:rFonts w:ascii="Times New Roman" w:hAnsi="Times New Roman" w:cs="Times New Roman"/>
                <w:b w:val="0"/>
                <w:i/>
              </w:rPr>
              <w:t xml:space="preserve">avoid consumer surprises at uses of their data </w:t>
            </w:r>
            <w:r w:rsidR="00830F30">
              <w:rPr>
                <w:rFonts w:ascii="Times New Roman" w:hAnsi="Times New Roman" w:cs="Times New Roman"/>
                <w:b w:val="0"/>
                <w:i/>
              </w:rPr>
              <w:t xml:space="preserve">that </w:t>
            </w:r>
            <w:r>
              <w:rPr>
                <w:rFonts w:ascii="Times New Roman" w:hAnsi="Times New Roman" w:cs="Times New Roman"/>
                <w:b w:val="0"/>
                <w:i/>
              </w:rPr>
              <w:t>they may oppose.</w:t>
            </w:r>
          </w:p>
          <w:p w:rsidR="00F873B2" w:rsidRDefault="00F873B2" w:rsidP="00696C28">
            <w:pPr>
              <w:pStyle w:val="ListParagraph"/>
              <w:numPr>
                <w:ilvl w:val="0"/>
                <w:numId w:val="34"/>
              </w:numPr>
              <w:rPr>
                <w:rFonts w:ascii="Times New Roman" w:hAnsi="Times New Roman" w:cs="Times New Roman"/>
                <w:b w:val="0"/>
                <w:i/>
              </w:rPr>
            </w:pPr>
            <w:r>
              <w:rPr>
                <w:rFonts w:ascii="Times New Roman" w:hAnsi="Times New Roman" w:cs="Times New Roman"/>
                <w:b w:val="0"/>
                <w:i/>
              </w:rPr>
              <w:t xml:space="preserve">Providers may not be aware that this is happening, or may feel compelled </w:t>
            </w:r>
            <w:r w:rsidR="00830F30">
              <w:rPr>
                <w:rFonts w:ascii="Times New Roman" w:hAnsi="Times New Roman" w:cs="Times New Roman"/>
                <w:b w:val="0"/>
                <w:i/>
              </w:rPr>
              <w:t>to sign</w:t>
            </w:r>
            <w:r>
              <w:rPr>
                <w:rFonts w:ascii="Times New Roman" w:hAnsi="Times New Roman" w:cs="Times New Roman"/>
                <w:b w:val="0"/>
                <w:i/>
              </w:rPr>
              <w:t xml:space="preserve"> agreements that allow their data to be sold</w:t>
            </w:r>
            <w:r w:rsidR="00FC5152">
              <w:rPr>
                <w:rFonts w:ascii="Times New Roman" w:hAnsi="Times New Roman" w:cs="Times New Roman"/>
                <w:b w:val="0"/>
                <w:i/>
              </w:rPr>
              <w:t xml:space="preserve"> unless such practices are prohibited</w:t>
            </w:r>
            <w:r>
              <w:rPr>
                <w:rFonts w:ascii="Times New Roman" w:hAnsi="Times New Roman" w:cs="Times New Roman"/>
                <w:b w:val="0"/>
                <w:i/>
              </w:rPr>
              <w:t xml:space="preserve">  </w:t>
            </w:r>
          </w:p>
          <w:p w:rsidR="00CD4711" w:rsidRDefault="00CD4711" w:rsidP="00715D4B">
            <w:pPr>
              <w:rPr>
                <w:rFonts w:ascii="Times New Roman" w:hAnsi="Times New Roman" w:cs="Times New Roman"/>
                <w:b w:val="0"/>
                <w:i/>
              </w:rPr>
            </w:pPr>
          </w:p>
          <w:p w:rsidR="00A55F69" w:rsidRDefault="00A55F69" w:rsidP="00715D4B">
            <w:pPr>
              <w:rPr>
                <w:rFonts w:ascii="Times New Roman" w:hAnsi="Times New Roman" w:cs="Times New Roman"/>
                <w:b w:val="0"/>
                <w:i/>
              </w:rPr>
            </w:pPr>
            <w:r>
              <w:rPr>
                <w:rFonts w:ascii="Times New Roman" w:hAnsi="Times New Roman" w:cs="Times New Roman"/>
                <w:b w:val="0"/>
                <w:i/>
              </w:rPr>
              <w:t>Against the prohibition</w:t>
            </w:r>
          </w:p>
          <w:p w:rsidR="00DB17C9" w:rsidRPr="00CD4711" w:rsidRDefault="00DB17C9" w:rsidP="00DD3958">
            <w:pPr>
              <w:pStyle w:val="ListParagraph"/>
              <w:numPr>
                <w:ilvl w:val="0"/>
                <w:numId w:val="36"/>
              </w:numPr>
              <w:rPr>
                <w:rFonts w:ascii="Times New Roman" w:hAnsi="Times New Roman" w:cs="Times New Roman"/>
                <w:i/>
              </w:rPr>
            </w:pPr>
            <w:r>
              <w:rPr>
                <w:rFonts w:ascii="Times New Roman" w:hAnsi="Times New Roman" w:cs="Times New Roman"/>
                <w:b w:val="0"/>
                <w:i/>
              </w:rPr>
              <w:t xml:space="preserve">This could </w:t>
            </w:r>
            <w:r w:rsidR="00632DC5">
              <w:rPr>
                <w:rFonts w:ascii="Times New Roman" w:hAnsi="Times New Roman" w:cs="Times New Roman"/>
                <w:b w:val="0"/>
                <w:i/>
              </w:rPr>
              <w:t xml:space="preserve">negatively impact the business model of an NVE.  </w:t>
            </w:r>
          </w:p>
          <w:p w:rsidR="00CD4711" w:rsidRPr="00DB17C9" w:rsidRDefault="00CD4711" w:rsidP="00DD3958">
            <w:pPr>
              <w:pStyle w:val="ListParagraph"/>
              <w:numPr>
                <w:ilvl w:val="0"/>
                <w:numId w:val="36"/>
              </w:numPr>
              <w:rPr>
                <w:rFonts w:ascii="Times New Roman" w:hAnsi="Times New Roman" w:cs="Times New Roman"/>
                <w:i/>
              </w:rPr>
            </w:pPr>
            <w:r>
              <w:rPr>
                <w:rFonts w:ascii="Times New Roman" w:hAnsi="Times New Roman" w:cs="Times New Roman"/>
                <w:b w:val="0"/>
                <w:i/>
              </w:rPr>
              <w:t xml:space="preserve">Payment to enable exchange on behalf of a covered entity or public health should be allowed. </w:t>
            </w:r>
          </w:p>
          <w:p w:rsidR="00CD4711" w:rsidRDefault="00CD4711" w:rsidP="00CD4711">
            <w:pPr>
              <w:pStyle w:val="ListParagraph"/>
              <w:rPr>
                <w:rFonts w:ascii="Times New Roman" w:hAnsi="Times New Roman" w:cs="Times New Roman"/>
                <w:b w:val="0"/>
                <w:i/>
              </w:rPr>
            </w:pPr>
          </w:p>
          <w:p w:rsidR="004A2028" w:rsidRPr="004A2028" w:rsidRDefault="004A2028" w:rsidP="00CF1811">
            <w:pPr>
              <w:spacing w:before="40" w:after="60"/>
              <w:rPr>
                <w:rFonts w:ascii="Times New Roman" w:hAnsi="Times New Roman" w:cs="Times New Roman"/>
              </w:rPr>
            </w:pPr>
          </w:p>
        </w:tc>
      </w:tr>
    </w:tbl>
    <w:p w:rsidR="00A52FD3" w:rsidRDefault="00A52FD3" w:rsidP="00EE554B">
      <w:pPr>
        <w:tabs>
          <w:tab w:val="left" w:pos="720"/>
          <w:tab w:val="left" w:pos="2790"/>
        </w:tabs>
        <w:ind w:left="900" w:hanging="540"/>
        <w:rPr>
          <w:b/>
          <w:i/>
        </w:rPr>
      </w:pPr>
    </w:p>
    <w:tbl>
      <w:tblPr>
        <w:tblStyle w:val="MediumShading1-Accent11"/>
        <w:tblW w:w="5000" w:type="pct"/>
        <w:tblLook w:val="04A0"/>
      </w:tblPr>
      <w:tblGrid>
        <w:gridCol w:w="14616"/>
      </w:tblGrid>
      <w:tr w:rsidR="00F1126B" w:rsidRPr="002E56FA" w:rsidTr="00C310C9">
        <w:trPr>
          <w:cnfStyle w:val="100000000000"/>
          <w:tblHeader/>
        </w:trPr>
        <w:tc>
          <w:tcPr>
            <w:cnfStyle w:val="001000000000"/>
            <w:tcW w:w="5000" w:type="pct"/>
          </w:tcPr>
          <w:p w:rsidR="00F1126B" w:rsidRPr="002E56FA" w:rsidRDefault="00F1126B" w:rsidP="00C310C9">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F1126B" w:rsidRPr="00A36FD5" w:rsidTr="00C310C9">
        <w:trPr>
          <w:cnfStyle w:val="000000100000"/>
        </w:trPr>
        <w:tc>
          <w:tcPr>
            <w:cnfStyle w:val="001000000000"/>
            <w:tcW w:w="5000" w:type="pct"/>
            <w:shd w:val="clear" w:color="auto" w:fill="DBE5F1" w:themeFill="accent1" w:themeFillTint="33"/>
          </w:tcPr>
          <w:p w:rsidR="00F1126B" w:rsidRDefault="00F1126B" w:rsidP="00C310C9">
            <w:pPr>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39</w:t>
            </w:r>
            <w:r w:rsidRPr="004A4EA2">
              <w:rPr>
                <w:rFonts w:ascii="Times New Roman" w:hAnsi="Times New Roman"/>
                <w:sz w:val="24"/>
                <w:szCs w:val="24"/>
                <w:u w:val="single"/>
              </w:rPr>
              <w:t>:</w:t>
            </w:r>
            <w:r>
              <w:rPr>
                <w:rFonts w:ascii="Times New Roman" w:hAnsi="Times New Roman"/>
                <w:sz w:val="24"/>
                <w:szCs w:val="24"/>
              </w:rPr>
              <w:t xml:space="preserve">  </w:t>
            </w:r>
            <w:r w:rsidRPr="002E61F6">
              <w:rPr>
                <w:rFonts w:ascii="Times New Roman" w:hAnsi="Times New Roman"/>
                <w:sz w:val="24"/>
                <w:szCs w:val="24"/>
              </w:rPr>
              <w:t>What standard of availability, if any, is appropriate?</w:t>
            </w:r>
          </w:p>
          <w:p w:rsidR="00F1126B" w:rsidRPr="00A36FD5" w:rsidRDefault="00F1126B" w:rsidP="00C310C9">
            <w:pPr>
              <w:ind w:left="90"/>
              <w:rPr>
                <w:b w:val="0"/>
                <w:bCs w:val="0"/>
                <w:sz w:val="20"/>
                <w:szCs w:val="20"/>
              </w:rPr>
            </w:pPr>
          </w:p>
        </w:tc>
      </w:tr>
      <w:tr w:rsidR="00F1126B" w:rsidRPr="00A36FD5" w:rsidTr="00C310C9">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F1126B" w:rsidRDefault="00F1126B" w:rsidP="00C310C9">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[S-7]: </w:t>
            </w:r>
            <w:r w:rsidRPr="00FA5FC5">
              <w:rPr>
                <w:rFonts w:ascii="Times New Roman" w:hAnsi="Times New Roman"/>
                <w:sz w:val="24"/>
                <w:szCs w:val="24"/>
              </w:rPr>
              <w:t>An NVE must operate its services with high availability.</w:t>
            </w:r>
          </w:p>
          <w:p w:rsidR="00F1126B" w:rsidRPr="007A6316" w:rsidRDefault="00F1126B" w:rsidP="00C310C9">
            <w:pPr>
              <w:ind w:left="90"/>
              <w:rPr>
                <w:rFonts w:ascii="Times New Roman" w:hAnsi="Times New Roman"/>
                <w:sz w:val="24"/>
                <w:szCs w:val="24"/>
              </w:rPr>
            </w:pPr>
          </w:p>
        </w:tc>
      </w:tr>
      <w:tr w:rsidR="00F1126B" w:rsidRPr="00A36FD5" w:rsidTr="00C310C9">
        <w:trPr>
          <w:cnfStyle w:val="000000100000"/>
        </w:trPr>
        <w:tc>
          <w:tcPr>
            <w:cnfStyle w:val="001000000000"/>
            <w:tcW w:w="5000" w:type="pct"/>
            <w:shd w:val="clear" w:color="auto" w:fill="FFFFFF" w:themeFill="background1"/>
          </w:tcPr>
          <w:p w:rsidR="00F1126B" w:rsidRDefault="00F1126B" w:rsidP="00C310C9">
            <w:pPr>
              <w:spacing w:before="40" w:after="60"/>
              <w:rPr>
                <w:rFonts w:ascii="Times New Roman" w:hAnsi="Times New Roman" w:cs="Times New Roman"/>
              </w:rPr>
            </w:pPr>
          </w:p>
          <w:p w:rsidR="00F1126B" w:rsidRPr="00524924" w:rsidRDefault="00F1126B" w:rsidP="00C310C9">
            <w:pPr>
              <w:spacing w:before="40" w:after="60"/>
              <w:rPr>
                <w:rFonts w:ascii="Times New Roman" w:hAnsi="Times New Roman" w:cs="Times New Roman"/>
              </w:rPr>
            </w:pPr>
          </w:p>
        </w:tc>
      </w:tr>
    </w:tbl>
    <w:p w:rsidR="00F1126B" w:rsidRDefault="00F1126B" w:rsidP="00EE554B">
      <w:pPr>
        <w:tabs>
          <w:tab w:val="left" w:pos="720"/>
          <w:tab w:val="left" w:pos="2790"/>
        </w:tabs>
        <w:ind w:left="900" w:hanging="540"/>
        <w:rPr>
          <w:b/>
          <w:i/>
        </w:rPr>
      </w:pPr>
    </w:p>
    <w:tbl>
      <w:tblPr>
        <w:tblStyle w:val="MediumShading1-Accent11"/>
        <w:tblW w:w="5000" w:type="pct"/>
        <w:tblLook w:val="04A0"/>
      </w:tblPr>
      <w:tblGrid>
        <w:gridCol w:w="14616"/>
      </w:tblGrid>
      <w:tr w:rsidR="00EA5972" w:rsidRPr="002E56FA">
        <w:trPr>
          <w:cnfStyle w:val="100000000000"/>
          <w:tblHeader/>
        </w:trPr>
        <w:tc>
          <w:tcPr>
            <w:cnfStyle w:val="001000000000"/>
            <w:tcW w:w="5000" w:type="pct"/>
          </w:tcPr>
          <w:p w:rsidR="00EA5972" w:rsidRPr="002E56FA" w:rsidRDefault="00C3722D" w:rsidP="00DD1178">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C3722D" w:rsidRPr="00A36FD5">
        <w:trPr>
          <w:cnfStyle w:val="000000100000"/>
        </w:trPr>
        <w:tc>
          <w:tcPr>
            <w:cnfStyle w:val="001000000000"/>
            <w:tcW w:w="5000" w:type="pct"/>
            <w:shd w:val="clear" w:color="auto" w:fill="DBE5F1" w:themeFill="accent1" w:themeFillTint="33"/>
          </w:tcPr>
          <w:p w:rsidR="00C3722D" w:rsidRDefault="00C3722D" w:rsidP="00B551EA">
            <w:pPr>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40</w:t>
            </w:r>
            <w:r w:rsidRPr="004A4EA2">
              <w:rPr>
                <w:rFonts w:ascii="Times New Roman" w:hAnsi="Times New Roman"/>
                <w:sz w:val="24"/>
                <w:szCs w:val="24"/>
                <w:u w:val="single"/>
              </w:rPr>
              <w:t>:</w:t>
            </w:r>
            <w:r>
              <w:rPr>
                <w:rFonts w:ascii="Times New Roman" w:hAnsi="Times New Roman"/>
                <w:sz w:val="24"/>
                <w:szCs w:val="24"/>
              </w:rPr>
              <w:t xml:space="preserve">  </w:t>
            </w:r>
            <w:r w:rsidRPr="002E61F6">
              <w:rPr>
                <w:rFonts w:ascii="Times New Roman" w:hAnsi="Times New Roman"/>
                <w:sz w:val="24"/>
                <w:szCs w:val="24"/>
              </w:rPr>
              <w:t>What further parameters, if any, should be placed on what constitutes a “unique set of IIHI”?</w:t>
            </w:r>
          </w:p>
          <w:p w:rsidR="00C3722D" w:rsidRPr="00A36FD5" w:rsidRDefault="00C3722D" w:rsidP="00B551EA">
            <w:pPr>
              <w:ind w:left="90"/>
              <w:rPr>
                <w:b w:val="0"/>
                <w:bCs w:val="0"/>
                <w:sz w:val="20"/>
                <w:szCs w:val="20"/>
              </w:rPr>
            </w:pPr>
          </w:p>
        </w:tc>
      </w:tr>
      <w:tr w:rsidR="00C3722D"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C3722D" w:rsidRDefault="00C3722D" w:rsidP="00B551EA">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[S-8]: </w:t>
            </w:r>
            <w:r w:rsidRPr="00C76295">
              <w:rPr>
                <w:rFonts w:ascii="Times New Roman" w:hAnsi="Times New Roman"/>
                <w:sz w:val="24"/>
                <w:szCs w:val="24"/>
              </w:rPr>
              <w:t xml:space="preserve">If an NVE assembles or aggregates health information that results in a unique set of IIHI, then it must provide individuals with electronic access to their unique set of IIHI.  </w:t>
            </w:r>
          </w:p>
          <w:p w:rsidR="00C3722D" w:rsidRPr="007A6316" w:rsidRDefault="00C3722D" w:rsidP="00B551EA">
            <w:pPr>
              <w:ind w:left="90"/>
              <w:rPr>
                <w:rFonts w:ascii="Times New Roman" w:hAnsi="Times New Roman"/>
                <w:sz w:val="24"/>
                <w:szCs w:val="24"/>
              </w:rPr>
            </w:pPr>
          </w:p>
        </w:tc>
      </w:tr>
      <w:tr w:rsidR="00C3722D" w:rsidRPr="00A36FD5">
        <w:trPr>
          <w:cnfStyle w:val="000000100000"/>
        </w:trPr>
        <w:tc>
          <w:tcPr>
            <w:cnfStyle w:val="001000000000"/>
            <w:tcW w:w="5000" w:type="pct"/>
            <w:shd w:val="clear" w:color="auto" w:fill="FFFFFF" w:themeFill="background1"/>
          </w:tcPr>
          <w:p w:rsidR="00D94D65" w:rsidRDefault="00D94D65" w:rsidP="00D94D65">
            <w:pPr>
              <w:spacing w:before="40" w:after="60"/>
              <w:rPr>
                <w:rFonts w:ascii="Times New Roman" w:hAnsi="Times New Roman" w:cs="Times New Roman"/>
                <w:b w:val="0"/>
              </w:rPr>
            </w:pPr>
            <w:r w:rsidRPr="00D94D65">
              <w:rPr>
                <w:rFonts w:ascii="Times New Roman" w:hAnsi="Times New Roman" w:cs="Times New Roman"/>
                <w:b w:val="0"/>
              </w:rPr>
              <w:t xml:space="preserve">The </w:t>
            </w:r>
            <w:r w:rsidR="00864FA7">
              <w:rPr>
                <w:rFonts w:ascii="Times New Roman" w:hAnsi="Times New Roman" w:cs="Times New Roman"/>
                <w:b w:val="0"/>
              </w:rPr>
              <w:t>HITPC</w:t>
            </w:r>
            <w:r w:rsidRPr="00D94D65">
              <w:rPr>
                <w:rFonts w:ascii="Times New Roman" w:hAnsi="Times New Roman" w:cs="Times New Roman"/>
                <w:b w:val="0"/>
              </w:rPr>
              <w:t xml:space="preserve"> had a difference of opinion on this question, and the questions related to S-9.  Some members supported both conditions as applied to “unique” information generated by the NVE.  The sense of these members is that the patient’s right under HIPAA to obtain an electronic copy of their health information, and to seek amendments to that information, should apply to NVEs that create unique information from information contributed by providers.  However, other </w:t>
            </w:r>
            <w:r w:rsidR="00864FA7">
              <w:rPr>
                <w:rFonts w:ascii="Times New Roman" w:hAnsi="Times New Roman" w:cs="Times New Roman"/>
                <w:b w:val="0"/>
              </w:rPr>
              <w:t>HITPC</w:t>
            </w:r>
            <w:r w:rsidRPr="00D94D65">
              <w:rPr>
                <w:rFonts w:ascii="Times New Roman" w:hAnsi="Times New Roman" w:cs="Times New Roman"/>
                <w:b w:val="0"/>
              </w:rPr>
              <w:t xml:space="preserve"> members expressed concern that NVEs would not have sufficient relationships with patients to support requiring them to provide patients with data and potentially make amendments, and that providers are in the best position to identity proof and authenticate patients, to ensure they get copies of their information with sufficient explanation, and to determine when and if amendments should be made to data.</w:t>
            </w:r>
          </w:p>
          <w:p w:rsidR="00D85BAA" w:rsidRDefault="00D85BAA" w:rsidP="00D94D65">
            <w:pPr>
              <w:spacing w:before="40" w:after="60"/>
              <w:rPr>
                <w:rFonts w:ascii="Times New Roman" w:hAnsi="Times New Roman" w:cs="Times New Roman"/>
                <w:b w:val="0"/>
              </w:rPr>
            </w:pPr>
          </w:p>
          <w:p w:rsidR="00D85BAA" w:rsidRPr="00D85BAA" w:rsidRDefault="00D85BAA" w:rsidP="00D94D65">
            <w:pPr>
              <w:spacing w:before="40" w:after="60"/>
              <w:rPr>
                <w:rFonts w:ascii="Times New Roman" w:hAnsi="Times New Roman" w:cs="Times New Roman"/>
                <w:b w:val="0"/>
                <w:i/>
              </w:rPr>
            </w:pPr>
            <w:r>
              <w:rPr>
                <w:rFonts w:ascii="Times New Roman" w:hAnsi="Times New Roman" w:cs="Times New Roman"/>
                <w:b w:val="0"/>
                <w:i/>
              </w:rPr>
              <w:t xml:space="preserve">The HITPC did not reach consensus on this question.  Some members supported the CTE on access as essential to trust and made the analogy of a credit bureau.  Others felt that </w:t>
            </w:r>
            <w:r w:rsidR="007F4F9E">
              <w:rPr>
                <w:rFonts w:ascii="Times New Roman" w:hAnsi="Times New Roman" w:cs="Times New Roman"/>
                <w:b w:val="0"/>
                <w:i/>
              </w:rPr>
              <w:t xml:space="preserve">it could discourage entities from becoming NVEs because they  would need to be able to translate the data into lay terms and would not want to be accountable to consumers. </w:t>
            </w:r>
            <w:r w:rsidR="00786BE7">
              <w:rPr>
                <w:rFonts w:ascii="Times New Roman" w:hAnsi="Times New Roman" w:cs="Times New Roman"/>
                <w:b w:val="0"/>
                <w:i/>
              </w:rPr>
              <w:t xml:space="preserve">Some felt NVEs should be required to have a mechanism to provide information back to the consumer, but that the rule should not specify who does it or how.  </w:t>
            </w:r>
          </w:p>
          <w:p w:rsidR="00C3722D" w:rsidRPr="00A36FD5" w:rsidRDefault="00C3722D" w:rsidP="00DD1178">
            <w:pPr>
              <w:tabs>
                <w:tab w:val="left" w:pos="1440"/>
              </w:tabs>
              <w:spacing w:before="40" w:after="60"/>
              <w:rPr>
                <w:rFonts w:ascii="Times New Roman" w:hAnsi="Times New Roman" w:cs="Times New Roman"/>
                <w:b w:val="0"/>
                <w:sz w:val="20"/>
                <w:szCs w:val="20"/>
              </w:rPr>
            </w:pPr>
          </w:p>
        </w:tc>
      </w:tr>
    </w:tbl>
    <w:p w:rsidR="006B5036" w:rsidRPr="00A36FD5" w:rsidRDefault="006B5036" w:rsidP="00094310">
      <w:pPr>
        <w:tabs>
          <w:tab w:val="left" w:pos="900"/>
          <w:tab w:val="left" w:pos="2790"/>
        </w:tabs>
      </w:pPr>
    </w:p>
    <w:tbl>
      <w:tblPr>
        <w:tblStyle w:val="MediumShading1-Accent11"/>
        <w:tblW w:w="5000" w:type="pct"/>
        <w:tblLook w:val="04A0"/>
      </w:tblPr>
      <w:tblGrid>
        <w:gridCol w:w="14616"/>
      </w:tblGrid>
      <w:tr w:rsidR="00A92FBD" w:rsidRPr="002E56FA">
        <w:trPr>
          <w:cnfStyle w:val="100000000000"/>
          <w:tblHeader/>
        </w:trPr>
        <w:tc>
          <w:tcPr>
            <w:cnfStyle w:val="001000000000"/>
            <w:tcW w:w="5000" w:type="pct"/>
          </w:tcPr>
          <w:p w:rsidR="00A92FBD" w:rsidRPr="002E56FA" w:rsidRDefault="00C3722D" w:rsidP="00DD1178">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C3722D" w:rsidRPr="00A36FD5">
        <w:trPr>
          <w:cnfStyle w:val="000000100000"/>
        </w:trPr>
        <w:tc>
          <w:tcPr>
            <w:cnfStyle w:val="001000000000"/>
            <w:tcW w:w="5000" w:type="pct"/>
            <w:shd w:val="clear" w:color="auto" w:fill="DBE5F1" w:themeFill="accent1" w:themeFillTint="33"/>
          </w:tcPr>
          <w:p w:rsidR="00C3722D" w:rsidRDefault="00C3722D" w:rsidP="00C3722D">
            <w:pPr>
              <w:tabs>
                <w:tab w:val="left" w:pos="2323"/>
              </w:tabs>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41</w:t>
            </w:r>
            <w:r w:rsidRPr="004A4EA2">
              <w:rPr>
                <w:rFonts w:ascii="Times New Roman" w:hAnsi="Times New Roman"/>
                <w:sz w:val="24"/>
                <w:szCs w:val="24"/>
                <w:u w:val="single"/>
              </w:rPr>
              <w:t>:</w:t>
            </w:r>
            <w:r>
              <w:rPr>
                <w:rFonts w:ascii="Times New Roman" w:hAnsi="Times New Roman"/>
                <w:sz w:val="24"/>
                <w:szCs w:val="24"/>
              </w:rPr>
              <w:t xml:space="preserve">  </w:t>
            </w:r>
            <w:r w:rsidRPr="00322450">
              <w:rPr>
                <w:rFonts w:ascii="Times New Roman" w:hAnsi="Times New Roman"/>
                <w:sz w:val="24"/>
                <w:szCs w:val="24"/>
              </w:rPr>
              <w:t>If an NVE were to honor an individual’s request for a correction to the unique set of IIHI that it maintains, what impact could such a correction have if the corrected information was accessible by health care providers and not used solely for the NVE’s own business processes?</w:t>
            </w:r>
          </w:p>
          <w:p w:rsidR="00C3722D" w:rsidRPr="00A36FD5" w:rsidRDefault="00C3722D" w:rsidP="00C3722D">
            <w:pPr>
              <w:ind w:left="90"/>
              <w:rPr>
                <w:b w:val="0"/>
                <w:bCs w:val="0"/>
                <w:sz w:val="20"/>
                <w:szCs w:val="20"/>
              </w:rPr>
            </w:pPr>
          </w:p>
        </w:tc>
      </w:tr>
      <w:tr w:rsidR="00C3722D"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C3722D" w:rsidRDefault="00C3722D" w:rsidP="00B551EA">
            <w:pPr>
              <w:ind w:left="90"/>
              <w:rPr>
                <w:rFonts w:ascii="Times New Roman" w:hAnsi="Times New Roman"/>
                <w:sz w:val="24"/>
                <w:szCs w:val="24"/>
              </w:rPr>
            </w:pPr>
            <w:r>
              <w:rPr>
                <w:rFonts w:ascii="Times New Roman" w:hAnsi="Times New Roman"/>
                <w:sz w:val="24"/>
                <w:szCs w:val="24"/>
                <w:u w:val="single"/>
              </w:rPr>
              <w:t>Question Context:</w:t>
            </w:r>
            <w:r w:rsidR="00564387">
              <w:rPr>
                <w:rFonts w:ascii="Times New Roman" w:hAnsi="Times New Roman"/>
                <w:sz w:val="24"/>
                <w:szCs w:val="24"/>
              </w:rPr>
              <w:t xml:space="preserve">  In reference to CTE [S-9]: </w:t>
            </w:r>
            <w:r w:rsidR="00564387" w:rsidRPr="00697872">
              <w:rPr>
                <w:rFonts w:ascii="Times New Roman" w:hAnsi="Times New Roman"/>
                <w:sz w:val="24"/>
                <w:szCs w:val="24"/>
              </w:rPr>
              <w:t>If an NVE assembles or aggregates health information which results in a unique set of IIHI, then it must provide individuals with the right to request a correction and/or annotation to this unique set of IIHI.</w:t>
            </w:r>
          </w:p>
          <w:p w:rsidR="00C3722D" w:rsidRPr="007A6316" w:rsidRDefault="00C3722D" w:rsidP="00B551EA">
            <w:pPr>
              <w:ind w:left="90"/>
              <w:rPr>
                <w:rFonts w:ascii="Times New Roman" w:hAnsi="Times New Roman"/>
                <w:sz w:val="24"/>
                <w:szCs w:val="24"/>
              </w:rPr>
            </w:pPr>
          </w:p>
        </w:tc>
      </w:tr>
      <w:tr w:rsidR="00C3722D" w:rsidRPr="00A36FD5">
        <w:trPr>
          <w:cnfStyle w:val="000000100000"/>
        </w:trPr>
        <w:tc>
          <w:tcPr>
            <w:cnfStyle w:val="001000000000"/>
            <w:tcW w:w="5000" w:type="pct"/>
            <w:shd w:val="clear" w:color="auto" w:fill="FFFFFF" w:themeFill="background1"/>
          </w:tcPr>
          <w:p w:rsidR="00C3722D" w:rsidRPr="00A36FD5" w:rsidRDefault="00D94D65" w:rsidP="00DD1178">
            <w:pPr>
              <w:tabs>
                <w:tab w:val="left" w:pos="1440"/>
              </w:tabs>
              <w:spacing w:before="40" w:after="60"/>
              <w:rPr>
                <w:rFonts w:ascii="Times New Roman" w:hAnsi="Times New Roman" w:cs="Times New Roman"/>
                <w:b w:val="0"/>
                <w:sz w:val="20"/>
                <w:szCs w:val="20"/>
              </w:rPr>
            </w:pPr>
            <w:r w:rsidRPr="00D94D65">
              <w:rPr>
                <w:rFonts w:ascii="Times New Roman" w:hAnsi="Times New Roman" w:cs="Times New Roman"/>
                <w:b w:val="0"/>
              </w:rPr>
              <w:t>See Q. 40</w:t>
            </w:r>
          </w:p>
          <w:p w:rsidR="00C3722D" w:rsidRPr="00A36FD5" w:rsidRDefault="00C3722D" w:rsidP="00DD1178">
            <w:pPr>
              <w:tabs>
                <w:tab w:val="left" w:pos="1440"/>
              </w:tabs>
              <w:spacing w:before="40" w:after="60"/>
              <w:rPr>
                <w:rFonts w:ascii="Times New Roman" w:hAnsi="Times New Roman" w:cs="Times New Roman"/>
                <w:b w:val="0"/>
                <w:sz w:val="20"/>
                <w:szCs w:val="20"/>
              </w:rPr>
            </w:pPr>
          </w:p>
        </w:tc>
      </w:tr>
    </w:tbl>
    <w:p w:rsidR="00984B93" w:rsidRPr="00A36FD5" w:rsidRDefault="00984B93" w:rsidP="00094310">
      <w:pPr>
        <w:tabs>
          <w:tab w:val="left" w:pos="900"/>
          <w:tab w:val="left" w:pos="2790"/>
        </w:tabs>
      </w:pPr>
    </w:p>
    <w:tbl>
      <w:tblPr>
        <w:tblStyle w:val="MediumShading1-Accent11"/>
        <w:tblW w:w="5000" w:type="pct"/>
        <w:tblLook w:val="04A0"/>
      </w:tblPr>
      <w:tblGrid>
        <w:gridCol w:w="14616"/>
      </w:tblGrid>
      <w:tr w:rsidR="006F6F95" w:rsidRPr="002E56FA">
        <w:trPr>
          <w:cnfStyle w:val="100000000000"/>
          <w:tblHeader/>
        </w:trPr>
        <w:tc>
          <w:tcPr>
            <w:cnfStyle w:val="001000000000"/>
            <w:tcW w:w="5000" w:type="pct"/>
          </w:tcPr>
          <w:p w:rsidR="006F6F95" w:rsidRPr="002E56FA" w:rsidRDefault="00C3722D" w:rsidP="00DD1178">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C3722D" w:rsidRPr="00A36FD5">
        <w:trPr>
          <w:cnfStyle w:val="000000100000"/>
        </w:trPr>
        <w:tc>
          <w:tcPr>
            <w:cnfStyle w:val="001000000000"/>
            <w:tcW w:w="5000" w:type="pct"/>
            <w:shd w:val="clear" w:color="auto" w:fill="DBE5F1" w:themeFill="accent1" w:themeFillTint="33"/>
          </w:tcPr>
          <w:p w:rsidR="00C3722D" w:rsidRDefault="00C3722D" w:rsidP="00B551EA">
            <w:pPr>
              <w:tabs>
                <w:tab w:val="left" w:pos="2323"/>
              </w:tabs>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42</w:t>
            </w:r>
            <w:r w:rsidRPr="004A4EA2">
              <w:rPr>
                <w:rFonts w:ascii="Times New Roman" w:hAnsi="Times New Roman"/>
                <w:sz w:val="24"/>
                <w:szCs w:val="24"/>
                <w:u w:val="single"/>
              </w:rPr>
              <w:t>:</w:t>
            </w:r>
            <w:r>
              <w:rPr>
                <w:rFonts w:ascii="Times New Roman" w:hAnsi="Times New Roman"/>
                <w:sz w:val="24"/>
                <w:szCs w:val="24"/>
              </w:rPr>
              <w:t xml:space="preserve">  </w:t>
            </w:r>
            <w:r w:rsidRPr="00322450">
              <w:rPr>
                <w:rFonts w:ascii="Times New Roman" w:hAnsi="Times New Roman"/>
                <w:sz w:val="24"/>
                <w:szCs w:val="24"/>
              </w:rPr>
              <w:t>Are there any circumstances where an NVE should not be required to provide individuals with the ability to correct their IIHI?</w:t>
            </w:r>
          </w:p>
          <w:p w:rsidR="00C3722D" w:rsidRPr="00A36FD5" w:rsidRDefault="00C3722D" w:rsidP="00B551EA">
            <w:pPr>
              <w:ind w:left="90"/>
              <w:rPr>
                <w:b w:val="0"/>
                <w:bCs w:val="0"/>
                <w:sz w:val="20"/>
                <w:szCs w:val="20"/>
              </w:rPr>
            </w:pPr>
          </w:p>
        </w:tc>
      </w:tr>
      <w:tr w:rsidR="00C3722D"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564387" w:rsidRDefault="00564387" w:rsidP="00564387">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[S-9]: </w:t>
            </w:r>
            <w:r w:rsidRPr="00697872">
              <w:rPr>
                <w:rFonts w:ascii="Times New Roman" w:hAnsi="Times New Roman"/>
                <w:sz w:val="24"/>
                <w:szCs w:val="24"/>
              </w:rPr>
              <w:t xml:space="preserve">If an NVE assembles or aggregates health information which results in a unique set of IIHI, </w:t>
            </w:r>
            <w:r w:rsidRPr="00697872">
              <w:rPr>
                <w:rFonts w:ascii="Times New Roman" w:hAnsi="Times New Roman"/>
                <w:sz w:val="24"/>
                <w:szCs w:val="24"/>
              </w:rPr>
              <w:lastRenderedPageBreak/>
              <w:t>then it must provide individuals with the right to request a correction and/or annotation to this unique set of IIHI.</w:t>
            </w:r>
          </w:p>
          <w:p w:rsidR="00C3722D" w:rsidRPr="007A6316" w:rsidRDefault="00C3722D" w:rsidP="00B551EA">
            <w:pPr>
              <w:ind w:left="90"/>
              <w:rPr>
                <w:rFonts w:ascii="Times New Roman" w:hAnsi="Times New Roman"/>
                <w:sz w:val="24"/>
                <w:szCs w:val="24"/>
              </w:rPr>
            </w:pPr>
          </w:p>
        </w:tc>
      </w:tr>
      <w:tr w:rsidR="00C3722D" w:rsidRPr="00A36FD5">
        <w:trPr>
          <w:cnfStyle w:val="000000100000"/>
        </w:trPr>
        <w:tc>
          <w:tcPr>
            <w:cnfStyle w:val="001000000000"/>
            <w:tcW w:w="5000" w:type="pct"/>
            <w:shd w:val="clear" w:color="auto" w:fill="FFFFFF" w:themeFill="background1"/>
          </w:tcPr>
          <w:p w:rsidR="00D94D65" w:rsidRPr="00D94D65" w:rsidRDefault="00D94D65" w:rsidP="006728F0">
            <w:pPr>
              <w:spacing w:before="40" w:after="60"/>
              <w:rPr>
                <w:rFonts w:ascii="Times New Roman" w:hAnsi="Times New Roman" w:cs="Times New Roman"/>
                <w:b w:val="0"/>
              </w:rPr>
            </w:pPr>
            <w:r w:rsidRPr="00D94D65">
              <w:rPr>
                <w:rFonts w:ascii="Times New Roman" w:hAnsi="Times New Roman" w:cs="Times New Roman"/>
                <w:b w:val="0"/>
              </w:rPr>
              <w:lastRenderedPageBreak/>
              <w:t>See Q 40</w:t>
            </w:r>
          </w:p>
          <w:p w:rsidR="00C3722D" w:rsidRPr="00A36FD5" w:rsidRDefault="00C3722D" w:rsidP="00DD1178">
            <w:pPr>
              <w:tabs>
                <w:tab w:val="left" w:pos="1440"/>
              </w:tabs>
              <w:spacing w:before="40" w:after="60"/>
              <w:rPr>
                <w:rFonts w:ascii="Times New Roman" w:hAnsi="Times New Roman" w:cs="Times New Roman"/>
                <w:b w:val="0"/>
                <w:sz w:val="20"/>
                <w:szCs w:val="20"/>
              </w:rPr>
            </w:pPr>
          </w:p>
        </w:tc>
      </w:tr>
    </w:tbl>
    <w:p w:rsidR="00B52AE7" w:rsidRPr="00A36FD5" w:rsidRDefault="00B52AE7" w:rsidP="00094310">
      <w:pPr>
        <w:tabs>
          <w:tab w:val="left" w:pos="900"/>
          <w:tab w:val="left" w:pos="2790"/>
        </w:tabs>
      </w:pPr>
    </w:p>
    <w:tbl>
      <w:tblPr>
        <w:tblStyle w:val="MediumShading1-Accent11"/>
        <w:tblW w:w="5000" w:type="pct"/>
        <w:tblLook w:val="04A0"/>
      </w:tblPr>
      <w:tblGrid>
        <w:gridCol w:w="14616"/>
      </w:tblGrid>
      <w:tr w:rsidR="00C55DD8" w:rsidRPr="002E56FA">
        <w:trPr>
          <w:cnfStyle w:val="100000000000"/>
          <w:tblHeader/>
        </w:trPr>
        <w:tc>
          <w:tcPr>
            <w:cnfStyle w:val="001000000000"/>
            <w:tcW w:w="5000" w:type="pct"/>
          </w:tcPr>
          <w:p w:rsidR="00C55DD8" w:rsidRPr="002E56FA" w:rsidRDefault="00564387" w:rsidP="00DD1178">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564387" w:rsidRPr="00A36FD5">
        <w:trPr>
          <w:cnfStyle w:val="000000100000"/>
        </w:trPr>
        <w:tc>
          <w:tcPr>
            <w:cnfStyle w:val="001000000000"/>
            <w:tcW w:w="5000" w:type="pct"/>
            <w:shd w:val="clear" w:color="auto" w:fill="DBE5F1" w:themeFill="accent1" w:themeFillTint="33"/>
          </w:tcPr>
          <w:p w:rsidR="00564387" w:rsidRDefault="00564387" w:rsidP="00B551EA">
            <w:pPr>
              <w:tabs>
                <w:tab w:val="left" w:pos="2323"/>
              </w:tabs>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43</w:t>
            </w:r>
            <w:r w:rsidRPr="004A4EA2">
              <w:rPr>
                <w:rFonts w:ascii="Times New Roman" w:hAnsi="Times New Roman"/>
                <w:sz w:val="24"/>
                <w:szCs w:val="24"/>
                <w:u w:val="single"/>
              </w:rPr>
              <w:t>:</w:t>
            </w:r>
            <w:r>
              <w:rPr>
                <w:rFonts w:ascii="Times New Roman" w:hAnsi="Times New Roman"/>
                <w:sz w:val="24"/>
                <w:szCs w:val="24"/>
              </w:rPr>
              <w:t xml:space="preserve">  </w:t>
            </w:r>
            <w:r w:rsidRPr="008F1C4E">
              <w:rPr>
                <w:rFonts w:ascii="Times New Roman" w:hAnsi="Times New Roman"/>
                <w:sz w:val="24"/>
                <w:szCs w:val="24"/>
              </w:rPr>
              <w:t>What method or methods would be least burdensome but still appropriate for verifying a treatment relationship?</w:t>
            </w:r>
          </w:p>
          <w:p w:rsidR="00564387" w:rsidRPr="00A36FD5" w:rsidRDefault="00564387" w:rsidP="00B551EA">
            <w:pPr>
              <w:ind w:left="90"/>
              <w:rPr>
                <w:b w:val="0"/>
                <w:bCs w:val="0"/>
                <w:sz w:val="20"/>
                <w:szCs w:val="20"/>
              </w:rPr>
            </w:pPr>
          </w:p>
        </w:tc>
      </w:tr>
      <w:tr w:rsidR="00564387"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564387" w:rsidRDefault="00564387" w:rsidP="00B551EA">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[S-10]: </w:t>
            </w:r>
            <w:r w:rsidRPr="003F6638">
              <w:rPr>
                <w:rFonts w:ascii="Times New Roman" w:hAnsi="Times New Roman"/>
                <w:sz w:val="24"/>
                <w:szCs w:val="24"/>
              </w:rPr>
              <w:t>An NVE must have the means to verify that a provider requesting an individual’s health information through a query and response model has or is in the process of establishing a treatment relationship with that individual.</w:t>
            </w:r>
          </w:p>
          <w:p w:rsidR="00564387" w:rsidRPr="007A6316" w:rsidRDefault="00564387" w:rsidP="00B551EA">
            <w:pPr>
              <w:ind w:left="90"/>
              <w:rPr>
                <w:rFonts w:ascii="Times New Roman" w:hAnsi="Times New Roman"/>
                <w:sz w:val="24"/>
                <w:szCs w:val="24"/>
              </w:rPr>
            </w:pPr>
          </w:p>
        </w:tc>
      </w:tr>
      <w:tr w:rsidR="00564387" w:rsidRPr="00A36FD5">
        <w:trPr>
          <w:cnfStyle w:val="000000100000"/>
        </w:trPr>
        <w:tc>
          <w:tcPr>
            <w:cnfStyle w:val="001000000000"/>
            <w:tcW w:w="5000" w:type="pct"/>
            <w:shd w:val="clear" w:color="auto" w:fill="FFFFFF" w:themeFill="background1"/>
          </w:tcPr>
          <w:p w:rsidR="000D40DB" w:rsidRPr="000D40DB" w:rsidRDefault="000D40DB" w:rsidP="000D40DB">
            <w:pPr>
              <w:ind w:firstLine="360"/>
              <w:rPr>
                <w:rFonts w:ascii="Times New Roman" w:hAnsi="Times New Roman" w:cs="Times New Roman"/>
                <w:b w:val="0"/>
              </w:rPr>
            </w:pPr>
            <w:r w:rsidRPr="000D40DB">
              <w:rPr>
                <w:rFonts w:ascii="Times New Roman" w:hAnsi="Times New Roman" w:cs="Times New Roman"/>
                <w:b w:val="0"/>
              </w:rPr>
              <w:t xml:space="preserve">In making its recommendations regarding the adoption of fair information practices for intermediaries, and in specifically addressing meaningful choice, the </w:t>
            </w:r>
            <w:r w:rsidR="00864FA7">
              <w:rPr>
                <w:rFonts w:ascii="Times New Roman" w:hAnsi="Times New Roman" w:cs="Times New Roman"/>
                <w:b w:val="0"/>
              </w:rPr>
              <w:t>HITPC</w:t>
            </w:r>
            <w:r w:rsidRPr="000D40DB">
              <w:rPr>
                <w:rFonts w:ascii="Times New Roman" w:hAnsi="Times New Roman" w:cs="Times New Roman"/>
                <w:b w:val="0"/>
              </w:rPr>
              <w:t xml:space="preserve"> assumed an environment where exchange would take place for purposes established in Stage 1 of Meaningful Use – for treatment and care coordination, some public health reporting to public health authorities, and reporting of aggregate quality data to CMS.  </w:t>
            </w:r>
          </w:p>
          <w:p w:rsidR="000D40DB" w:rsidRPr="000D40DB" w:rsidRDefault="000D40DB" w:rsidP="000D40DB">
            <w:pPr>
              <w:ind w:firstLine="360"/>
              <w:rPr>
                <w:rFonts w:ascii="Times New Roman" w:hAnsi="Times New Roman" w:cs="Times New Roman"/>
                <w:b w:val="0"/>
              </w:rPr>
            </w:pPr>
            <w:r w:rsidRPr="000D40DB">
              <w:rPr>
                <w:rFonts w:ascii="Times New Roman" w:hAnsi="Times New Roman" w:cs="Times New Roman"/>
                <w:b w:val="0"/>
              </w:rPr>
              <w:t xml:space="preserve">However, it does not appear from this RFI that exchange in NwHIN is limited to just these purposes.  The </w:t>
            </w:r>
            <w:r w:rsidR="00864FA7">
              <w:rPr>
                <w:rFonts w:ascii="Times New Roman" w:hAnsi="Times New Roman" w:cs="Times New Roman"/>
                <w:b w:val="0"/>
              </w:rPr>
              <w:t>HITPC</w:t>
            </w:r>
            <w:r w:rsidRPr="000D40DB">
              <w:rPr>
                <w:rFonts w:ascii="Times New Roman" w:hAnsi="Times New Roman" w:cs="Times New Roman"/>
                <w:b w:val="0"/>
              </w:rPr>
              <w:t xml:space="preserve"> believes that for query/response models in particular, allowing additional purposes for exchange in the NwHIN should not take place without additional discussion of needed privacy and security policies. </w:t>
            </w:r>
          </w:p>
          <w:p w:rsidR="000D40DB" w:rsidRPr="000D40DB" w:rsidRDefault="000D40DB" w:rsidP="000D40DB">
            <w:pPr>
              <w:ind w:firstLine="360"/>
              <w:rPr>
                <w:rFonts w:ascii="Times New Roman" w:hAnsi="Times New Roman" w:cs="Times New Roman"/>
                <w:b w:val="0"/>
              </w:rPr>
            </w:pPr>
            <w:r w:rsidRPr="000D40DB">
              <w:rPr>
                <w:rFonts w:ascii="Times New Roman" w:hAnsi="Times New Roman" w:cs="Times New Roman"/>
                <w:b w:val="0"/>
              </w:rPr>
              <w:t xml:space="preserve">The </w:t>
            </w:r>
            <w:r w:rsidR="00864FA7">
              <w:rPr>
                <w:rFonts w:ascii="Times New Roman" w:hAnsi="Times New Roman" w:cs="Times New Roman"/>
                <w:b w:val="0"/>
              </w:rPr>
              <w:t>HITPC</w:t>
            </w:r>
            <w:r w:rsidRPr="000D40DB">
              <w:rPr>
                <w:rFonts w:ascii="Times New Roman" w:hAnsi="Times New Roman" w:cs="Times New Roman"/>
                <w:b w:val="0"/>
              </w:rPr>
              <w:t xml:space="preserve"> has not yet considered query/response models.  However, in the context of provider-to-provider exchange for purposes of Stage 1, the </w:t>
            </w:r>
            <w:r w:rsidR="00864FA7">
              <w:rPr>
                <w:rFonts w:ascii="Times New Roman" w:hAnsi="Times New Roman" w:cs="Times New Roman"/>
                <w:b w:val="0"/>
              </w:rPr>
              <w:t>HITPC</w:t>
            </w:r>
            <w:r w:rsidRPr="000D40DB">
              <w:rPr>
                <w:rFonts w:ascii="Times New Roman" w:hAnsi="Times New Roman" w:cs="Times New Roman"/>
                <w:b w:val="0"/>
              </w:rPr>
              <w:t xml:space="preserve"> previously recommended that the requesting provider seek information in compliance with applicable law and the requirements for NwHIN meaningful consent, and have a treatment relationship (either existing or pending) with the individual who is the subject of the health information exchange.  There should be mechanisms to establish this relationship (such as through attestation by the provider or his/her designee, or automatically through the booking of an office visit/appointment/etc.)   NVEs should be able to delegate the means for establishing the treatment relationship to its participants.</w:t>
            </w:r>
          </w:p>
          <w:p w:rsidR="00A60AA1" w:rsidRDefault="00A60AA1" w:rsidP="00A60AA1">
            <w:pPr>
              <w:rPr>
                <w:rFonts w:ascii="Times New Roman" w:hAnsi="Times New Roman" w:cs="Times New Roman"/>
              </w:rPr>
            </w:pPr>
          </w:p>
          <w:p w:rsidR="00A60AA1" w:rsidRPr="00A60AA1" w:rsidRDefault="00A60AA1" w:rsidP="00A60AA1">
            <w:pPr>
              <w:rPr>
                <w:rFonts w:ascii="Times New Roman" w:hAnsi="Times New Roman"/>
                <w:b w:val="0"/>
              </w:rPr>
            </w:pPr>
            <w:r w:rsidRPr="00A60AA1">
              <w:rPr>
                <w:rFonts w:ascii="Times New Roman" w:hAnsi="Times New Roman"/>
                <w:b w:val="0"/>
              </w:rPr>
              <w:t>The HITPC believes that Meaningful choice should be relied on as a primary mechanism to determine whether or not a provider or other user can query a patient's information for a purpose allowable under HIPAA. </w:t>
            </w:r>
          </w:p>
          <w:p w:rsidR="00A60AA1" w:rsidRPr="00A60AA1" w:rsidRDefault="00A60AA1" w:rsidP="00A60AA1">
            <w:pPr>
              <w:rPr>
                <w:rFonts w:ascii="Times New Roman" w:hAnsi="Times New Roman"/>
                <w:b w:val="0"/>
              </w:rPr>
            </w:pPr>
          </w:p>
          <w:p w:rsidR="00A60AA1" w:rsidRPr="00A60AA1" w:rsidRDefault="00A60AA1" w:rsidP="00A60AA1">
            <w:pPr>
              <w:rPr>
                <w:rFonts w:ascii="Times New Roman" w:hAnsi="Times New Roman"/>
                <w:b w:val="0"/>
              </w:rPr>
            </w:pPr>
            <w:r w:rsidRPr="00A60AA1">
              <w:rPr>
                <w:rFonts w:ascii="Times New Roman" w:hAnsi="Times New Roman"/>
                <w:b w:val="0"/>
              </w:rPr>
              <w:t>In models where patients can opt-in for “any provider that I see for treatment”, there would be an additional need to acknowledge that a “treatment purpose” exists. The most viable method for verifying a provider's treatment relationship to a patient is through provider attestation.</w:t>
            </w:r>
          </w:p>
          <w:p w:rsidR="00564387" w:rsidRPr="000D40DB" w:rsidRDefault="00564387" w:rsidP="009B78E5">
            <w:pPr>
              <w:tabs>
                <w:tab w:val="left" w:pos="1440"/>
              </w:tabs>
              <w:spacing w:before="40" w:after="60"/>
              <w:rPr>
                <w:rFonts w:ascii="Times New Roman" w:hAnsi="Times New Roman" w:cs="Times New Roman"/>
                <w:b w:val="0"/>
              </w:rPr>
            </w:pPr>
          </w:p>
        </w:tc>
      </w:tr>
    </w:tbl>
    <w:p w:rsidR="00984B93" w:rsidRDefault="00984B93" w:rsidP="00094310">
      <w:pPr>
        <w:tabs>
          <w:tab w:val="left" w:pos="900"/>
          <w:tab w:val="left" w:pos="2790"/>
        </w:tabs>
      </w:pPr>
    </w:p>
    <w:tbl>
      <w:tblPr>
        <w:tblStyle w:val="MediumShading1-Accent11"/>
        <w:tblW w:w="5000" w:type="pct"/>
        <w:tblLook w:val="04A0"/>
      </w:tblPr>
      <w:tblGrid>
        <w:gridCol w:w="14616"/>
      </w:tblGrid>
      <w:tr w:rsidR="00564387" w:rsidRPr="002E56FA">
        <w:trPr>
          <w:cnfStyle w:val="100000000000"/>
          <w:tblHeader/>
        </w:trPr>
        <w:tc>
          <w:tcPr>
            <w:cnfStyle w:val="001000000000"/>
            <w:tcW w:w="5000" w:type="pct"/>
          </w:tcPr>
          <w:p w:rsidR="00564387" w:rsidRPr="002E56FA" w:rsidRDefault="00564387" w:rsidP="00B551EA">
            <w:r>
              <w:rPr>
                <w:rFonts w:ascii="Times New Roman" w:hAnsi="Times New Roman"/>
                <w:sz w:val="24"/>
                <w:szCs w:val="24"/>
                <w:u w:val="single"/>
              </w:rPr>
              <w:t>Safeguard</w:t>
            </w:r>
            <w:r w:rsidRPr="003E5665">
              <w:rPr>
                <w:rFonts w:ascii="Times New Roman" w:hAnsi="Times New Roman"/>
                <w:sz w:val="24"/>
                <w:szCs w:val="24"/>
                <w:u w:val="single"/>
              </w:rPr>
              <w:t xml:space="preserve"> CTEs</w:t>
            </w:r>
          </w:p>
        </w:tc>
      </w:tr>
      <w:tr w:rsidR="00564387" w:rsidRPr="00A36FD5">
        <w:trPr>
          <w:cnfStyle w:val="000000100000"/>
        </w:trPr>
        <w:tc>
          <w:tcPr>
            <w:cnfStyle w:val="001000000000"/>
            <w:tcW w:w="5000" w:type="pct"/>
            <w:shd w:val="clear" w:color="auto" w:fill="DBE5F1" w:themeFill="accent1" w:themeFillTint="33"/>
          </w:tcPr>
          <w:p w:rsidR="00564387" w:rsidRDefault="00564387" w:rsidP="00B551EA">
            <w:pPr>
              <w:tabs>
                <w:tab w:val="left" w:pos="2323"/>
              </w:tabs>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44</w:t>
            </w:r>
            <w:r w:rsidRPr="004A4EA2">
              <w:rPr>
                <w:rFonts w:ascii="Times New Roman" w:hAnsi="Times New Roman"/>
                <w:sz w:val="24"/>
                <w:szCs w:val="24"/>
                <w:u w:val="single"/>
              </w:rPr>
              <w:t>:</w:t>
            </w:r>
            <w:r>
              <w:rPr>
                <w:rFonts w:ascii="Times New Roman" w:hAnsi="Times New Roman"/>
                <w:sz w:val="24"/>
                <w:szCs w:val="24"/>
              </w:rPr>
              <w:t xml:space="preserve">  </w:t>
            </w:r>
            <w:r w:rsidRPr="008F1C4E">
              <w:rPr>
                <w:rFonts w:ascii="Times New Roman" w:hAnsi="Times New Roman"/>
                <w:sz w:val="24"/>
                <w:szCs w:val="24"/>
              </w:rPr>
              <w:t xml:space="preserve">Are there circumstances where a provider should be allowed access through the NVE to the health information of one or more individuals with whom it does </w:t>
            </w:r>
            <w:r w:rsidRPr="00A93813">
              <w:rPr>
                <w:rFonts w:ascii="Times New Roman" w:hAnsi="Times New Roman"/>
                <w:sz w:val="24"/>
                <w:szCs w:val="24"/>
              </w:rPr>
              <w:t xml:space="preserve">not </w:t>
            </w:r>
            <w:r w:rsidRPr="008F1C4E">
              <w:rPr>
                <w:rFonts w:ascii="Times New Roman" w:hAnsi="Times New Roman"/>
                <w:sz w:val="24"/>
                <w:szCs w:val="24"/>
              </w:rPr>
              <w:t xml:space="preserve">have a treatment relationship for the purpose of treating one of its patients?  </w:t>
            </w:r>
          </w:p>
          <w:p w:rsidR="00564387" w:rsidRPr="00A36FD5" w:rsidRDefault="00564387" w:rsidP="00B551EA">
            <w:pPr>
              <w:ind w:left="90"/>
              <w:rPr>
                <w:b w:val="0"/>
                <w:bCs w:val="0"/>
                <w:sz w:val="20"/>
                <w:szCs w:val="20"/>
              </w:rPr>
            </w:pPr>
          </w:p>
        </w:tc>
      </w:tr>
      <w:tr w:rsidR="00564387"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564387" w:rsidRDefault="00564387" w:rsidP="00B551EA">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[S-10]: </w:t>
            </w:r>
            <w:r w:rsidRPr="003F6638">
              <w:rPr>
                <w:rFonts w:ascii="Times New Roman" w:hAnsi="Times New Roman"/>
                <w:sz w:val="24"/>
                <w:szCs w:val="24"/>
              </w:rPr>
              <w:t xml:space="preserve">An NVE must have the means to verify that a provider requesting an individual’s health </w:t>
            </w:r>
            <w:r w:rsidRPr="003F6638">
              <w:rPr>
                <w:rFonts w:ascii="Times New Roman" w:hAnsi="Times New Roman"/>
                <w:sz w:val="24"/>
                <w:szCs w:val="24"/>
              </w:rPr>
              <w:lastRenderedPageBreak/>
              <w:t>information through a query and response model has or is in the process of establishing a treatment relationship with that individual.</w:t>
            </w:r>
          </w:p>
          <w:p w:rsidR="00564387" w:rsidRPr="007A6316" w:rsidRDefault="00564387" w:rsidP="00B551EA">
            <w:pPr>
              <w:ind w:left="90"/>
              <w:rPr>
                <w:rFonts w:ascii="Times New Roman" w:hAnsi="Times New Roman"/>
                <w:sz w:val="24"/>
                <w:szCs w:val="24"/>
              </w:rPr>
            </w:pPr>
          </w:p>
        </w:tc>
      </w:tr>
      <w:tr w:rsidR="00564387" w:rsidRPr="00A36FD5">
        <w:trPr>
          <w:cnfStyle w:val="000000100000"/>
        </w:trPr>
        <w:tc>
          <w:tcPr>
            <w:cnfStyle w:val="001000000000"/>
            <w:tcW w:w="5000" w:type="pct"/>
            <w:shd w:val="clear" w:color="auto" w:fill="FFFFFF" w:themeFill="background1"/>
          </w:tcPr>
          <w:p w:rsidR="00CF3CFF" w:rsidRPr="00CF3CFF" w:rsidRDefault="00CF3CFF" w:rsidP="00DB71A4">
            <w:pPr>
              <w:spacing w:before="40" w:after="60"/>
              <w:rPr>
                <w:rFonts w:ascii="Times New Roman" w:hAnsi="Times New Roman" w:cs="Times New Roman"/>
                <w:b w:val="0"/>
              </w:rPr>
            </w:pPr>
            <w:r w:rsidRPr="00CF3CFF">
              <w:rPr>
                <w:rFonts w:ascii="Times New Roman" w:hAnsi="Times New Roman" w:cs="Times New Roman"/>
                <w:b w:val="0"/>
              </w:rPr>
              <w:lastRenderedPageBreak/>
              <w:t>The Policy Committee previously noted that its recommendations on consent—which stated that t</w:t>
            </w:r>
            <w:r w:rsidRPr="00CF3CFF">
              <w:rPr>
                <w:rFonts w:ascii="Times New Roman" w:eastAsia="Times New Roman" w:hAnsi="Times New Roman" w:cs="Times New Roman"/>
                <w:b w:val="0"/>
                <w:color w:val="000000"/>
              </w:rPr>
              <w:t>he exchange of identifiable health information for “treatment” should be limited to treatment of the individual who is the subject of the information—</w:t>
            </w:r>
            <w:r w:rsidRPr="00CF3CFF">
              <w:rPr>
                <w:rFonts w:ascii="Times New Roman" w:hAnsi="Times New Roman" w:cs="Times New Roman"/>
                <w:b w:val="0"/>
              </w:rPr>
              <w:t xml:space="preserve">might need to </w:t>
            </w:r>
            <w:r w:rsidRPr="00CF3CFF">
              <w:rPr>
                <w:rFonts w:ascii="Times New Roman" w:eastAsia="Times New Roman" w:hAnsi="Times New Roman" w:cs="Times New Roman"/>
                <w:b w:val="0"/>
                <w:color w:val="000000"/>
              </w:rPr>
              <w:t xml:space="preserve">be further refined to ensure the appropriate care of infants or children when a parent’s or other family member’s information is needed to provide treatment and it is not possible or practical to obtain even a general oral assent to use a parent’s  information. Similarly, </w:t>
            </w:r>
            <w:r w:rsidRPr="00CF3CFF">
              <w:rPr>
                <w:rFonts w:ascii="Times New Roman" w:hAnsi="Times New Roman" w:cs="Times New Roman"/>
                <w:b w:val="0"/>
              </w:rPr>
              <w:t>permitting access to the NVE of the records of one or more individuals with whom the provider does not have a treatment relationship in other circumstances should be the subject of further policy discussion.</w:t>
            </w:r>
          </w:p>
          <w:p w:rsidR="00DB71A4" w:rsidRDefault="00DB71A4" w:rsidP="00CF3CFF">
            <w:pPr>
              <w:spacing w:before="40" w:after="60"/>
              <w:ind w:firstLine="360"/>
              <w:rPr>
                <w:rFonts w:ascii="Times New Roman" w:hAnsi="Times New Roman" w:cs="Times New Roman"/>
                <w:b w:val="0"/>
              </w:rPr>
            </w:pPr>
          </w:p>
          <w:p w:rsidR="00CF3CFF" w:rsidRPr="00CF3CFF" w:rsidRDefault="00CF3CFF" w:rsidP="00DB71A4">
            <w:pPr>
              <w:spacing w:before="40" w:after="60"/>
              <w:rPr>
                <w:rFonts w:ascii="Times New Roman" w:hAnsi="Times New Roman" w:cs="Times New Roman"/>
                <w:b w:val="0"/>
              </w:rPr>
            </w:pPr>
            <w:r w:rsidRPr="00CF3CFF">
              <w:rPr>
                <w:rFonts w:ascii="Times New Roman" w:hAnsi="Times New Roman" w:cs="Times New Roman"/>
                <w:b w:val="0"/>
              </w:rPr>
              <w:t>NVEs should be transparent with participants about the purposes for which information can be exchanged using the NVE.</w:t>
            </w:r>
          </w:p>
          <w:p w:rsidR="00564387" w:rsidRPr="00A36FD5" w:rsidRDefault="00564387" w:rsidP="00236BBD">
            <w:pPr>
              <w:tabs>
                <w:tab w:val="left" w:pos="1440"/>
              </w:tabs>
              <w:spacing w:before="40" w:after="60"/>
              <w:rPr>
                <w:rFonts w:ascii="Times New Roman" w:hAnsi="Times New Roman" w:cs="Times New Roman"/>
                <w:b w:val="0"/>
                <w:sz w:val="20"/>
                <w:szCs w:val="20"/>
              </w:rPr>
            </w:pPr>
          </w:p>
        </w:tc>
      </w:tr>
    </w:tbl>
    <w:p w:rsidR="00C55DD8" w:rsidRDefault="00C55DD8" w:rsidP="00094310">
      <w:pPr>
        <w:tabs>
          <w:tab w:val="left" w:pos="900"/>
          <w:tab w:val="left" w:pos="2790"/>
        </w:tabs>
      </w:pPr>
    </w:p>
    <w:tbl>
      <w:tblPr>
        <w:tblStyle w:val="MediumShading1-Accent11"/>
        <w:tblW w:w="5000" w:type="pct"/>
        <w:tblLook w:val="04A0"/>
      </w:tblPr>
      <w:tblGrid>
        <w:gridCol w:w="14616"/>
      </w:tblGrid>
      <w:tr w:rsidR="00564387" w:rsidRPr="002E56FA">
        <w:trPr>
          <w:cnfStyle w:val="100000000000"/>
          <w:tblHeader/>
        </w:trPr>
        <w:tc>
          <w:tcPr>
            <w:cnfStyle w:val="001000000000"/>
            <w:tcW w:w="5000" w:type="pct"/>
          </w:tcPr>
          <w:p w:rsidR="00564387" w:rsidRPr="002E56FA" w:rsidRDefault="00564387" w:rsidP="00B551EA">
            <w:r>
              <w:t>Interoperability CTEs</w:t>
            </w:r>
          </w:p>
        </w:tc>
      </w:tr>
      <w:tr w:rsidR="00564387" w:rsidRPr="00A36FD5">
        <w:trPr>
          <w:cnfStyle w:val="000000100000"/>
        </w:trPr>
        <w:tc>
          <w:tcPr>
            <w:cnfStyle w:val="001000000000"/>
            <w:tcW w:w="5000" w:type="pct"/>
            <w:shd w:val="clear" w:color="auto" w:fill="DBE5F1" w:themeFill="accent1" w:themeFillTint="33"/>
          </w:tcPr>
          <w:p w:rsidR="00564387" w:rsidRDefault="00564387" w:rsidP="00B551EA">
            <w:pPr>
              <w:tabs>
                <w:tab w:val="left" w:pos="2323"/>
              </w:tabs>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45</w:t>
            </w:r>
            <w:r w:rsidRPr="004A4EA2">
              <w:rPr>
                <w:rFonts w:ascii="Times New Roman" w:hAnsi="Times New Roman"/>
                <w:sz w:val="24"/>
                <w:szCs w:val="24"/>
                <w:u w:val="single"/>
              </w:rPr>
              <w:t>:</w:t>
            </w:r>
            <w:r>
              <w:rPr>
                <w:rFonts w:ascii="Times New Roman" w:hAnsi="Times New Roman"/>
                <w:sz w:val="24"/>
                <w:szCs w:val="24"/>
              </w:rPr>
              <w:t xml:space="preserve">  </w:t>
            </w:r>
            <w:r w:rsidRPr="002B4049">
              <w:rPr>
                <w:rFonts w:ascii="Times New Roman" w:hAnsi="Times New Roman"/>
                <w:sz w:val="24"/>
                <w:szCs w:val="24"/>
              </w:rPr>
              <w:t>What types of transport methods/standards</w:t>
            </w:r>
            <w:r w:rsidRPr="00033423">
              <w:rPr>
                <w:rFonts w:ascii="Times New Roman" w:hAnsi="Times New Roman"/>
                <w:sz w:val="24"/>
                <w:szCs w:val="24"/>
              </w:rPr>
              <w:t xml:space="preserve"> </w:t>
            </w:r>
            <w:r w:rsidRPr="002B4049">
              <w:rPr>
                <w:rFonts w:ascii="Times New Roman" w:hAnsi="Times New Roman"/>
                <w:sz w:val="24"/>
                <w:szCs w:val="24"/>
              </w:rPr>
              <w:t>should NVEs be able to support?  Should they support both types of transport methods/standards (i.e., SMTP and SOAP), or should they only have to meet one of the two as well as have a way to translate (e.g., XDR/XDM)?</w:t>
            </w:r>
          </w:p>
          <w:p w:rsidR="00564387" w:rsidRPr="00A36FD5" w:rsidRDefault="00564387" w:rsidP="00B551EA">
            <w:pPr>
              <w:ind w:left="90"/>
              <w:rPr>
                <w:b w:val="0"/>
                <w:bCs w:val="0"/>
                <w:sz w:val="20"/>
                <w:szCs w:val="20"/>
              </w:rPr>
            </w:pPr>
          </w:p>
        </w:tc>
      </w:tr>
      <w:tr w:rsidR="00564387"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564387" w:rsidRDefault="00564387" w:rsidP="00B551EA">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[I-1]: </w:t>
            </w:r>
            <w:r w:rsidRPr="006F0BB2">
              <w:rPr>
                <w:rFonts w:ascii="Times New Roman" w:hAnsi="Times New Roman"/>
                <w:sz w:val="24"/>
                <w:szCs w:val="24"/>
              </w:rPr>
              <w:t xml:space="preserve">An NVE must be able to facilitate secure electronic health information exchange in two circumstances: 1) when the sender and receiver are known; and 2) when the exchange occurs at the patient’s direction.  </w:t>
            </w:r>
          </w:p>
          <w:p w:rsidR="00564387" w:rsidRPr="007A6316" w:rsidRDefault="00564387" w:rsidP="00B551EA">
            <w:pPr>
              <w:ind w:left="90"/>
              <w:rPr>
                <w:rFonts w:ascii="Times New Roman" w:hAnsi="Times New Roman"/>
                <w:sz w:val="24"/>
                <w:szCs w:val="24"/>
              </w:rPr>
            </w:pPr>
          </w:p>
        </w:tc>
      </w:tr>
      <w:tr w:rsidR="006728F0" w:rsidRPr="00A36FD5">
        <w:trPr>
          <w:cnfStyle w:val="000000100000"/>
        </w:trPr>
        <w:tc>
          <w:tcPr>
            <w:cnfStyle w:val="001000000000"/>
            <w:tcW w:w="5000" w:type="pct"/>
            <w:shd w:val="clear" w:color="auto" w:fill="FFFFFF" w:themeFill="background1"/>
          </w:tcPr>
          <w:p w:rsidR="008F6B2A" w:rsidRPr="00A60AA1" w:rsidRDefault="008F6B2A" w:rsidP="00A60AA1">
            <w:pPr>
              <w:rPr>
                <w:rFonts w:ascii="Times New Roman" w:hAnsi="Times New Roman" w:cs="Times New Roman"/>
                <w:b w:val="0"/>
              </w:rPr>
            </w:pPr>
            <w:r w:rsidRPr="00A60AA1">
              <w:rPr>
                <w:rFonts w:ascii="Times New Roman" w:hAnsi="Times New Roman" w:cs="Times New Roman"/>
                <w:b w:val="0"/>
              </w:rPr>
              <w:t xml:space="preserve">If it is preferable for NVEs to support only one mechanism, the </w:t>
            </w:r>
            <w:r w:rsidR="00514C5B" w:rsidRPr="00A60AA1">
              <w:rPr>
                <w:rFonts w:ascii="Times New Roman" w:hAnsi="Times New Roman" w:cs="Times New Roman"/>
                <w:b w:val="0"/>
              </w:rPr>
              <w:t>HITPC</w:t>
            </w:r>
            <w:r w:rsidRPr="00A60AA1">
              <w:rPr>
                <w:rFonts w:ascii="Times New Roman" w:hAnsi="Times New Roman" w:cs="Times New Roman"/>
                <w:b w:val="0"/>
              </w:rPr>
              <w:t xml:space="preserve"> recommends that NVEs be required adhere to the transport requirements included in EHR vendor certification. </w:t>
            </w:r>
          </w:p>
          <w:p w:rsidR="008F6B2A" w:rsidRPr="00A60AA1" w:rsidRDefault="008F6B2A" w:rsidP="00A60AA1">
            <w:pPr>
              <w:rPr>
                <w:rFonts w:ascii="Times New Roman" w:hAnsi="Times New Roman" w:cs="Times New Roman"/>
                <w:b w:val="0"/>
              </w:rPr>
            </w:pPr>
            <w:r w:rsidRPr="00A60AA1">
              <w:rPr>
                <w:rFonts w:ascii="Times New Roman" w:hAnsi="Times New Roman" w:cs="Times New Roman"/>
                <w:b w:val="0"/>
              </w:rPr>
              <w:t xml:space="preserve">The </w:t>
            </w:r>
            <w:r w:rsidR="00514C5B" w:rsidRPr="00A60AA1">
              <w:rPr>
                <w:rFonts w:ascii="Times New Roman" w:hAnsi="Times New Roman" w:cs="Times New Roman"/>
                <w:b w:val="0"/>
              </w:rPr>
              <w:t>HITPC</w:t>
            </w:r>
            <w:r w:rsidRPr="00A60AA1">
              <w:rPr>
                <w:rFonts w:ascii="Times New Roman" w:hAnsi="Times New Roman" w:cs="Times New Roman"/>
                <w:b w:val="0"/>
              </w:rPr>
              <w:t xml:space="preserve"> also recognizes that SOAP is currently supported by Public Health efforts such as the Immunization Information System as well as the Direct Project and should therefore be prioritized. </w:t>
            </w:r>
          </w:p>
          <w:p w:rsidR="008F6B2A" w:rsidRPr="00A60AA1" w:rsidRDefault="008F6B2A" w:rsidP="00A60AA1">
            <w:pPr>
              <w:rPr>
                <w:rFonts w:ascii="Times New Roman" w:hAnsi="Times New Roman" w:cs="Times New Roman"/>
                <w:b w:val="0"/>
              </w:rPr>
            </w:pPr>
            <w:r w:rsidRPr="00A60AA1">
              <w:rPr>
                <w:rFonts w:ascii="Times New Roman" w:hAnsi="Times New Roman" w:cs="Times New Roman"/>
                <w:b w:val="0"/>
              </w:rPr>
              <w:t>Rather than require NVEs to support one or multiple transport mechanisms, NVEs should be left to determine which transport mechanism is preferable for the clients they serve and the use cases involved in the services they provide. Many potential NVEs, such as lab vendors, are likely to support one specific use case. Accordingly, market forces should influence the transport mechanism preferred by NVEs, and CTEs should be able to certify NVEs for one or more mechanism.</w:t>
            </w:r>
          </w:p>
          <w:p w:rsidR="0081216C" w:rsidRPr="00A60AA1" w:rsidRDefault="008F6B2A" w:rsidP="00A60AA1">
            <w:r w:rsidRPr="00A60AA1">
              <w:rPr>
                <w:rFonts w:ascii="Times New Roman" w:hAnsi="Times New Roman" w:cs="Times New Roman"/>
                <w:b w:val="0"/>
              </w:rPr>
              <w:t>Further clarification is necessary for the responsibilities NVEs will have to recognize recipients’ certificates when Condition I-1. 2. Exchange occurs at the patient’s direction.</w:t>
            </w:r>
          </w:p>
          <w:p w:rsidR="00667710" w:rsidRDefault="00667710" w:rsidP="0081216C">
            <w:pPr>
              <w:rPr>
                <w:rFonts w:ascii="Times New Roman" w:hAnsi="Times New Roman" w:cs="Times New Roman"/>
                <w:b w:val="0"/>
                <w:i/>
              </w:rPr>
            </w:pPr>
          </w:p>
          <w:p w:rsidR="00236BBD" w:rsidRPr="003C01F2" w:rsidRDefault="003C01F2" w:rsidP="0081216C">
            <w:pPr>
              <w:rPr>
                <w:rFonts w:ascii="Times New Roman" w:hAnsi="Times New Roman" w:cs="Times New Roman"/>
                <w:b w:val="0"/>
                <w:i/>
              </w:rPr>
            </w:pPr>
            <w:r>
              <w:rPr>
                <w:rFonts w:ascii="Times New Roman" w:hAnsi="Times New Roman" w:cs="Times New Roman"/>
                <w:b w:val="0"/>
                <w:i/>
              </w:rPr>
              <w:t xml:space="preserve">The HITPC recommends that NVEs should be able to determine what transport it prefers for particular transactions.  The Standards &amp; Certification Criteria </w:t>
            </w:r>
            <w:r w:rsidR="009066A5">
              <w:rPr>
                <w:rFonts w:ascii="Times New Roman" w:hAnsi="Times New Roman" w:cs="Times New Roman"/>
                <w:b w:val="0"/>
                <w:i/>
              </w:rPr>
              <w:t>sh</w:t>
            </w:r>
            <w:r>
              <w:rPr>
                <w:rFonts w:ascii="Times New Roman" w:hAnsi="Times New Roman" w:cs="Times New Roman"/>
                <w:b w:val="0"/>
                <w:i/>
              </w:rPr>
              <w:t>ould specify standards and certification criteria for particular transactions/use cases.  Implementation guides that overlap with the S&amp;CC 2014 ed</w:t>
            </w:r>
            <w:r w:rsidR="00667710">
              <w:rPr>
                <w:rFonts w:ascii="Times New Roman" w:hAnsi="Times New Roman" w:cs="Times New Roman"/>
                <w:b w:val="0"/>
                <w:i/>
              </w:rPr>
              <w:t>i</w:t>
            </w:r>
            <w:r>
              <w:rPr>
                <w:rFonts w:ascii="Times New Roman" w:hAnsi="Times New Roman" w:cs="Times New Roman"/>
                <w:b w:val="0"/>
                <w:i/>
              </w:rPr>
              <w:t xml:space="preserve">tion should be synchronized. </w:t>
            </w:r>
          </w:p>
          <w:p w:rsidR="008F6B2A" w:rsidRPr="000D40DB" w:rsidRDefault="008F6B2A" w:rsidP="00CF1811">
            <w:pPr>
              <w:spacing w:before="40" w:after="60"/>
              <w:rPr>
                <w:rFonts w:ascii="Times New Roman" w:hAnsi="Times New Roman" w:cs="Times New Roman"/>
              </w:rPr>
            </w:pPr>
          </w:p>
        </w:tc>
      </w:tr>
    </w:tbl>
    <w:p w:rsidR="00564387" w:rsidRDefault="00564387" w:rsidP="00094310">
      <w:pPr>
        <w:tabs>
          <w:tab w:val="left" w:pos="900"/>
          <w:tab w:val="left" w:pos="2790"/>
        </w:tabs>
      </w:pPr>
    </w:p>
    <w:tbl>
      <w:tblPr>
        <w:tblStyle w:val="MediumShading1-Accent11"/>
        <w:tblW w:w="5000" w:type="pct"/>
        <w:tblLook w:val="04A0"/>
      </w:tblPr>
      <w:tblGrid>
        <w:gridCol w:w="14616"/>
      </w:tblGrid>
      <w:tr w:rsidR="00564387" w:rsidRPr="002E56FA">
        <w:trPr>
          <w:cnfStyle w:val="100000000000"/>
          <w:tblHeader/>
        </w:trPr>
        <w:tc>
          <w:tcPr>
            <w:cnfStyle w:val="001000000000"/>
            <w:tcW w:w="5000" w:type="pct"/>
          </w:tcPr>
          <w:p w:rsidR="00564387" w:rsidRPr="002E56FA" w:rsidRDefault="00564387" w:rsidP="00B551EA">
            <w:r>
              <w:lastRenderedPageBreak/>
              <w:t>Interoperability CTEs</w:t>
            </w:r>
          </w:p>
        </w:tc>
      </w:tr>
      <w:tr w:rsidR="00564387" w:rsidRPr="00A36FD5">
        <w:trPr>
          <w:cnfStyle w:val="000000100000"/>
        </w:trPr>
        <w:tc>
          <w:tcPr>
            <w:cnfStyle w:val="001000000000"/>
            <w:tcW w:w="5000" w:type="pct"/>
            <w:shd w:val="clear" w:color="auto" w:fill="DBE5F1" w:themeFill="accent1" w:themeFillTint="33"/>
          </w:tcPr>
          <w:p w:rsidR="00564387" w:rsidRDefault="00564387" w:rsidP="00B551EA">
            <w:pPr>
              <w:tabs>
                <w:tab w:val="left" w:pos="2323"/>
              </w:tabs>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46</w:t>
            </w:r>
            <w:r w:rsidRPr="004A4EA2">
              <w:rPr>
                <w:rFonts w:ascii="Times New Roman" w:hAnsi="Times New Roman"/>
                <w:sz w:val="24"/>
                <w:szCs w:val="24"/>
                <w:u w:val="single"/>
              </w:rPr>
              <w:t>:</w:t>
            </w:r>
            <w:r>
              <w:rPr>
                <w:rFonts w:ascii="Times New Roman" w:hAnsi="Times New Roman"/>
                <w:sz w:val="24"/>
                <w:szCs w:val="24"/>
              </w:rPr>
              <w:t xml:space="preserve">  </w:t>
            </w:r>
            <w:r w:rsidRPr="002B4049">
              <w:rPr>
                <w:rFonts w:ascii="Times New Roman" w:hAnsi="Times New Roman"/>
                <w:sz w:val="24"/>
                <w:szCs w:val="24"/>
              </w:rPr>
              <w:t>If a secure “</w:t>
            </w:r>
            <w:proofErr w:type="spellStart"/>
            <w:r w:rsidRPr="002B4049">
              <w:rPr>
                <w:rFonts w:ascii="Times New Roman" w:hAnsi="Times New Roman"/>
                <w:sz w:val="24"/>
                <w:szCs w:val="24"/>
              </w:rPr>
              <w:t>RESTful</w:t>
            </w:r>
            <w:proofErr w:type="spellEnd"/>
            <w:r w:rsidRPr="002B4049">
              <w:rPr>
                <w:rFonts w:ascii="Times New Roman" w:hAnsi="Times New Roman"/>
                <w:sz w:val="24"/>
                <w:szCs w:val="24"/>
              </w:rPr>
              <w:t>” transport specification is developed during the course of this rulemaking, should we also propose it as a way of demonstrating compliance with this CTE?</w:t>
            </w:r>
          </w:p>
          <w:p w:rsidR="00564387" w:rsidRPr="00A36FD5" w:rsidRDefault="00564387" w:rsidP="00B551EA">
            <w:pPr>
              <w:ind w:left="90"/>
              <w:rPr>
                <w:b w:val="0"/>
                <w:bCs w:val="0"/>
                <w:sz w:val="20"/>
                <w:szCs w:val="20"/>
              </w:rPr>
            </w:pPr>
          </w:p>
        </w:tc>
      </w:tr>
      <w:tr w:rsidR="00564387"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564387" w:rsidRDefault="00564387" w:rsidP="00B551EA">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[I-1]: </w:t>
            </w:r>
            <w:r w:rsidRPr="006F0BB2">
              <w:rPr>
                <w:rFonts w:ascii="Times New Roman" w:hAnsi="Times New Roman"/>
                <w:sz w:val="24"/>
                <w:szCs w:val="24"/>
              </w:rPr>
              <w:t xml:space="preserve">An NVE must be able to facilitate secure electronic health information exchange in two circumstances: 1) when the sender and receiver are known; and 2) when the exchange occurs at the patient’s direction.  </w:t>
            </w:r>
          </w:p>
          <w:p w:rsidR="00564387" w:rsidRPr="007A6316" w:rsidRDefault="00564387" w:rsidP="00B551EA">
            <w:pPr>
              <w:ind w:left="90"/>
              <w:rPr>
                <w:rFonts w:ascii="Times New Roman" w:hAnsi="Times New Roman"/>
                <w:sz w:val="24"/>
                <w:szCs w:val="24"/>
              </w:rPr>
            </w:pPr>
          </w:p>
        </w:tc>
      </w:tr>
      <w:tr w:rsidR="008F6B2A" w:rsidRPr="00A36FD5">
        <w:trPr>
          <w:cnfStyle w:val="000000100000"/>
        </w:trPr>
        <w:tc>
          <w:tcPr>
            <w:cnfStyle w:val="001000000000"/>
            <w:tcW w:w="5000" w:type="pct"/>
            <w:shd w:val="clear" w:color="auto" w:fill="FFFFFF" w:themeFill="background1"/>
          </w:tcPr>
          <w:p w:rsidR="008F6B2A" w:rsidRPr="00A60AA1" w:rsidRDefault="008F6B2A" w:rsidP="00A60AA1">
            <w:pPr>
              <w:rPr>
                <w:rFonts w:ascii="Times New Roman" w:hAnsi="Times New Roman"/>
                <w:b w:val="0"/>
              </w:rPr>
            </w:pPr>
            <w:r w:rsidRPr="00A60AA1">
              <w:rPr>
                <w:rFonts w:ascii="Times New Roman" w:hAnsi="Times New Roman"/>
                <w:b w:val="0"/>
              </w:rPr>
              <w:t xml:space="preserve">The </w:t>
            </w:r>
            <w:r w:rsidR="00514C5B" w:rsidRPr="00A60AA1">
              <w:rPr>
                <w:rFonts w:ascii="Times New Roman" w:hAnsi="Times New Roman"/>
                <w:b w:val="0"/>
              </w:rPr>
              <w:t>HITPC</w:t>
            </w:r>
            <w:r w:rsidRPr="00A60AA1">
              <w:rPr>
                <w:rFonts w:ascii="Times New Roman" w:hAnsi="Times New Roman"/>
                <w:b w:val="0"/>
              </w:rPr>
              <w:t xml:space="preserve"> recommends proposing a secure “</w:t>
            </w:r>
            <w:proofErr w:type="spellStart"/>
            <w:r w:rsidRPr="00A60AA1">
              <w:rPr>
                <w:rFonts w:ascii="Times New Roman" w:hAnsi="Times New Roman"/>
                <w:b w:val="0"/>
              </w:rPr>
              <w:t>RESTful</w:t>
            </w:r>
            <w:proofErr w:type="spellEnd"/>
            <w:r w:rsidRPr="00A60AA1">
              <w:rPr>
                <w:rFonts w:ascii="Times New Roman" w:hAnsi="Times New Roman"/>
                <w:b w:val="0"/>
              </w:rPr>
              <w:t xml:space="preserve">” transport specification as a way of demonstrating compliance with this CTE if available. However, the </w:t>
            </w:r>
            <w:r w:rsidR="00514C5B" w:rsidRPr="00A60AA1">
              <w:rPr>
                <w:rFonts w:ascii="Times New Roman" w:hAnsi="Times New Roman"/>
                <w:b w:val="0"/>
              </w:rPr>
              <w:t>HITPC</w:t>
            </w:r>
            <w:r w:rsidRPr="00A60AA1">
              <w:rPr>
                <w:rFonts w:ascii="Times New Roman" w:hAnsi="Times New Roman"/>
                <w:b w:val="0"/>
              </w:rPr>
              <w:t xml:space="preserve"> recognizes that Public Health has little experience with this protocol.</w:t>
            </w:r>
          </w:p>
          <w:p w:rsidR="00A60AA1" w:rsidRPr="00A60AA1" w:rsidRDefault="00A60AA1" w:rsidP="00A60AA1">
            <w:pPr>
              <w:rPr>
                <w:rFonts w:ascii="Times New Roman" w:hAnsi="Times New Roman"/>
                <w:b w:val="0"/>
              </w:rPr>
            </w:pPr>
          </w:p>
          <w:p w:rsidR="00FB37C7" w:rsidRPr="00A60AA1" w:rsidRDefault="008F6B2A" w:rsidP="00A60AA1">
            <w:pPr>
              <w:rPr>
                <w:rFonts w:ascii="Times New Roman" w:hAnsi="Times New Roman"/>
                <w:b w:val="0"/>
              </w:rPr>
            </w:pPr>
            <w:r w:rsidRPr="00A60AA1">
              <w:rPr>
                <w:rFonts w:ascii="Times New Roman" w:hAnsi="Times New Roman"/>
                <w:b w:val="0"/>
              </w:rPr>
              <w:t xml:space="preserve">The </w:t>
            </w:r>
            <w:r w:rsidR="00514C5B" w:rsidRPr="00A60AA1">
              <w:rPr>
                <w:rFonts w:ascii="Times New Roman" w:hAnsi="Times New Roman"/>
                <w:b w:val="0"/>
              </w:rPr>
              <w:t>HITPC</w:t>
            </w:r>
            <w:r w:rsidRPr="00A60AA1">
              <w:rPr>
                <w:rFonts w:ascii="Times New Roman" w:hAnsi="Times New Roman"/>
                <w:b w:val="0"/>
              </w:rPr>
              <w:t xml:space="preserve"> also believes that NVEs should be left to determine which transport specification(s) meets their clients’ needs and be certified accordingly.</w:t>
            </w:r>
          </w:p>
          <w:p w:rsidR="008F6B2A" w:rsidRPr="007037D9" w:rsidRDefault="008F6B2A" w:rsidP="00450E94">
            <w:pPr>
              <w:rPr>
                <w:rFonts w:ascii="Times New Roman" w:hAnsi="Times New Roman" w:cs="Times New Roman"/>
              </w:rPr>
            </w:pPr>
          </w:p>
        </w:tc>
      </w:tr>
    </w:tbl>
    <w:p w:rsidR="006D4F9F" w:rsidRPr="00CF1811" w:rsidRDefault="006D4F9F" w:rsidP="00CF1811"/>
    <w:tbl>
      <w:tblPr>
        <w:tblStyle w:val="MediumShading1-Accent11"/>
        <w:tblW w:w="5000" w:type="pct"/>
        <w:tblLook w:val="04A0"/>
      </w:tblPr>
      <w:tblGrid>
        <w:gridCol w:w="14616"/>
      </w:tblGrid>
      <w:tr w:rsidR="00564387" w:rsidRPr="002E56FA">
        <w:trPr>
          <w:cnfStyle w:val="100000000000"/>
          <w:tblHeader/>
        </w:trPr>
        <w:tc>
          <w:tcPr>
            <w:cnfStyle w:val="001000000000"/>
            <w:tcW w:w="5000" w:type="pct"/>
          </w:tcPr>
          <w:p w:rsidR="00564387" w:rsidRPr="002E56FA" w:rsidRDefault="006D4F9F" w:rsidP="00B551EA">
            <w:r>
              <w:t>Interoperability CTEs</w:t>
            </w:r>
          </w:p>
        </w:tc>
      </w:tr>
      <w:tr w:rsidR="006D4F9F" w:rsidRPr="00A36FD5">
        <w:trPr>
          <w:cnfStyle w:val="000000100000"/>
        </w:trPr>
        <w:tc>
          <w:tcPr>
            <w:cnfStyle w:val="001000000000"/>
            <w:tcW w:w="5000" w:type="pct"/>
            <w:shd w:val="clear" w:color="auto" w:fill="DBE5F1" w:themeFill="accent1" w:themeFillTint="33"/>
          </w:tcPr>
          <w:p w:rsidR="006D4F9F" w:rsidRPr="006D4F9F" w:rsidRDefault="006D4F9F" w:rsidP="006D4F9F">
            <w:pPr>
              <w:tabs>
                <w:tab w:val="left" w:pos="2323"/>
              </w:tabs>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47</w:t>
            </w:r>
            <w:r w:rsidRPr="004A4EA2">
              <w:rPr>
                <w:rFonts w:ascii="Times New Roman" w:hAnsi="Times New Roman"/>
                <w:sz w:val="24"/>
                <w:szCs w:val="24"/>
                <w:u w:val="single"/>
              </w:rPr>
              <w:t>:</w:t>
            </w:r>
            <w:r>
              <w:rPr>
                <w:rFonts w:ascii="Times New Roman" w:hAnsi="Times New Roman"/>
                <w:sz w:val="24"/>
                <w:szCs w:val="24"/>
              </w:rPr>
              <w:t xml:space="preserve">  </w:t>
            </w:r>
            <w:r w:rsidRPr="006D4F9F">
              <w:rPr>
                <w:rFonts w:ascii="Times New Roman" w:hAnsi="Times New Roman"/>
                <w:sz w:val="24"/>
                <w:szCs w:val="24"/>
              </w:rPr>
              <w:t>Are the technical specifications (i.e., Domain Name System (DNS) and the Lightweight Directory Access Protocol (LDAP)) appropriate and sufficient for enabling easy location of organizational certificates?  Are there other specifications that we should also consider?</w:t>
            </w:r>
          </w:p>
          <w:p w:rsidR="006D4F9F" w:rsidRDefault="006D4F9F" w:rsidP="00B551EA">
            <w:pPr>
              <w:tabs>
                <w:tab w:val="left" w:pos="2323"/>
              </w:tabs>
              <w:ind w:left="90"/>
              <w:rPr>
                <w:rFonts w:ascii="Times New Roman" w:hAnsi="Times New Roman"/>
                <w:sz w:val="24"/>
                <w:szCs w:val="24"/>
              </w:rPr>
            </w:pPr>
          </w:p>
          <w:p w:rsidR="006D4F9F" w:rsidRPr="00A36FD5" w:rsidRDefault="006D4F9F" w:rsidP="00B551EA">
            <w:pPr>
              <w:ind w:left="90"/>
              <w:rPr>
                <w:b w:val="0"/>
                <w:bCs w:val="0"/>
                <w:sz w:val="20"/>
                <w:szCs w:val="20"/>
              </w:rPr>
            </w:pPr>
          </w:p>
        </w:tc>
      </w:tr>
      <w:tr w:rsidR="006D4F9F"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6D4F9F" w:rsidRDefault="006D4F9F" w:rsidP="00B551EA">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[I-2]: </w:t>
            </w:r>
            <w:r w:rsidRPr="007D35EB">
              <w:rPr>
                <w:rFonts w:ascii="Times New Roman" w:hAnsi="Times New Roman"/>
                <w:sz w:val="24"/>
                <w:szCs w:val="24"/>
              </w:rPr>
              <w:t>An NVE must follow required standards for establishing and discovering digital certificates.</w:t>
            </w:r>
          </w:p>
          <w:p w:rsidR="006D4F9F" w:rsidRPr="007A6316" w:rsidRDefault="006D4F9F" w:rsidP="00B551EA">
            <w:pPr>
              <w:ind w:left="90"/>
              <w:rPr>
                <w:rFonts w:ascii="Times New Roman" w:hAnsi="Times New Roman"/>
                <w:sz w:val="24"/>
                <w:szCs w:val="24"/>
              </w:rPr>
            </w:pPr>
          </w:p>
        </w:tc>
      </w:tr>
      <w:tr w:rsidR="006728F0" w:rsidRPr="00A36FD5">
        <w:trPr>
          <w:cnfStyle w:val="000000100000"/>
        </w:trPr>
        <w:tc>
          <w:tcPr>
            <w:cnfStyle w:val="001000000000"/>
            <w:tcW w:w="5000" w:type="pct"/>
            <w:shd w:val="clear" w:color="auto" w:fill="FFFFFF" w:themeFill="background1"/>
          </w:tcPr>
          <w:p w:rsidR="008F6B2A" w:rsidRPr="00A60AA1" w:rsidRDefault="008F6B2A" w:rsidP="00A60AA1">
            <w:pPr>
              <w:rPr>
                <w:rFonts w:ascii="Times New Roman" w:hAnsi="Times New Roman"/>
                <w:b w:val="0"/>
              </w:rPr>
            </w:pPr>
            <w:r w:rsidRPr="00A60AA1">
              <w:rPr>
                <w:rFonts w:ascii="Times New Roman" w:hAnsi="Times New Roman"/>
                <w:b w:val="0"/>
              </w:rPr>
              <w:t xml:space="preserve">The </w:t>
            </w:r>
            <w:r w:rsidR="00514C5B" w:rsidRPr="00A60AA1">
              <w:rPr>
                <w:rFonts w:ascii="Times New Roman" w:hAnsi="Times New Roman"/>
                <w:b w:val="0"/>
              </w:rPr>
              <w:t>HITPC</w:t>
            </w:r>
            <w:r w:rsidRPr="00A60AA1">
              <w:rPr>
                <w:rFonts w:ascii="Times New Roman" w:hAnsi="Times New Roman"/>
                <w:b w:val="0"/>
              </w:rPr>
              <w:t xml:space="preserve"> believes that DNS and LDAP specifications are appropriate and sufficient for the easy location of organizational certificates. This approach is aligned with recommendations for certificate discovery from the Standards &amp; Interoperability Framework.</w:t>
            </w:r>
          </w:p>
          <w:p w:rsidR="00A60AA1" w:rsidRPr="00A60AA1" w:rsidRDefault="00A60AA1" w:rsidP="00A60AA1">
            <w:pPr>
              <w:pStyle w:val="ListParagraph"/>
              <w:ind w:left="360"/>
              <w:rPr>
                <w:rFonts w:ascii="Times New Roman" w:hAnsi="Times New Roman"/>
                <w:b w:val="0"/>
              </w:rPr>
            </w:pPr>
          </w:p>
          <w:p w:rsidR="0017657C" w:rsidRPr="00A60AA1" w:rsidRDefault="008F6B2A" w:rsidP="00A60AA1">
            <w:pPr>
              <w:rPr>
                <w:rFonts w:ascii="Times New Roman" w:hAnsi="Times New Roman"/>
                <w:b w:val="0"/>
              </w:rPr>
            </w:pPr>
            <w:r w:rsidRPr="00A60AA1">
              <w:rPr>
                <w:rFonts w:ascii="Times New Roman" w:hAnsi="Times New Roman"/>
                <w:b w:val="0"/>
              </w:rPr>
              <w:t xml:space="preserve">However, the </w:t>
            </w:r>
            <w:r w:rsidR="00514C5B" w:rsidRPr="00A60AA1">
              <w:rPr>
                <w:rFonts w:ascii="Times New Roman" w:hAnsi="Times New Roman"/>
                <w:b w:val="0"/>
              </w:rPr>
              <w:t>HITPC</w:t>
            </w:r>
            <w:r w:rsidRPr="00A60AA1">
              <w:rPr>
                <w:rFonts w:ascii="Times New Roman" w:hAnsi="Times New Roman"/>
                <w:b w:val="0"/>
              </w:rPr>
              <w:t xml:space="preserve"> does not recommend that NVEs be required to adhere to DNS, LDAP, or both specifically. Entities seeking to serve as NVEs should be permitted to determine which technical specifications best align with their services as long as they are congruent with Directed exchange.</w:t>
            </w:r>
          </w:p>
          <w:p w:rsidR="00A60AA1" w:rsidRPr="00A60AA1" w:rsidRDefault="00A60AA1" w:rsidP="006728F0">
            <w:pPr>
              <w:spacing w:before="40" w:after="60"/>
              <w:rPr>
                <w:rFonts w:ascii="Times New Roman" w:hAnsi="Times New Roman" w:cs="Times New Roman"/>
                <w:b w:val="0"/>
                <w:i/>
              </w:rPr>
            </w:pPr>
          </w:p>
          <w:p w:rsidR="00670918" w:rsidRPr="00A60AA1" w:rsidRDefault="00670918" w:rsidP="006728F0">
            <w:pPr>
              <w:spacing w:before="40" w:after="60"/>
              <w:rPr>
                <w:rFonts w:ascii="Times New Roman" w:hAnsi="Times New Roman" w:cs="Times New Roman"/>
                <w:b w:val="0"/>
                <w:i/>
              </w:rPr>
            </w:pPr>
            <w:r w:rsidRPr="00A60AA1">
              <w:rPr>
                <w:rFonts w:ascii="Times New Roman" w:hAnsi="Times New Roman" w:cs="Times New Roman"/>
                <w:b w:val="0"/>
                <w:i/>
              </w:rPr>
              <w:t xml:space="preserve">One committee member recommended that NwHIN Connect standards also be acceptable. </w:t>
            </w:r>
          </w:p>
          <w:p w:rsidR="008F6B2A" w:rsidRPr="00C4052E" w:rsidRDefault="008F6B2A" w:rsidP="006728F0">
            <w:pPr>
              <w:spacing w:before="40" w:after="60"/>
              <w:rPr>
                <w:rFonts w:ascii="Times New Roman" w:hAnsi="Times New Roman" w:cs="Times New Roman"/>
              </w:rPr>
            </w:pPr>
          </w:p>
        </w:tc>
      </w:tr>
    </w:tbl>
    <w:p w:rsidR="00E30F73" w:rsidRDefault="00E30F73" w:rsidP="00094310">
      <w:pPr>
        <w:tabs>
          <w:tab w:val="left" w:pos="900"/>
          <w:tab w:val="left" w:pos="2790"/>
        </w:tabs>
      </w:pPr>
    </w:p>
    <w:tbl>
      <w:tblPr>
        <w:tblStyle w:val="MediumShading1-Accent11"/>
        <w:tblW w:w="5000" w:type="pct"/>
        <w:tblLook w:val="04A0"/>
      </w:tblPr>
      <w:tblGrid>
        <w:gridCol w:w="14616"/>
      </w:tblGrid>
      <w:tr w:rsidR="00564387" w:rsidRPr="002E56FA">
        <w:trPr>
          <w:cnfStyle w:val="100000000000"/>
          <w:tblHeader/>
        </w:trPr>
        <w:tc>
          <w:tcPr>
            <w:cnfStyle w:val="001000000000"/>
            <w:tcW w:w="5000" w:type="pct"/>
          </w:tcPr>
          <w:p w:rsidR="00564387" w:rsidRPr="002E56FA" w:rsidRDefault="006D4F9F" w:rsidP="00B551EA">
            <w:r>
              <w:t>Interoperability CTEs</w:t>
            </w:r>
          </w:p>
        </w:tc>
      </w:tr>
      <w:tr w:rsidR="00B551EA" w:rsidRPr="00A36FD5">
        <w:trPr>
          <w:cnfStyle w:val="000000100000"/>
        </w:trPr>
        <w:tc>
          <w:tcPr>
            <w:cnfStyle w:val="001000000000"/>
            <w:tcW w:w="5000" w:type="pct"/>
            <w:shd w:val="clear" w:color="auto" w:fill="DBE5F1" w:themeFill="accent1" w:themeFillTint="33"/>
          </w:tcPr>
          <w:p w:rsidR="00B551EA" w:rsidRPr="006D4F9F" w:rsidRDefault="00B551EA" w:rsidP="00B551EA">
            <w:pPr>
              <w:tabs>
                <w:tab w:val="left" w:pos="2323"/>
              </w:tabs>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48</w:t>
            </w:r>
            <w:r w:rsidRPr="004A4EA2">
              <w:rPr>
                <w:rFonts w:ascii="Times New Roman" w:hAnsi="Times New Roman"/>
                <w:sz w:val="24"/>
                <w:szCs w:val="24"/>
                <w:u w:val="single"/>
              </w:rPr>
              <w:t>:</w:t>
            </w:r>
            <w:r>
              <w:rPr>
                <w:rFonts w:ascii="Times New Roman" w:hAnsi="Times New Roman"/>
                <w:sz w:val="24"/>
                <w:szCs w:val="24"/>
              </w:rPr>
              <w:t xml:space="preserve">  </w:t>
            </w:r>
            <w:r w:rsidRPr="00065191">
              <w:rPr>
                <w:rFonts w:ascii="Times New Roman" w:hAnsi="Times New Roman"/>
                <w:sz w:val="24"/>
                <w:szCs w:val="24"/>
              </w:rPr>
              <w:t>Should this CTE require all participants engaged in planned electronic exchange to obtain an organizational (or group) digital certificate consistent with the policies of the Federal Bridge</w:t>
            </w:r>
            <w:r w:rsidRPr="00B551EA">
              <w:rPr>
                <w:rFonts w:ascii="Times New Roman" w:hAnsi="Times New Roman"/>
                <w:vertAlign w:val="superscript"/>
              </w:rPr>
              <w:footnoteReference w:id="3"/>
            </w:r>
            <w:r w:rsidRPr="00065191">
              <w:rPr>
                <w:rFonts w:ascii="Times New Roman" w:hAnsi="Times New Roman"/>
                <w:sz w:val="24"/>
                <w:szCs w:val="24"/>
              </w:rPr>
              <w:t>?</w:t>
            </w:r>
          </w:p>
          <w:p w:rsidR="00B551EA" w:rsidRPr="00A36FD5" w:rsidRDefault="00B551EA" w:rsidP="00B551EA">
            <w:pPr>
              <w:ind w:left="90"/>
              <w:rPr>
                <w:b w:val="0"/>
                <w:bCs w:val="0"/>
                <w:sz w:val="20"/>
                <w:szCs w:val="20"/>
              </w:rPr>
            </w:pPr>
          </w:p>
        </w:tc>
      </w:tr>
      <w:tr w:rsidR="00B551EA"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B551EA" w:rsidRDefault="00B551EA" w:rsidP="00B551EA">
            <w:pPr>
              <w:ind w:left="90"/>
              <w:rPr>
                <w:rFonts w:ascii="Times New Roman" w:hAnsi="Times New Roman"/>
                <w:sz w:val="24"/>
                <w:szCs w:val="24"/>
              </w:rPr>
            </w:pPr>
            <w:r>
              <w:rPr>
                <w:rFonts w:ascii="Times New Roman" w:hAnsi="Times New Roman"/>
                <w:sz w:val="24"/>
                <w:szCs w:val="24"/>
                <w:u w:val="single"/>
              </w:rPr>
              <w:lastRenderedPageBreak/>
              <w:t>Question Context:</w:t>
            </w:r>
            <w:r>
              <w:rPr>
                <w:rFonts w:ascii="Times New Roman" w:hAnsi="Times New Roman"/>
                <w:sz w:val="24"/>
                <w:szCs w:val="24"/>
              </w:rPr>
              <w:t xml:space="preserve">  In reference to CTE [I-2]: </w:t>
            </w:r>
            <w:r w:rsidRPr="007D35EB">
              <w:rPr>
                <w:rFonts w:ascii="Times New Roman" w:hAnsi="Times New Roman"/>
                <w:sz w:val="24"/>
                <w:szCs w:val="24"/>
              </w:rPr>
              <w:t>An NVE must follow required standards for establishing and discovering digital certificates.</w:t>
            </w:r>
          </w:p>
          <w:p w:rsidR="00B551EA" w:rsidRPr="007A6316" w:rsidRDefault="00B551EA" w:rsidP="00B551EA">
            <w:pPr>
              <w:ind w:left="90"/>
              <w:rPr>
                <w:rFonts w:ascii="Times New Roman" w:hAnsi="Times New Roman"/>
                <w:sz w:val="24"/>
                <w:szCs w:val="24"/>
              </w:rPr>
            </w:pPr>
          </w:p>
        </w:tc>
      </w:tr>
      <w:tr w:rsidR="006728F0" w:rsidRPr="00A36FD5">
        <w:trPr>
          <w:cnfStyle w:val="000000100000"/>
        </w:trPr>
        <w:tc>
          <w:tcPr>
            <w:cnfStyle w:val="001000000000"/>
            <w:tcW w:w="5000" w:type="pct"/>
            <w:shd w:val="clear" w:color="auto" w:fill="FFFFFF" w:themeFill="background1"/>
          </w:tcPr>
          <w:p w:rsidR="008F6B2A" w:rsidRPr="00A60AA1" w:rsidRDefault="008F6B2A" w:rsidP="00A60AA1">
            <w:pPr>
              <w:rPr>
                <w:rFonts w:ascii="Times New Roman" w:hAnsi="Times New Roman" w:cs="Times New Roman"/>
                <w:b w:val="0"/>
              </w:rPr>
            </w:pPr>
            <w:r w:rsidRPr="00A60AA1">
              <w:rPr>
                <w:rFonts w:ascii="Times New Roman" w:hAnsi="Times New Roman" w:cs="Times New Roman"/>
                <w:b w:val="0"/>
              </w:rPr>
              <w:t xml:space="preserve">The </w:t>
            </w:r>
            <w:r w:rsidR="00514C5B" w:rsidRPr="00A60AA1">
              <w:rPr>
                <w:rFonts w:ascii="Times New Roman" w:hAnsi="Times New Roman" w:cs="Times New Roman"/>
                <w:b w:val="0"/>
              </w:rPr>
              <w:t>HITPC</w:t>
            </w:r>
            <w:r w:rsidRPr="00A60AA1">
              <w:rPr>
                <w:rFonts w:ascii="Times New Roman" w:hAnsi="Times New Roman" w:cs="Times New Roman"/>
                <w:b w:val="0"/>
              </w:rPr>
              <w:t xml:space="preserve"> recommends that the Interoperability CTE require participants engaged in electronic exchange obtain digital certificates consistent with the policies of Federal Bridge Certification Authority.</w:t>
            </w:r>
          </w:p>
          <w:p w:rsidR="008F6B2A" w:rsidRDefault="008F6B2A" w:rsidP="00A60AA1">
            <w:pPr>
              <w:rPr>
                <w:rFonts w:ascii="Times New Roman" w:hAnsi="Times New Roman" w:cs="Times New Roman"/>
                <w:b w:val="0"/>
              </w:rPr>
            </w:pPr>
            <w:r w:rsidRPr="00A60AA1">
              <w:rPr>
                <w:rFonts w:ascii="Times New Roman" w:hAnsi="Times New Roman" w:cs="Times New Roman"/>
                <w:b w:val="0"/>
              </w:rPr>
              <w:t>Entities serving as NVEs should be permitted to use a market based approach with federal guidance for establishing policies pertaining to organization or group digital certificates.</w:t>
            </w:r>
            <w:r w:rsidR="0017657C" w:rsidRPr="00A60AA1">
              <w:rPr>
                <w:rFonts w:ascii="Times New Roman" w:hAnsi="Times New Roman" w:cs="Times New Roman"/>
                <w:b w:val="0"/>
              </w:rPr>
              <w:t xml:space="preserve">  </w:t>
            </w:r>
          </w:p>
          <w:p w:rsidR="00A60AA1" w:rsidRDefault="00A60AA1" w:rsidP="00A60AA1">
            <w:pPr>
              <w:spacing w:before="40" w:after="60"/>
              <w:rPr>
                <w:rFonts w:ascii="Times New Roman" w:hAnsi="Times New Roman" w:cs="Times New Roman"/>
                <w:b w:val="0"/>
              </w:rPr>
            </w:pPr>
            <w:r w:rsidRPr="00BE145A">
              <w:rPr>
                <w:rFonts w:ascii="Times New Roman" w:hAnsi="Times New Roman" w:cs="Times New Roman"/>
                <w:b w:val="0"/>
              </w:rPr>
              <w:t>The Health IT Policy Committee previously stated that NwHIN certificates be issued at an organization/entity level, with a high degree of assurance as to the organization/entity’s identity.  The certificate also should be acceptable to federal agencies.  Consistent with these principles, the Committee specifically recommended that certificates meet Federal Bridge standards and must be issued by a Certificate Authority (or one of its authorized resellers) that is a member of the Federal PKI framework.</w:t>
            </w:r>
          </w:p>
          <w:p w:rsidR="00A60AA1" w:rsidRPr="00BE145A" w:rsidRDefault="00A60AA1" w:rsidP="00A60AA1">
            <w:pPr>
              <w:pStyle w:val="ListParagraph"/>
              <w:ind w:left="0"/>
              <w:rPr>
                <w:rFonts w:ascii="Times New Roman" w:hAnsi="Times New Roman" w:cs="Times New Roman"/>
                <w:b w:val="0"/>
              </w:rPr>
            </w:pPr>
            <w:r w:rsidRPr="00BE145A">
              <w:rPr>
                <w:rFonts w:ascii="Times New Roman" w:hAnsi="Times New Roman" w:cs="Times New Roman"/>
                <w:b w:val="0"/>
              </w:rPr>
              <w:t xml:space="preserve">It is not clear that the above policy objectives endorsed by the Committee can be met through Federal Bridge certification.  This is an evolving field, and ONC is still investigating the whether Federal Bridge certification is possible.  The </w:t>
            </w:r>
            <w:r w:rsidR="00864FA7">
              <w:rPr>
                <w:rFonts w:ascii="Times New Roman" w:hAnsi="Times New Roman" w:cs="Times New Roman"/>
                <w:b w:val="0"/>
              </w:rPr>
              <w:t>HITPC</w:t>
            </w:r>
            <w:r w:rsidRPr="00BE145A">
              <w:rPr>
                <w:rFonts w:ascii="Times New Roman" w:hAnsi="Times New Roman" w:cs="Times New Roman"/>
                <w:b w:val="0"/>
              </w:rPr>
              <w:t xml:space="preserve"> recommends that ONC, as quickly as possible, seek a solution for NwHIN exchange that meets the initial policy objectives recommended by the Policy Committee.</w:t>
            </w:r>
          </w:p>
          <w:p w:rsidR="008F6B2A" w:rsidRPr="00A3427C" w:rsidRDefault="008F6B2A" w:rsidP="006728F0">
            <w:pPr>
              <w:spacing w:before="40" w:after="60"/>
              <w:rPr>
                <w:rFonts w:ascii="Times New Roman" w:hAnsi="Times New Roman" w:cs="Times New Roman"/>
              </w:rPr>
            </w:pPr>
          </w:p>
        </w:tc>
      </w:tr>
    </w:tbl>
    <w:p w:rsidR="00E07EC2" w:rsidRDefault="00E07EC2" w:rsidP="00094310">
      <w:pPr>
        <w:tabs>
          <w:tab w:val="left" w:pos="900"/>
          <w:tab w:val="left" w:pos="2790"/>
        </w:tabs>
      </w:pPr>
    </w:p>
    <w:tbl>
      <w:tblPr>
        <w:tblStyle w:val="MediumShading1-Accent11"/>
        <w:tblW w:w="5000" w:type="pct"/>
        <w:tblLook w:val="04A0"/>
      </w:tblPr>
      <w:tblGrid>
        <w:gridCol w:w="14616"/>
      </w:tblGrid>
      <w:tr w:rsidR="00564387" w:rsidRPr="002E56FA">
        <w:trPr>
          <w:cnfStyle w:val="100000000000"/>
          <w:tblHeader/>
        </w:trPr>
        <w:tc>
          <w:tcPr>
            <w:cnfStyle w:val="001000000000"/>
            <w:tcW w:w="5000" w:type="pct"/>
          </w:tcPr>
          <w:p w:rsidR="00564387" w:rsidRPr="002E56FA" w:rsidRDefault="00B551EA" w:rsidP="00B551EA">
            <w:r>
              <w:t>Interoperability CTEs</w:t>
            </w:r>
          </w:p>
        </w:tc>
      </w:tr>
      <w:tr w:rsidR="00B551EA" w:rsidRPr="00A36FD5">
        <w:trPr>
          <w:cnfStyle w:val="000000100000"/>
        </w:trPr>
        <w:tc>
          <w:tcPr>
            <w:cnfStyle w:val="001000000000"/>
            <w:tcW w:w="5000" w:type="pct"/>
            <w:shd w:val="clear" w:color="auto" w:fill="DBE5F1" w:themeFill="accent1" w:themeFillTint="33"/>
          </w:tcPr>
          <w:p w:rsidR="00B551EA" w:rsidRPr="006D4F9F" w:rsidRDefault="00B551EA" w:rsidP="00B551EA">
            <w:pPr>
              <w:tabs>
                <w:tab w:val="left" w:pos="2323"/>
              </w:tabs>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49</w:t>
            </w:r>
            <w:r w:rsidRPr="004A4EA2">
              <w:rPr>
                <w:rFonts w:ascii="Times New Roman" w:hAnsi="Times New Roman"/>
                <w:sz w:val="24"/>
                <w:szCs w:val="24"/>
                <w:u w:val="single"/>
              </w:rPr>
              <w:t>:</w:t>
            </w:r>
            <w:r>
              <w:rPr>
                <w:rFonts w:ascii="Times New Roman" w:hAnsi="Times New Roman"/>
                <w:sz w:val="24"/>
                <w:szCs w:val="24"/>
              </w:rPr>
              <w:t xml:space="preserve">  </w:t>
            </w:r>
            <w:r w:rsidRPr="00F77549">
              <w:rPr>
                <w:rFonts w:ascii="Times New Roman" w:hAnsi="Times New Roman"/>
                <w:sz w:val="24"/>
                <w:szCs w:val="24"/>
              </w:rPr>
              <w:t>Should we adopt a CTE that requires NVEs to employ matching algorithms that meet a specific accuracy level or a CTE that limits false positives to certain minimum ratio?  What should the required levels be?</w:t>
            </w:r>
          </w:p>
          <w:p w:rsidR="00B551EA" w:rsidRPr="00A36FD5" w:rsidRDefault="00B551EA" w:rsidP="00B551EA">
            <w:pPr>
              <w:ind w:left="90"/>
              <w:rPr>
                <w:b w:val="0"/>
                <w:bCs w:val="0"/>
                <w:sz w:val="20"/>
                <w:szCs w:val="20"/>
              </w:rPr>
            </w:pPr>
          </w:p>
        </w:tc>
      </w:tr>
      <w:tr w:rsidR="00B551EA"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B551EA" w:rsidRDefault="00B551EA" w:rsidP="00B551EA">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[I-3]: </w:t>
            </w:r>
            <w:r w:rsidRPr="007D35EB">
              <w:rPr>
                <w:rFonts w:ascii="Times New Roman" w:hAnsi="Times New Roman"/>
                <w:sz w:val="24"/>
                <w:szCs w:val="24"/>
              </w:rPr>
              <w:t>An NVE must have the ability to verify and match the subject of a message, including the ability to locate a potential source of available information for a specific subject.</w:t>
            </w:r>
          </w:p>
          <w:p w:rsidR="00B551EA" w:rsidRPr="007A6316" w:rsidRDefault="00B551EA" w:rsidP="00B551EA">
            <w:pPr>
              <w:ind w:left="90"/>
              <w:rPr>
                <w:rFonts w:ascii="Times New Roman" w:hAnsi="Times New Roman"/>
                <w:sz w:val="24"/>
                <w:szCs w:val="24"/>
              </w:rPr>
            </w:pPr>
          </w:p>
        </w:tc>
      </w:tr>
      <w:tr w:rsidR="00B551EA" w:rsidRPr="00A36FD5">
        <w:trPr>
          <w:cnfStyle w:val="000000100000"/>
        </w:trPr>
        <w:tc>
          <w:tcPr>
            <w:cnfStyle w:val="001000000000"/>
            <w:tcW w:w="5000" w:type="pct"/>
            <w:shd w:val="clear" w:color="auto" w:fill="FFFFFF" w:themeFill="background1"/>
          </w:tcPr>
          <w:p w:rsidR="00123A7E" w:rsidRPr="00DB71A4" w:rsidRDefault="00123A7E" w:rsidP="00DB71A4">
            <w:pPr>
              <w:rPr>
                <w:rFonts w:ascii="Times New Roman" w:hAnsi="Times New Roman" w:cs="Times New Roman"/>
                <w:b w:val="0"/>
                <w:color w:val="000000"/>
              </w:rPr>
            </w:pPr>
            <w:r w:rsidRPr="00DB71A4">
              <w:rPr>
                <w:rFonts w:ascii="Times New Roman" w:hAnsi="Times New Roman" w:cs="Times New Roman"/>
                <w:b w:val="0"/>
                <w:color w:val="000000"/>
              </w:rPr>
              <w:t xml:space="preserve">As the Policy Committee previously recommended, ONC should develop and disseminate best practices in improving data capture/data quality and matching accuracy.  </w:t>
            </w:r>
          </w:p>
          <w:p w:rsidR="00DB71A4" w:rsidRDefault="00123A7E" w:rsidP="00DB71A4">
            <w:pPr>
              <w:pStyle w:val="ListParagraph"/>
              <w:widowControl w:val="0"/>
              <w:autoSpaceDE w:val="0"/>
              <w:autoSpaceDN w:val="0"/>
              <w:adjustRightInd w:val="0"/>
              <w:ind w:left="0"/>
              <w:rPr>
                <w:rFonts w:ascii="Times New Roman" w:hAnsi="Times New Roman" w:cs="Times New Roman"/>
                <w:b w:val="0"/>
                <w:color w:val="000000"/>
              </w:rPr>
            </w:pPr>
            <w:r w:rsidRPr="00123A7E">
              <w:rPr>
                <w:rFonts w:ascii="Times New Roman" w:hAnsi="Times New Roman" w:cs="Times New Roman"/>
                <w:b w:val="0"/>
                <w:color w:val="000000"/>
              </w:rPr>
              <w:t xml:space="preserve">The </w:t>
            </w:r>
            <w:r w:rsidR="00DB71A4">
              <w:rPr>
                <w:rFonts w:ascii="Times New Roman" w:hAnsi="Times New Roman" w:cs="Times New Roman"/>
                <w:b w:val="0"/>
                <w:color w:val="000000"/>
              </w:rPr>
              <w:t xml:space="preserve">HITPC further </w:t>
            </w:r>
            <w:r w:rsidRPr="00123A7E">
              <w:rPr>
                <w:rFonts w:ascii="Times New Roman" w:hAnsi="Times New Roman" w:cs="Times New Roman"/>
                <w:b w:val="0"/>
                <w:color w:val="000000"/>
              </w:rPr>
              <w:t>notes that setting specific accuracy levels is premature.  Data matching is an area of rapid evolution, and establishing and disseminating best practices is more desirable (and achievable) than establishing quantified standards or specific numeric targets.</w:t>
            </w:r>
          </w:p>
          <w:p w:rsidR="00123A7E" w:rsidRPr="00123A7E" w:rsidRDefault="00123A7E" w:rsidP="00DB71A4">
            <w:pPr>
              <w:pStyle w:val="ListParagraph"/>
              <w:widowControl w:val="0"/>
              <w:autoSpaceDE w:val="0"/>
              <w:autoSpaceDN w:val="0"/>
              <w:adjustRightInd w:val="0"/>
              <w:ind w:left="0"/>
              <w:rPr>
                <w:rFonts w:ascii="Times New Roman" w:hAnsi="Times New Roman" w:cs="Times New Roman"/>
                <w:b w:val="0"/>
              </w:rPr>
            </w:pPr>
            <w:r w:rsidRPr="00123A7E">
              <w:rPr>
                <w:rFonts w:ascii="Times New Roman" w:hAnsi="Times New Roman" w:cs="Times New Roman"/>
                <w:b w:val="0"/>
                <w:color w:val="000000"/>
              </w:rPr>
              <w:t>Also consistent with past recommendation, NVEs should have a process in place to (1) evaluate the effectiveness of their matching strategies in achieving matching accuracy on an ongoing basis and (2) use such evaluations to internally improve matching accuracy.</w:t>
            </w:r>
          </w:p>
          <w:p w:rsidR="00A60AA1" w:rsidRPr="00A60AA1" w:rsidRDefault="00A60AA1" w:rsidP="00A60AA1">
            <w:pPr>
              <w:rPr>
                <w:rFonts w:ascii="Times New Roman" w:hAnsi="Times New Roman"/>
                <w:b w:val="0"/>
              </w:rPr>
            </w:pPr>
            <w:r w:rsidRPr="00A60AA1">
              <w:rPr>
                <w:rFonts w:ascii="Times New Roman" w:hAnsi="Times New Roman"/>
                <w:b w:val="0"/>
              </w:rPr>
              <w:t>The HITPC does not recommend establishing a universal accuracy level or minimal error ratio for all NVEs.</w:t>
            </w:r>
          </w:p>
          <w:p w:rsidR="00A60AA1" w:rsidRPr="00A60AA1" w:rsidRDefault="00A60AA1" w:rsidP="00A60AA1">
            <w:pPr>
              <w:rPr>
                <w:rFonts w:ascii="Times New Roman" w:hAnsi="Times New Roman"/>
                <w:b w:val="0"/>
              </w:rPr>
            </w:pPr>
            <w:r w:rsidRPr="00A60AA1">
              <w:rPr>
                <w:rFonts w:ascii="Times New Roman" w:hAnsi="Times New Roman"/>
                <w:b w:val="0"/>
              </w:rPr>
              <w:t>Matching algorithms may not be appropriate for NVEs that act as a relay system without storing or analyzing data. Entities serving as NVEs should look to market and industry requirements, with federal guidance, for establishing patient matching accuracy levels appropriate to their services.</w:t>
            </w:r>
          </w:p>
          <w:p w:rsidR="00A60AA1" w:rsidRPr="00A60AA1" w:rsidRDefault="00A60AA1" w:rsidP="00A60AA1">
            <w:pPr>
              <w:rPr>
                <w:rFonts w:ascii="Times New Roman" w:hAnsi="Times New Roman"/>
                <w:b w:val="0"/>
              </w:rPr>
            </w:pPr>
            <w:r w:rsidRPr="00A60AA1">
              <w:rPr>
                <w:rFonts w:ascii="Times New Roman" w:hAnsi="Times New Roman"/>
                <w:b w:val="0"/>
              </w:rPr>
              <w:t xml:space="preserve">This CTE could be applied to NVEs that are operating under a public health utility model or are building repositories of patient information. In these instances, Public Health usually has to match at two levels of interest: 1. At the patient level and 2. At the unit of interest such as a vaccine. Creating a minimal ratio for each matching level would be more appropriate than establishing a universal accuracy level. </w:t>
            </w:r>
          </w:p>
          <w:p w:rsidR="00A60AA1" w:rsidRPr="00A60AA1" w:rsidRDefault="00A60AA1" w:rsidP="00A60AA1">
            <w:pPr>
              <w:rPr>
                <w:rFonts w:ascii="Times New Roman" w:hAnsi="Times New Roman"/>
                <w:b w:val="0"/>
              </w:rPr>
            </w:pPr>
            <w:r w:rsidRPr="00A60AA1">
              <w:rPr>
                <w:rFonts w:ascii="Times New Roman" w:hAnsi="Times New Roman"/>
                <w:b w:val="0"/>
              </w:rPr>
              <w:t>Pilot projects should be considered to explore the role of an NVE in patient or unit matching services.</w:t>
            </w:r>
          </w:p>
          <w:p w:rsidR="00A60AA1" w:rsidRPr="00A60AA1" w:rsidRDefault="00A60AA1" w:rsidP="00A60AA1">
            <w:pPr>
              <w:rPr>
                <w:rFonts w:ascii="Times New Roman" w:hAnsi="Times New Roman"/>
                <w:b w:val="0"/>
              </w:rPr>
            </w:pPr>
          </w:p>
          <w:p w:rsidR="00A60AA1" w:rsidRPr="00A60AA1" w:rsidRDefault="00A60AA1" w:rsidP="00A60AA1">
            <w:pPr>
              <w:rPr>
                <w:rFonts w:ascii="Times New Roman" w:hAnsi="Times New Roman"/>
                <w:b w:val="0"/>
                <w:i/>
              </w:rPr>
            </w:pPr>
            <w:r w:rsidRPr="00A60AA1">
              <w:rPr>
                <w:rFonts w:ascii="Times New Roman" w:hAnsi="Times New Roman"/>
                <w:b w:val="0"/>
                <w:i/>
              </w:rPr>
              <w:t>One member suggested that ONC focus on standardizing data sets rather than algorithms.</w:t>
            </w:r>
          </w:p>
          <w:p w:rsidR="00B551EA" w:rsidRPr="00BE145A" w:rsidRDefault="00B551EA" w:rsidP="00B551EA">
            <w:pPr>
              <w:tabs>
                <w:tab w:val="left" w:pos="1440"/>
              </w:tabs>
              <w:spacing w:before="40" w:after="60"/>
              <w:rPr>
                <w:rFonts w:ascii="Times New Roman" w:hAnsi="Times New Roman" w:cs="Times New Roman"/>
                <w:b w:val="0"/>
              </w:rPr>
            </w:pPr>
          </w:p>
        </w:tc>
      </w:tr>
    </w:tbl>
    <w:p w:rsidR="00564387" w:rsidRDefault="00564387" w:rsidP="00094310">
      <w:pPr>
        <w:tabs>
          <w:tab w:val="left" w:pos="900"/>
          <w:tab w:val="left" w:pos="2790"/>
        </w:tabs>
      </w:pPr>
    </w:p>
    <w:tbl>
      <w:tblPr>
        <w:tblStyle w:val="MediumShading1-Accent11"/>
        <w:tblW w:w="5000" w:type="pct"/>
        <w:tblLook w:val="04A0"/>
      </w:tblPr>
      <w:tblGrid>
        <w:gridCol w:w="14616"/>
      </w:tblGrid>
      <w:tr w:rsidR="00564387" w:rsidRPr="002E56FA">
        <w:trPr>
          <w:cnfStyle w:val="100000000000"/>
          <w:tblHeader/>
        </w:trPr>
        <w:tc>
          <w:tcPr>
            <w:cnfStyle w:val="001000000000"/>
            <w:tcW w:w="5000" w:type="pct"/>
          </w:tcPr>
          <w:p w:rsidR="00564387" w:rsidRPr="002E56FA" w:rsidRDefault="00B551EA" w:rsidP="00B551EA">
            <w:r>
              <w:t>Interoperability CTEs</w:t>
            </w:r>
          </w:p>
        </w:tc>
      </w:tr>
      <w:tr w:rsidR="00B551EA" w:rsidRPr="00A36FD5">
        <w:trPr>
          <w:cnfStyle w:val="000000100000"/>
        </w:trPr>
        <w:tc>
          <w:tcPr>
            <w:cnfStyle w:val="001000000000"/>
            <w:tcW w:w="5000" w:type="pct"/>
            <w:shd w:val="clear" w:color="auto" w:fill="DBE5F1" w:themeFill="accent1" w:themeFillTint="33"/>
          </w:tcPr>
          <w:p w:rsidR="00B551EA" w:rsidRDefault="00B551EA" w:rsidP="00B551EA">
            <w:pPr>
              <w:tabs>
                <w:tab w:val="left" w:pos="2323"/>
              </w:tabs>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50</w:t>
            </w:r>
            <w:r w:rsidRPr="004A4EA2">
              <w:rPr>
                <w:rFonts w:ascii="Times New Roman" w:hAnsi="Times New Roman"/>
                <w:sz w:val="24"/>
                <w:szCs w:val="24"/>
                <w:u w:val="single"/>
              </w:rPr>
              <w:t>:</w:t>
            </w:r>
            <w:r>
              <w:rPr>
                <w:rFonts w:ascii="Times New Roman" w:hAnsi="Times New Roman"/>
                <w:sz w:val="24"/>
                <w:szCs w:val="24"/>
              </w:rPr>
              <w:t xml:space="preserve">  </w:t>
            </w:r>
            <w:r w:rsidRPr="00F77549">
              <w:rPr>
                <w:rFonts w:ascii="Times New Roman" w:hAnsi="Times New Roman"/>
                <w:sz w:val="24"/>
                <w:szCs w:val="24"/>
              </w:rPr>
              <w:t>What core data elements should be included for patient matching queries?</w:t>
            </w:r>
          </w:p>
          <w:p w:rsidR="00B551EA" w:rsidRPr="00A36FD5" w:rsidRDefault="00B551EA" w:rsidP="00B551EA">
            <w:pPr>
              <w:tabs>
                <w:tab w:val="left" w:pos="2323"/>
              </w:tabs>
              <w:ind w:left="90"/>
              <w:rPr>
                <w:b w:val="0"/>
                <w:bCs w:val="0"/>
                <w:sz w:val="20"/>
                <w:szCs w:val="20"/>
              </w:rPr>
            </w:pPr>
          </w:p>
        </w:tc>
      </w:tr>
      <w:tr w:rsidR="00B551EA"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B551EA" w:rsidRDefault="00B551EA" w:rsidP="00B551EA">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[I-3]: </w:t>
            </w:r>
            <w:r w:rsidRPr="007D35EB">
              <w:rPr>
                <w:rFonts w:ascii="Times New Roman" w:hAnsi="Times New Roman"/>
                <w:sz w:val="24"/>
                <w:szCs w:val="24"/>
              </w:rPr>
              <w:t>An NVE must have the ability to verify and match the subject of a message, including the ability to locate a potential source of available information for a specific subject.</w:t>
            </w:r>
          </w:p>
          <w:p w:rsidR="00B551EA" w:rsidRPr="007A6316" w:rsidRDefault="00B551EA" w:rsidP="00B551EA">
            <w:pPr>
              <w:ind w:left="90"/>
              <w:rPr>
                <w:rFonts w:ascii="Times New Roman" w:hAnsi="Times New Roman"/>
                <w:sz w:val="24"/>
                <w:szCs w:val="24"/>
              </w:rPr>
            </w:pPr>
          </w:p>
        </w:tc>
      </w:tr>
      <w:tr w:rsidR="00B551EA" w:rsidRPr="00A36FD5">
        <w:trPr>
          <w:cnfStyle w:val="000000100000"/>
        </w:trPr>
        <w:tc>
          <w:tcPr>
            <w:cnfStyle w:val="001000000000"/>
            <w:tcW w:w="5000" w:type="pct"/>
            <w:shd w:val="clear" w:color="auto" w:fill="FFFFFF" w:themeFill="background1"/>
          </w:tcPr>
          <w:p w:rsidR="00EB6DB5" w:rsidRPr="00EB6DB5" w:rsidRDefault="00EB6DB5" w:rsidP="00DD599E">
            <w:pPr>
              <w:tabs>
                <w:tab w:val="left" w:pos="1440"/>
              </w:tabs>
              <w:spacing w:before="40" w:after="60"/>
              <w:rPr>
                <w:rFonts w:ascii="Times New Roman" w:hAnsi="Times New Roman" w:cs="Times New Roman"/>
                <w:b w:val="0"/>
              </w:rPr>
            </w:pPr>
            <w:r w:rsidRPr="00EB6DB5">
              <w:rPr>
                <w:rFonts w:ascii="Times New Roman" w:hAnsi="Times New Roman" w:cs="Times New Roman"/>
                <w:b w:val="0"/>
                <w:color w:val="000000"/>
              </w:rPr>
              <w:t xml:space="preserve">The </w:t>
            </w:r>
            <w:r w:rsidR="00864FA7">
              <w:rPr>
                <w:rFonts w:ascii="Times New Roman" w:hAnsi="Times New Roman" w:cs="Times New Roman"/>
                <w:b w:val="0"/>
                <w:color w:val="000000"/>
              </w:rPr>
              <w:t>HITPC</w:t>
            </w:r>
            <w:r w:rsidRPr="00EB6DB5">
              <w:rPr>
                <w:rFonts w:ascii="Times New Roman" w:hAnsi="Times New Roman" w:cs="Times New Roman"/>
                <w:b w:val="0"/>
                <w:color w:val="000000"/>
              </w:rPr>
              <w:t xml:space="preserve"> previously observed that the use of any particular data field should not be required for matching, as choice of fields used to match depends on a number of factors, including the purpose of the data access.  Universal identifiers are not a panacea.</w:t>
            </w:r>
          </w:p>
          <w:p w:rsidR="00A60AA1" w:rsidRPr="00DB71A4" w:rsidRDefault="00A60AA1" w:rsidP="00A60AA1">
            <w:pPr>
              <w:rPr>
                <w:rFonts w:ascii="Times New Roman" w:hAnsi="Times New Roman"/>
                <w:b w:val="0"/>
              </w:rPr>
            </w:pPr>
            <w:r w:rsidRPr="00DB71A4">
              <w:rPr>
                <w:rFonts w:ascii="Times New Roman" w:hAnsi="Times New Roman"/>
                <w:b w:val="0"/>
              </w:rPr>
              <w:t xml:space="preserve">The HITPC recommends dropping Condition I-3 as a requirement for every NVE’s validation. Establishing core data elements needed for patient matching is best left to those NVEs sending and receiving patient information or otherwise working with systems able to produce unique patient identifiers. </w:t>
            </w:r>
          </w:p>
          <w:p w:rsidR="00B551EA" w:rsidRPr="00EB6DB5" w:rsidRDefault="00B551EA" w:rsidP="00B551EA">
            <w:pPr>
              <w:tabs>
                <w:tab w:val="left" w:pos="1440"/>
              </w:tabs>
              <w:spacing w:before="40" w:after="60"/>
              <w:rPr>
                <w:rFonts w:ascii="Times New Roman" w:hAnsi="Times New Roman" w:cs="Times New Roman"/>
                <w:b w:val="0"/>
              </w:rPr>
            </w:pPr>
          </w:p>
        </w:tc>
      </w:tr>
    </w:tbl>
    <w:p w:rsidR="00564387" w:rsidRDefault="00564387" w:rsidP="00094310">
      <w:pPr>
        <w:tabs>
          <w:tab w:val="left" w:pos="900"/>
          <w:tab w:val="left" w:pos="2790"/>
        </w:tabs>
      </w:pPr>
    </w:p>
    <w:tbl>
      <w:tblPr>
        <w:tblStyle w:val="MediumShading1-Accent11"/>
        <w:tblW w:w="5000" w:type="pct"/>
        <w:tblLook w:val="04A0"/>
      </w:tblPr>
      <w:tblGrid>
        <w:gridCol w:w="14616"/>
      </w:tblGrid>
      <w:tr w:rsidR="00564387" w:rsidRPr="002E56FA">
        <w:trPr>
          <w:cnfStyle w:val="100000000000"/>
          <w:tblHeader/>
        </w:trPr>
        <w:tc>
          <w:tcPr>
            <w:cnfStyle w:val="001000000000"/>
            <w:tcW w:w="5000" w:type="pct"/>
          </w:tcPr>
          <w:p w:rsidR="00564387" w:rsidRPr="002E56FA" w:rsidRDefault="00B551EA" w:rsidP="00B551EA">
            <w:r>
              <w:t>Interoperability CTEs</w:t>
            </w:r>
          </w:p>
        </w:tc>
      </w:tr>
      <w:tr w:rsidR="00B551EA" w:rsidRPr="00A36FD5">
        <w:trPr>
          <w:cnfStyle w:val="000000100000"/>
        </w:trPr>
        <w:tc>
          <w:tcPr>
            <w:cnfStyle w:val="001000000000"/>
            <w:tcW w:w="5000" w:type="pct"/>
            <w:shd w:val="clear" w:color="auto" w:fill="DBE5F1" w:themeFill="accent1" w:themeFillTint="33"/>
          </w:tcPr>
          <w:p w:rsidR="00B551EA" w:rsidRDefault="00B551EA" w:rsidP="00B551EA">
            <w:pPr>
              <w:tabs>
                <w:tab w:val="left" w:pos="2323"/>
              </w:tabs>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51</w:t>
            </w:r>
            <w:r w:rsidRPr="004A4EA2">
              <w:rPr>
                <w:rFonts w:ascii="Times New Roman" w:hAnsi="Times New Roman"/>
                <w:sz w:val="24"/>
                <w:szCs w:val="24"/>
                <w:u w:val="single"/>
              </w:rPr>
              <w:t>:</w:t>
            </w:r>
            <w:r>
              <w:rPr>
                <w:rFonts w:ascii="Times New Roman" w:hAnsi="Times New Roman"/>
                <w:sz w:val="24"/>
                <w:szCs w:val="24"/>
              </w:rPr>
              <w:t xml:space="preserve">  </w:t>
            </w:r>
            <w:r w:rsidRPr="00065191">
              <w:rPr>
                <w:rFonts w:ascii="Times New Roman" w:hAnsi="Times New Roman"/>
                <w:sz w:val="24"/>
                <w:szCs w:val="24"/>
              </w:rPr>
              <w:t>What standards should we consider for patient matching queries?</w:t>
            </w:r>
          </w:p>
          <w:p w:rsidR="00B551EA" w:rsidRPr="00A36FD5" w:rsidRDefault="00B551EA" w:rsidP="00B551EA">
            <w:pPr>
              <w:tabs>
                <w:tab w:val="left" w:pos="2323"/>
              </w:tabs>
              <w:ind w:left="90"/>
              <w:rPr>
                <w:b w:val="0"/>
                <w:bCs w:val="0"/>
                <w:sz w:val="20"/>
                <w:szCs w:val="20"/>
              </w:rPr>
            </w:pPr>
          </w:p>
        </w:tc>
      </w:tr>
      <w:tr w:rsidR="00B551EA" w:rsidRPr="007A6316">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B551EA" w:rsidRDefault="00B551EA" w:rsidP="00B551EA">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[I-3]: </w:t>
            </w:r>
            <w:r w:rsidRPr="007D35EB">
              <w:rPr>
                <w:rFonts w:ascii="Times New Roman" w:hAnsi="Times New Roman"/>
                <w:sz w:val="24"/>
                <w:szCs w:val="24"/>
              </w:rPr>
              <w:t>An NVE must have the ability to verify and match the subject of a message, including the ability to locate a potential source of available information for a specific subject.</w:t>
            </w:r>
          </w:p>
          <w:p w:rsidR="00B551EA" w:rsidRPr="007A6316" w:rsidRDefault="00B551EA" w:rsidP="00B551EA">
            <w:pPr>
              <w:ind w:left="90"/>
              <w:rPr>
                <w:rFonts w:ascii="Times New Roman" w:hAnsi="Times New Roman"/>
                <w:sz w:val="24"/>
                <w:szCs w:val="24"/>
              </w:rPr>
            </w:pPr>
          </w:p>
        </w:tc>
      </w:tr>
      <w:tr w:rsidR="002D1BBC" w:rsidRPr="00A36FD5">
        <w:trPr>
          <w:cnfStyle w:val="000000100000"/>
        </w:trPr>
        <w:tc>
          <w:tcPr>
            <w:cnfStyle w:val="001000000000"/>
            <w:tcW w:w="5000" w:type="pct"/>
            <w:shd w:val="clear" w:color="auto" w:fill="FFFFFF" w:themeFill="background1"/>
          </w:tcPr>
          <w:p w:rsidR="002D1BBC" w:rsidRPr="00FC54EB" w:rsidRDefault="00FC54EB" w:rsidP="006B70B7">
            <w:pPr>
              <w:tabs>
                <w:tab w:val="left" w:pos="1440"/>
              </w:tabs>
              <w:spacing w:before="40" w:after="60"/>
              <w:rPr>
                <w:rFonts w:ascii="Times New Roman" w:hAnsi="Times New Roman" w:cs="Times New Roman"/>
                <w:b w:val="0"/>
              </w:rPr>
            </w:pPr>
            <w:r>
              <w:rPr>
                <w:rFonts w:ascii="Times New Roman" w:hAnsi="Times New Roman" w:cs="Times New Roman"/>
                <w:b w:val="0"/>
              </w:rPr>
              <w:t xml:space="preserve">See Q. 50. </w:t>
            </w:r>
          </w:p>
          <w:p w:rsidR="002D1BBC" w:rsidRPr="00FC54EB" w:rsidRDefault="002D1BBC" w:rsidP="006B70B7">
            <w:pPr>
              <w:tabs>
                <w:tab w:val="left" w:pos="1440"/>
              </w:tabs>
              <w:spacing w:before="40" w:after="60"/>
              <w:rPr>
                <w:rFonts w:ascii="Times New Roman" w:hAnsi="Times New Roman" w:cs="Times New Roman"/>
                <w:b w:val="0"/>
              </w:rPr>
            </w:pPr>
          </w:p>
          <w:p w:rsidR="00A60AA1" w:rsidRPr="00A60AA1" w:rsidRDefault="00A60AA1" w:rsidP="00A60AA1">
            <w:pPr>
              <w:rPr>
                <w:rFonts w:ascii="Times New Roman" w:hAnsi="Times New Roman"/>
                <w:b w:val="0"/>
              </w:rPr>
            </w:pPr>
            <w:r w:rsidRPr="00A60AA1">
              <w:rPr>
                <w:rFonts w:ascii="Times New Roman" w:hAnsi="Times New Roman"/>
                <w:b w:val="0"/>
              </w:rPr>
              <w:t xml:space="preserve">The Privacy and Security Tiger Team’s recent efforts to create patient identification and matching standards should be used to inform this CTE. </w:t>
            </w:r>
          </w:p>
          <w:p w:rsidR="002D1BBC" w:rsidRPr="00FC54EB" w:rsidRDefault="002D1BBC" w:rsidP="006B70B7">
            <w:pPr>
              <w:tabs>
                <w:tab w:val="left" w:pos="1440"/>
              </w:tabs>
              <w:spacing w:before="40" w:after="60"/>
              <w:rPr>
                <w:rFonts w:ascii="Times New Roman" w:hAnsi="Times New Roman" w:cs="Times New Roman"/>
                <w:b w:val="0"/>
              </w:rPr>
            </w:pPr>
          </w:p>
        </w:tc>
      </w:tr>
    </w:tbl>
    <w:p w:rsidR="00564387" w:rsidRPr="00A36FD5" w:rsidRDefault="00564387" w:rsidP="00094310">
      <w:pPr>
        <w:tabs>
          <w:tab w:val="left" w:pos="900"/>
          <w:tab w:val="left" w:pos="2790"/>
        </w:tabs>
      </w:pPr>
    </w:p>
    <w:tbl>
      <w:tblPr>
        <w:tblStyle w:val="MediumShading1-Accent11"/>
        <w:tblW w:w="5000" w:type="pct"/>
        <w:tblLook w:val="04A0"/>
      </w:tblPr>
      <w:tblGrid>
        <w:gridCol w:w="14616"/>
      </w:tblGrid>
      <w:tr w:rsidR="00564387" w:rsidRPr="002E56FA">
        <w:trPr>
          <w:cnfStyle w:val="100000000000"/>
          <w:tblHeader/>
        </w:trPr>
        <w:tc>
          <w:tcPr>
            <w:cnfStyle w:val="001000000000"/>
            <w:tcW w:w="5000" w:type="pct"/>
          </w:tcPr>
          <w:p w:rsidR="00564387" w:rsidRPr="002E56FA" w:rsidRDefault="00B551EA" w:rsidP="00B551EA">
            <w:r>
              <w:t>Business Practices</w:t>
            </w:r>
          </w:p>
        </w:tc>
      </w:tr>
      <w:tr w:rsidR="00564387" w:rsidRPr="00A36FD5">
        <w:trPr>
          <w:cnfStyle w:val="000000100000"/>
        </w:trPr>
        <w:tc>
          <w:tcPr>
            <w:cnfStyle w:val="001000000000"/>
            <w:tcW w:w="5000" w:type="pct"/>
            <w:shd w:val="clear" w:color="auto" w:fill="DBE5F1" w:themeFill="accent1" w:themeFillTint="33"/>
          </w:tcPr>
          <w:p w:rsidR="00B551EA" w:rsidRDefault="00B551EA" w:rsidP="00B551EA">
            <w:pPr>
              <w:tabs>
                <w:tab w:val="left" w:pos="2323"/>
              </w:tabs>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52</w:t>
            </w:r>
            <w:r w:rsidRPr="004A4EA2">
              <w:rPr>
                <w:rFonts w:ascii="Times New Roman" w:hAnsi="Times New Roman"/>
                <w:sz w:val="24"/>
                <w:szCs w:val="24"/>
                <w:u w:val="single"/>
              </w:rPr>
              <w:t>:</w:t>
            </w:r>
            <w:r>
              <w:rPr>
                <w:rFonts w:ascii="Times New Roman" w:hAnsi="Times New Roman"/>
                <w:sz w:val="24"/>
                <w:szCs w:val="24"/>
              </w:rPr>
              <w:t xml:space="preserve">  </w:t>
            </w:r>
            <w:r w:rsidRPr="00362DBE">
              <w:rPr>
                <w:rFonts w:ascii="Times New Roman" w:hAnsi="Times New Roman"/>
                <w:sz w:val="24"/>
                <w:szCs w:val="24"/>
              </w:rPr>
              <w:t>Should this CTE be limited to only preventing one NVE from imposing a financial precondition on another NVE (such as fees), or should it be broader to cover other instances in which an NVE could create an inequitable electronic exchange environment?</w:t>
            </w:r>
          </w:p>
          <w:p w:rsidR="00564387" w:rsidRPr="00A36FD5" w:rsidRDefault="00564387" w:rsidP="00B551EA">
            <w:pPr>
              <w:ind w:left="90"/>
              <w:rPr>
                <w:b w:val="0"/>
                <w:bCs w:val="0"/>
                <w:sz w:val="20"/>
                <w:szCs w:val="20"/>
              </w:rPr>
            </w:pPr>
          </w:p>
        </w:tc>
      </w:tr>
      <w:tr w:rsidR="00564387"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B551EA" w:rsidRDefault="00B551EA" w:rsidP="00B551EA">
            <w:pPr>
              <w:ind w:left="90"/>
              <w:rPr>
                <w:rFonts w:ascii="Times New Roman" w:hAnsi="Times New Roman"/>
                <w:sz w:val="24"/>
                <w:szCs w:val="24"/>
              </w:rPr>
            </w:pPr>
            <w:r>
              <w:rPr>
                <w:rFonts w:ascii="Times New Roman" w:hAnsi="Times New Roman"/>
                <w:sz w:val="24"/>
                <w:szCs w:val="24"/>
                <w:u w:val="single"/>
              </w:rPr>
              <w:lastRenderedPageBreak/>
              <w:t>Question Context:</w:t>
            </w:r>
            <w:r>
              <w:rPr>
                <w:rFonts w:ascii="Times New Roman" w:hAnsi="Times New Roman"/>
                <w:sz w:val="24"/>
                <w:szCs w:val="24"/>
              </w:rPr>
              <w:t xml:space="preserve">  In reference to CTE [BP-1]: </w:t>
            </w:r>
            <w:r w:rsidRPr="00CD56C3">
              <w:rPr>
                <w:rFonts w:ascii="Times New Roman" w:hAnsi="Times New Roman"/>
                <w:sz w:val="24"/>
                <w:szCs w:val="24"/>
              </w:rPr>
              <w:t>An NVE must send and receive any planned electronic exchange message from another NVE without imposing financial preconditions on any other NVE.</w:t>
            </w:r>
          </w:p>
          <w:p w:rsidR="00564387" w:rsidRPr="00A36FD5" w:rsidRDefault="00564387" w:rsidP="00B551EA">
            <w:pPr>
              <w:spacing w:after="60"/>
              <w:ind w:left="86" w:hanging="86"/>
              <w:rPr>
                <w:sz w:val="20"/>
                <w:szCs w:val="20"/>
              </w:rPr>
            </w:pPr>
          </w:p>
        </w:tc>
      </w:tr>
      <w:tr w:rsidR="00564387" w:rsidRPr="00A36FD5">
        <w:trPr>
          <w:cnfStyle w:val="000000100000"/>
        </w:trPr>
        <w:tc>
          <w:tcPr>
            <w:cnfStyle w:val="001000000000"/>
            <w:tcW w:w="5000" w:type="pct"/>
            <w:shd w:val="clear" w:color="auto" w:fill="FFFFFF" w:themeFill="background1"/>
          </w:tcPr>
          <w:p w:rsidR="00564387" w:rsidRPr="00DA4971" w:rsidRDefault="00AB2CFD" w:rsidP="00DA4971">
            <w:pPr>
              <w:spacing w:before="40" w:after="60"/>
              <w:rPr>
                <w:rFonts w:ascii="Times New Roman" w:hAnsi="Times New Roman" w:cs="Times New Roman"/>
              </w:rPr>
            </w:pPr>
            <w:r w:rsidRPr="00FC54EB">
              <w:rPr>
                <w:rFonts w:ascii="Times New Roman" w:hAnsi="Times New Roman" w:cs="Times New Roman"/>
                <w:b w:val="0"/>
              </w:rPr>
              <w:t>See g</w:t>
            </w:r>
            <w:r w:rsidR="00C1592A" w:rsidRPr="00FC54EB">
              <w:rPr>
                <w:rFonts w:ascii="Times New Roman" w:hAnsi="Times New Roman" w:cs="Times New Roman"/>
                <w:b w:val="0"/>
              </w:rPr>
              <w:t xml:space="preserve">eneral overarching comment at beginning.  It </w:t>
            </w:r>
            <w:r w:rsidRPr="00FC54EB">
              <w:rPr>
                <w:rFonts w:ascii="Times New Roman" w:hAnsi="Times New Roman" w:cs="Times New Roman"/>
                <w:b w:val="0"/>
              </w:rPr>
              <w:t xml:space="preserve">could be difficult to determine if an NVE is creating an inequitable exchange environment.  The </w:t>
            </w:r>
            <w:r w:rsidR="00776E47">
              <w:rPr>
                <w:rFonts w:ascii="Times New Roman" w:hAnsi="Times New Roman" w:cs="Times New Roman"/>
                <w:b w:val="0"/>
              </w:rPr>
              <w:t>HITPC</w:t>
            </w:r>
            <w:r w:rsidRPr="00FC54EB">
              <w:rPr>
                <w:rFonts w:ascii="Times New Roman" w:hAnsi="Times New Roman" w:cs="Times New Roman"/>
                <w:b w:val="0"/>
              </w:rPr>
              <w:t xml:space="preserve"> does not support requiring NVEs to publish their fee structures, because pricing is both complicated and proprietary.</w:t>
            </w:r>
          </w:p>
          <w:p w:rsidR="00A60AA1" w:rsidRPr="00A60AA1" w:rsidRDefault="00A60AA1" w:rsidP="00A60AA1">
            <w:pPr>
              <w:rPr>
                <w:rFonts w:ascii="Times New Roman" w:hAnsi="Times New Roman"/>
                <w:b w:val="0"/>
              </w:rPr>
            </w:pPr>
            <w:r w:rsidRPr="00A60AA1">
              <w:rPr>
                <w:rFonts w:ascii="Times New Roman" w:hAnsi="Times New Roman"/>
                <w:b w:val="0"/>
              </w:rPr>
              <w:t>The HITPC recommends using a net neutrality framework that encourages an open network and level playing field for all providers to participate in health information exchange. Providers using one NVE should be able to easily and without precondition send information to providers using another NVE.</w:t>
            </w:r>
          </w:p>
          <w:p w:rsidR="00A60AA1" w:rsidRPr="00A60AA1" w:rsidRDefault="00A60AA1" w:rsidP="00A60AA1">
            <w:pPr>
              <w:rPr>
                <w:rFonts w:ascii="Times New Roman" w:hAnsi="Times New Roman"/>
                <w:b w:val="0"/>
              </w:rPr>
            </w:pPr>
            <w:r w:rsidRPr="00A60AA1">
              <w:rPr>
                <w:rFonts w:ascii="Times New Roman" w:hAnsi="Times New Roman"/>
                <w:b w:val="0"/>
              </w:rPr>
              <w:t>While fees might be permitted in some cases, the framework should a) prohibit NVEs with large market shares from using their influence to impose excessive fees on their customers as well as other NVEs and b) avoid the need for NVEs to negotiate business agreements with each other before their customers can exchange information.</w:t>
            </w:r>
          </w:p>
          <w:p w:rsidR="00A60AA1" w:rsidRPr="00A60AA1" w:rsidRDefault="00A60AA1" w:rsidP="00A60AA1">
            <w:pPr>
              <w:rPr>
                <w:rFonts w:ascii="Times New Roman" w:hAnsi="Times New Roman"/>
                <w:b w:val="0"/>
              </w:rPr>
            </w:pPr>
            <w:r w:rsidRPr="00A60AA1">
              <w:rPr>
                <w:rFonts w:ascii="Times New Roman" w:hAnsi="Times New Roman"/>
                <w:b w:val="0"/>
              </w:rPr>
              <w:t xml:space="preserve">The HITPC recommends that NVEs should not be permitted to impose fees or requirements on other NVEs for basic services for the operation of exchange services in their role as a NVE including transporting messages and discovering digital certificates. </w:t>
            </w:r>
          </w:p>
          <w:p w:rsidR="00A60AA1" w:rsidRPr="00A60AA1" w:rsidRDefault="00A60AA1" w:rsidP="00A60AA1">
            <w:pPr>
              <w:rPr>
                <w:rFonts w:ascii="Times New Roman" w:hAnsi="Times New Roman"/>
                <w:b w:val="0"/>
              </w:rPr>
            </w:pPr>
            <w:r w:rsidRPr="00A60AA1">
              <w:rPr>
                <w:rFonts w:ascii="Times New Roman" w:hAnsi="Times New Roman"/>
                <w:b w:val="0"/>
              </w:rPr>
              <w:t>If an NVE offers value added services to other NVEs, fees for such services should be reasonable and non-discriminatory</w:t>
            </w:r>
          </w:p>
          <w:p w:rsidR="00A60AA1" w:rsidRPr="00A60AA1" w:rsidRDefault="00A60AA1" w:rsidP="00A60AA1">
            <w:pPr>
              <w:rPr>
                <w:rFonts w:ascii="Times New Roman" w:hAnsi="Times New Roman"/>
                <w:b w:val="0"/>
              </w:rPr>
            </w:pPr>
            <w:r w:rsidRPr="00A60AA1">
              <w:rPr>
                <w:rFonts w:ascii="Times New Roman" w:hAnsi="Times New Roman"/>
                <w:b w:val="0"/>
              </w:rPr>
              <w:t>The HITPC does not find it appropriate for ONC or federal regulatory agencies to regulate the fees for value-added services.</w:t>
            </w:r>
          </w:p>
          <w:p w:rsidR="00564387" w:rsidRPr="00FC54EB" w:rsidRDefault="00564387" w:rsidP="00B551EA">
            <w:pPr>
              <w:tabs>
                <w:tab w:val="left" w:pos="1440"/>
              </w:tabs>
              <w:spacing w:before="40" w:after="60"/>
              <w:rPr>
                <w:rFonts w:ascii="Times New Roman" w:hAnsi="Times New Roman" w:cs="Times New Roman"/>
                <w:b w:val="0"/>
              </w:rPr>
            </w:pPr>
          </w:p>
        </w:tc>
      </w:tr>
    </w:tbl>
    <w:p w:rsidR="00564387" w:rsidRDefault="00564387" w:rsidP="00094310">
      <w:pPr>
        <w:tabs>
          <w:tab w:val="left" w:pos="900"/>
          <w:tab w:val="left" w:pos="2790"/>
        </w:tabs>
      </w:pPr>
    </w:p>
    <w:tbl>
      <w:tblPr>
        <w:tblStyle w:val="MediumShading1-Accent11"/>
        <w:tblW w:w="5000" w:type="pct"/>
        <w:tblLook w:val="04A0"/>
      </w:tblPr>
      <w:tblGrid>
        <w:gridCol w:w="14616"/>
      </w:tblGrid>
      <w:tr w:rsidR="00564387" w:rsidRPr="00D73B59">
        <w:trPr>
          <w:cnfStyle w:val="100000000000"/>
          <w:tblHeader/>
        </w:trPr>
        <w:tc>
          <w:tcPr>
            <w:cnfStyle w:val="001000000000"/>
            <w:tcW w:w="5000" w:type="pct"/>
          </w:tcPr>
          <w:p w:rsidR="00564387" w:rsidRPr="00D73B59" w:rsidRDefault="00B551EA" w:rsidP="00B551EA">
            <w:r w:rsidRPr="00D73B59">
              <w:t>Business Practices</w:t>
            </w:r>
          </w:p>
        </w:tc>
      </w:tr>
      <w:tr w:rsidR="00B551EA" w:rsidRPr="00D73B59">
        <w:trPr>
          <w:cnfStyle w:val="000000100000"/>
        </w:trPr>
        <w:tc>
          <w:tcPr>
            <w:cnfStyle w:val="001000000000"/>
            <w:tcW w:w="5000" w:type="pct"/>
            <w:shd w:val="clear" w:color="auto" w:fill="DBE5F1" w:themeFill="accent1" w:themeFillTint="33"/>
          </w:tcPr>
          <w:p w:rsidR="00B551EA" w:rsidRPr="00D73B59" w:rsidRDefault="00B551EA" w:rsidP="009B10F9">
            <w:pPr>
              <w:tabs>
                <w:tab w:val="left" w:pos="2323"/>
              </w:tabs>
              <w:ind w:left="90"/>
              <w:rPr>
                <w:rFonts w:ascii="Times New Roman" w:hAnsi="Times New Roman"/>
                <w:sz w:val="24"/>
                <w:szCs w:val="24"/>
              </w:rPr>
            </w:pPr>
            <w:r w:rsidRPr="00D73B59">
              <w:rPr>
                <w:rFonts w:ascii="Times New Roman" w:hAnsi="Times New Roman"/>
                <w:sz w:val="24"/>
                <w:szCs w:val="24"/>
                <w:u w:val="single"/>
              </w:rPr>
              <w:t>Question 53:</w:t>
            </w:r>
            <w:r w:rsidRPr="00D73B59">
              <w:rPr>
                <w:rFonts w:ascii="Times New Roman" w:hAnsi="Times New Roman"/>
                <w:sz w:val="24"/>
                <w:szCs w:val="24"/>
              </w:rPr>
              <w:t xml:space="preserve">  </w:t>
            </w:r>
            <w:r w:rsidR="009B10F9" w:rsidRPr="00D73B59">
              <w:rPr>
                <w:rFonts w:ascii="Times New Roman" w:hAnsi="Times New Roman"/>
                <w:sz w:val="24"/>
                <w:szCs w:val="24"/>
              </w:rPr>
              <w:t>Should this CTE (or another CTE) address the fees an NVE could charge its customers to facilitate electronic exchange or should this be left to the market to determine?</w:t>
            </w:r>
          </w:p>
          <w:p w:rsidR="00E30F73" w:rsidRPr="00D73B59" w:rsidRDefault="00E30F73" w:rsidP="009B10F9">
            <w:pPr>
              <w:tabs>
                <w:tab w:val="left" w:pos="2323"/>
              </w:tabs>
              <w:ind w:left="90"/>
              <w:rPr>
                <w:rFonts w:ascii="Times New Roman" w:hAnsi="Times New Roman"/>
                <w:sz w:val="24"/>
                <w:szCs w:val="24"/>
              </w:rPr>
            </w:pPr>
          </w:p>
        </w:tc>
      </w:tr>
      <w:tr w:rsidR="00B551EA" w:rsidRPr="00D73B59">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B551EA" w:rsidRPr="00D73B59" w:rsidRDefault="00B551EA" w:rsidP="00B551EA">
            <w:pPr>
              <w:ind w:left="90"/>
              <w:rPr>
                <w:rFonts w:ascii="Times New Roman" w:hAnsi="Times New Roman"/>
                <w:sz w:val="24"/>
                <w:szCs w:val="24"/>
              </w:rPr>
            </w:pPr>
            <w:r w:rsidRPr="00D73B59">
              <w:rPr>
                <w:rFonts w:ascii="Times New Roman" w:hAnsi="Times New Roman"/>
                <w:sz w:val="24"/>
                <w:szCs w:val="24"/>
                <w:u w:val="single"/>
              </w:rPr>
              <w:t>Question Context:</w:t>
            </w:r>
            <w:r w:rsidRPr="00D73B59">
              <w:rPr>
                <w:rFonts w:ascii="Times New Roman" w:hAnsi="Times New Roman"/>
                <w:sz w:val="24"/>
                <w:szCs w:val="24"/>
              </w:rPr>
              <w:t xml:space="preserve">  In reference to CTE [BP-1]: An NVE must send and receive any planned electronic exchange message from another NVE without imposing financial preconditions on any other NVE.</w:t>
            </w:r>
          </w:p>
          <w:p w:rsidR="00B551EA" w:rsidRPr="00D73B59" w:rsidRDefault="00B551EA" w:rsidP="00B551EA">
            <w:pPr>
              <w:spacing w:after="60"/>
              <w:ind w:left="86" w:hanging="86"/>
              <w:rPr>
                <w:sz w:val="20"/>
                <w:szCs w:val="20"/>
              </w:rPr>
            </w:pPr>
          </w:p>
        </w:tc>
      </w:tr>
      <w:tr w:rsidR="002D1BBC" w:rsidRPr="00D73B59">
        <w:trPr>
          <w:cnfStyle w:val="000000100000"/>
        </w:trPr>
        <w:tc>
          <w:tcPr>
            <w:cnfStyle w:val="001000000000"/>
            <w:tcW w:w="5000" w:type="pct"/>
            <w:shd w:val="clear" w:color="auto" w:fill="FFFFFF" w:themeFill="background1"/>
          </w:tcPr>
          <w:p w:rsidR="002D1BBC" w:rsidRPr="00A60AA1" w:rsidRDefault="00AB2CFD" w:rsidP="00776E47">
            <w:pPr>
              <w:spacing w:before="40" w:after="60"/>
              <w:rPr>
                <w:rFonts w:ascii="Times New Roman" w:hAnsi="Times New Roman" w:cs="Times New Roman"/>
                <w:b w:val="0"/>
              </w:rPr>
            </w:pPr>
            <w:r w:rsidRPr="00A60AA1">
              <w:rPr>
                <w:rFonts w:ascii="Times New Roman" w:hAnsi="Times New Roman" w:cs="Times New Roman"/>
                <w:b w:val="0"/>
              </w:rPr>
              <w:t>See general overarching comment</w:t>
            </w:r>
            <w:r w:rsidR="00C1592A" w:rsidRPr="00A60AA1">
              <w:rPr>
                <w:rFonts w:ascii="Times New Roman" w:hAnsi="Times New Roman" w:cs="Times New Roman"/>
                <w:b w:val="0"/>
              </w:rPr>
              <w:t xml:space="preserve"> at beginning.  </w:t>
            </w:r>
            <w:r w:rsidRPr="00A60AA1">
              <w:rPr>
                <w:rFonts w:ascii="Times New Roman" w:hAnsi="Times New Roman" w:cs="Times New Roman"/>
                <w:b w:val="0"/>
              </w:rPr>
              <w:t xml:space="preserve"> NwHIN fees could be hard to separate; some may be bundled in different ways, including being rolled into membership fees.  The </w:t>
            </w:r>
            <w:r w:rsidR="00776E47" w:rsidRPr="00A60AA1">
              <w:rPr>
                <w:rFonts w:ascii="Times New Roman" w:hAnsi="Times New Roman" w:cs="Times New Roman"/>
                <w:b w:val="0"/>
              </w:rPr>
              <w:t>HITPC</w:t>
            </w:r>
            <w:r w:rsidRPr="00A60AA1">
              <w:rPr>
                <w:rFonts w:ascii="Times New Roman" w:hAnsi="Times New Roman" w:cs="Times New Roman"/>
                <w:b w:val="0"/>
              </w:rPr>
              <w:t xml:space="preserve"> would not support requiring an NVE to publish its fees for its clients</w:t>
            </w:r>
            <w:r w:rsidR="007D6C48" w:rsidRPr="00A60AA1">
              <w:rPr>
                <w:rFonts w:ascii="Times New Roman" w:hAnsi="Times New Roman" w:cs="Times New Roman"/>
                <w:b w:val="0"/>
              </w:rPr>
              <w:t xml:space="preserve">. </w:t>
            </w:r>
          </w:p>
          <w:p w:rsidR="002D1BBC" w:rsidRPr="00A60AA1" w:rsidRDefault="00A60AA1" w:rsidP="006B70B7">
            <w:pPr>
              <w:tabs>
                <w:tab w:val="left" w:pos="1440"/>
              </w:tabs>
              <w:spacing w:before="40" w:after="60"/>
              <w:rPr>
                <w:rFonts w:ascii="Times New Roman" w:hAnsi="Times New Roman" w:cs="Times New Roman"/>
                <w:b w:val="0"/>
              </w:rPr>
            </w:pPr>
            <w:r w:rsidRPr="00A60AA1">
              <w:rPr>
                <w:rFonts w:ascii="Times New Roman" w:hAnsi="Times New Roman"/>
                <w:b w:val="0"/>
              </w:rPr>
              <w:t>The HITPC does not believe that any CTE should determine the fees NVEs charge their customers.</w:t>
            </w:r>
          </w:p>
          <w:p w:rsidR="002D1BBC" w:rsidRPr="00DA4971" w:rsidRDefault="002D1BBC" w:rsidP="006B70B7">
            <w:pPr>
              <w:tabs>
                <w:tab w:val="left" w:pos="1440"/>
              </w:tabs>
              <w:spacing w:before="40" w:after="60"/>
              <w:rPr>
                <w:rFonts w:ascii="Times New Roman" w:hAnsi="Times New Roman" w:cs="Times New Roman"/>
                <w:b w:val="0"/>
              </w:rPr>
            </w:pPr>
          </w:p>
        </w:tc>
      </w:tr>
    </w:tbl>
    <w:p w:rsidR="00564387" w:rsidRPr="00D73B59" w:rsidRDefault="00564387" w:rsidP="00094310">
      <w:pPr>
        <w:tabs>
          <w:tab w:val="left" w:pos="900"/>
          <w:tab w:val="left" w:pos="2790"/>
        </w:tabs>
      </w:pPr>
    </w:p>
    <w:tbl>
      <w:tblPr>
        <w:tblStyle w:val="MediumShading1-Accent11"/>
        <w:tblW w:w="5000" w:type="pct"/>
        <w:tblLook w:val="04A0"/>
      </w:tblPr>
      <w:tblGrid>
        <w:gridCol w:w="14616"/>
      </w:tblGrid>
      <w:tr w:rsidR="00564387" w:rsidRPr="00D73B59">
        <w:trPr>
          <w:cnfStyle w:val="100000000000"/>
          <w:tblHeader/>
        </w:trPr>
        <w:tc>
          <w:tcPr>
            <w:cnfStyle w:val="001000000000"/>
            <w:tcW w:w="5000" w:type="pct"/>
          </w:tcPr>
          <w:p w:rsidR="00564387" w:rsidRPr="00D73B59" w:rsidRDefault="009B10F9" w:rsidP="00B551EA">
            <w:r w:rsidRPr="00D73B59">
              <w:t>Business Practices</w:t>
            </w:r>
          </w:p>
        </w:tc>
      </w:tr>
      <w:tr w:rsidR="009B10F9" w:rsidRPr="00D73B59">
        <w:trPr>
          <w:cnfStyle w:val="000000100000"/>
        </w:trPr>
        <w:tc>
          <w:tcPr>
            <w:cnfStyle w:val="001000000000"/>
            <w:tcW w:w="5000" w:type="pct"/>
            <w:shd w:val="clear" w:color="auto" w:fill="DBE5F1" w:themeFill="accent1" w:themeFillTint="33"/>
          </w:tcPr>
          <w:p w:rsidR="009B10F9" w:rsidRPr="00D73B59" w:rsidRDefault="009B10F9" w:rsidP="009B10F9">
            <w:pPr>
              <w:tabs>
                <w:tab w:val="left" w:pos="2323"/>
              </w:tabs>
              <w:ind w:left="90"/>
              <w:rPr>
                <w:rFonts w:ascii="Times New Roman" w:hAnsi="Times New Roman"/>
                <w:sz w:val="24"/>
                <w:szCs w:val="24"/>
              </w:rPr>
            </w:pPr>
            <w:r w:rsidRPr="00D73B59">
              <w:rPr>
                <w:rFonts w:ascii="Times New Roman" w:hAnsi="Times New Roman"/>
                <w:sz w:val="24"/>
                <w:szCs w:val="24"/>
                <w:u w:val="single"/>
              </w:rPr>
              <w:t>Question 54:</w:t>
            </w:r>
            <w:r w:rsidRPr="00D73B59">
              <w:rPr>
                <w:rFonts w:ascii="Times New Roman" w:hAnsi="Times New Roman"/>
                <w:sz w:val="24"/>
                <w:szCs w:val="24"/>
              </w:rPr>
              <w:t xml:space="preserve">  Under what circumstances, if any, should an NVE be permitted to impose requirements on other NVEs?</w:t>
            </w:r>
          </w:p>
          <w:p w:rsidR="009B10F9" w:rsidRPr="00D73B59" w:rsidRDefault="009B10F9" w:rsidP="009B10F9">
            <w:pPr>
              <w:tabs>
                <w:tab w:val="left" w:pos="2323"/>
              </w:tabs>
              <w:ind w:left="90"/>
              <w:rPr>
                <w:rFonts w:ascii="Times New Roman" w:hAnsi="Times New Roman"/>
                <w:sz w:val="24"/>
                <w:szCs w:val="24"/>
              </w:rPr>
            </w:pPr>
          </w:p>
        </w:tc>
      </w:tr>
      <w:tr w:rsidR="009B10F9" w:rsidRPr="00D73B59">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9B10F9" w:rsidRPr="00D73B59" w:rsidRDefault="009B10F9" w:rsidP="00930D25">
            <w:pPr>
              <w:ind w:left="90"/>
              <w:rPr>
                <w:rFonts w:ascii="Times New Roman" w:hAnsi="Times New Roman"/>
                <w:sz w:val="24"/>
                <w:szCs w:val="24"/>
              </w:rPr>
            </w:pPr>
            <w:r w:rsidRPr="00D73B59">
              <w:rPr>
                <w:rFonts w:ascii="Times New Roman" w:hAnsi="Times New Roman"/>
                <w:sz w:val="24"/>
                <w:szCs w:val="24"/>
                <w:u w:val="single"/>
              </w:rPr>
              <w:t>Question Context:</w:t>
            </w:r>
            <w:r w:rsidRPr="00D73B59">
              <w:rPr>
                <w:rFonts w:ascii="Times New Roman" w:hAnsi="Times New Roman"/>
                <w:sz w:val="24"/>
                <w:szCs w:val="24"/>
              </w:rPr>
              <w:t xml:space="preserve">  In reference to CTE [BP-1]: An NVE must send and receive any planned electronic exchange message from another NVE without imposing financial preconditions on any other NVE.</w:t>
            </w:r>
          </w:p>
          <w:p w:rsidR="009B10F9" w:rsidRPr="00D73B59" w:rsidRDefault="009B10F9" w:rsidP="00930D25">
            <w:pPr>
              <w:spacing w:after="60"/>
              <w:ind w:left="86" w:hanging="86"/>
              <w:rPr>
                <w:sz w:val="20"/>
                <w:szCs w:val="20"/>
              </w:rPr>
            </w:pPr>
          </w:p>
        </w:tc>
      </w:tr>
      <w:tr w:rsidR="002D1BBC" w:rsidRPr="00A36FD5">
        <w:trPr>
          <w:cnfStyle w:val="000000100000"/>
        </w:trPr>
        <w:tc>
          <w:tcPr>
            <w:cnfStyle w:val="001000000000"/>
            <w:tcW w:w="5000" w:type="pct"/>
            <w:shd w:val="clear" w:color="auto" w:fill="FFFFFF" w:themeFill="background1"/>
          </w:tcPr>
          <w:p w:rsidR="002D1BBC" w:rsidRPr="00E33948" w:rsidRDefault="00AB2CFD" w:rsidP="00CE21FA">
            <w:pPr>
              <w:spacing w:before="40" w:after="60"/>
              <w:rPr>
                <w:rFonts w:ascii="Times New Roman" w:hAnsi="Times New Roman" w:cs="Times New Roman"/>
              </w:rPr>
            </w:pPr>
            <w:r w:rsidRPr="00E33948">
              <w:rPr>
                <w:rFonts w:ascii="Times New Roman" w:hAnsi="Times New Roman" w:cs="Times New Roman"/>
                <w:b w:val="0"/>
              </w:rPr>
              <w:lastRenderedPageBreak/>
              <w:t>The general principle stated previously about respecting local autonomy should apply.  However, there may be instances where state law in another state needs to be respected.  This can be accomplished through separate data sharing agreements.  The DURSA has been an excellent example of how a single data exchange agreement can be uniformly applied for the more complex (e.g., Exchange) types of data exchange systems where there a</w:t>
            </w:r>
            <w:r w:rsidR="00CE21FA" w:rsidRPr="00E33948">
              <w:rPr>
                <w:rFonts w:ascii="Times New Roman" w:hAnsi="Times New Roman" w:cs="Times New Roman"/>
                <w:b w:val="0"/>
              </w:rPr>
              <w:t>re</w:t>
            </w:r>
            <w:r w:rsidRPr="00E33948">
              <w:rPr>
                <w:rFonts w:ascii="Times New Roman" w:hAnsi="Times New Roman" w:cs="Times New Roman"/>
                <w:b w:val="0"/>
              </w:rPr>
              <w:t xml:space="preserve"> significant liability issues.  Having a single uniform agreement like the DURSA creates significant transparency which builds trust.</w:t>
            </w:r>
          </w:p>
          <w:p w:rsidR="00A60AA1" w:rsidRPr="00A60AA1" w:rsidRDefault="00A60AA1" w:rsidP="00A60AA1">
            <w:pPr>
              <w:rPr>
                <w:rFonts w:ascii="Times New Roman" w:hAnsi="Times New Roman"/>
                <w:b w:val="0"/>
              </w:rPr>
            </w:pPr>
            <w:r w:rsidRPr="00A60AA1">
              <w:rPr>
                <w:rFonts w:ascii="Times New Roman" w:hAnsi="Times New Roman"/>
                <w:b w:val="0"/>
              </w:rPr>
              <w:t>As stated in response to questions 52 and 53, the HITPC believes that NVEs should be permitted to impose requirements on other NVEs only when it pertains to value added services provided beyond the responsibilities of providing basic services essential to the function of NwHIN.     OK</w:t>
            </w:r>
          </w:p>
          <w:p w:rsidR="002D1BBC" w:rsidRPr="00E33948" w:rsidRDefault="002D1BBC" w:rsidP="006B70B7">
            <w:pPr>
              <w:tabs>
                <w:tab w:val="left" w:pos="1440"/>
              </w:tabs>
              <w:spacing w:before="40" w:after="60"/>
              <w:rPr>
                <w:rFonts w:ascii="Times New Roman" w:hAnsi="Times New Roman" w:cs="Times New Roman"/>
                <w:b w:val="0"/>
              </w:rPr>
            </w:pPr>
          </w:p>
        </w:tc>
      </w:tr>
    </w:tbl>
    <w:p w:rsidR="002D1BBC" w:rsidRDefault="002D1BBC" w:rsidP="00094310">
      <w:pPr>
        <w:tabs>
          <w:tab w:val="left" w:pos="900"/>
          <w:tab w:val="left" w:pos="2790"/>
        </w:tabs>
      </w:pPr>
    </w:p>
    <w:p w:rsidR="00F1126B" w:rsidRDefault="00F1126B" w:rsidP="00094310">
      <w:pPr>
        <w:tabs>
          <w:tab w:val="left" w:pos="900"/>
          <w:tab w:val="left" w:pos="2790"/>
        </w:tabs>
      </w:pPr>
    </w:p>
    <w:tbl>
      <w:tblPr>
        <w:tblStyle w:val="MediumShading1-Accent11"/>
        <w:tblW w:w="5000" w:type="pct"/>
        <w:tblLook w:val="04A0"/>
      </w:tblPr>
      <w:tblGrid>
        <w:gridCol w:w="14616"/>
      </w:tblGrid>
      <w:tr w:rsidR="00564387" w:rsidRPr="002E56FA">
        <w:trPr>
          <w:cnfStyle w:val="100000000000"/>
          <w:tblHeader/>
        </w:trPr>
        <w:tc>
          <w:tcPr>
            <w:cnfStyle w:val="001000000000"/>
            <w:tcW w:w="5000" w:type="pct"/>
          </w:tcPr>
          <w:p w:rsidR="00564387" w:rsidRPr="002E56FA" w:rsidRDefault="009B10F9" w:rsidP="00B551EA">
            <w:r>
              <w:t>Business Practices</w:t>
            </w:r>
          </w:p>
        </w:tc>
      </w:tr>
      <w:tr w:rsidR="009B10F9" w:rsidRPr="00A36FD5">
        <w:trPr>
          <w:cnfStyle w:val="000000100000"/>
        </w:trPr>
        <w:tc>
          <w:tcPr>
            <w:cnfStyle w:val="001000000000"/>
            <w:tcW w:w="5000" w:type="pct"/>
            <w:shd w:val="clear" w:color="auto" w:fill="DBE5F1" w:themeFill="accent1" w:themeFillTint="33"/>
          </w:tcPr>
          <w:p w:rsidR="009B10F9" w:rsidRDefault="009B10F9" w:rsidP="00930D25">
            <w:pPr>
              <w:tabs>
                <w:tab w:val="left" w:pos="2323"/>
              </w:tabs>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55</w:t>
            </w:r>
            <w:r w:rsidRPr="004A4EA2">
              <w:rPr>
                <w:rFonts w:ascii="Times New Roman" w:hAnsi="Times New Roman"/>
                <w:sz w:val="24"/>
                <w:szCs w:val="24"/>
                <w:u w:val="single"/>
              </w:rPr>
              <w:t>:</w:t>
            </w:r>
            <w:r>
              <w:rPr>
                <w:rFonts w:ascii="Times New Roman" w:hAnsi="Times New Roman"/>
                <w:sz w:val="24"/>
                <w:szCs w:val="24"/>
              </w:rPr>
              <w:t xml:space="preserve">  </w:t>
            </w:r>
            <w:r w:rsidRPr="00065191">
              <w:rPr>
                <w:rFonts w:ascii="Times New Roman" w:hAnsi="Times New Roman"/>
                <w:sz w:val="24"/>
                <w:szCs w:val="24"/>
              </w:rPr>
              <w:t>What data would be most useful to be collected?  How should it be made available to the public?  Should NVEs be required to report on the transaction volume by end user type (e.g., provider, lab, public health, patient, etc)?</w:t>
            </w:r>
          </w:p>
          <w:p w:rsidR="009B10F9" w:rsidRPr="009B10F9" w:rsidRDefault="009B10F9" w:rsidP="00930D25">
            <w:pPr>
              <w:tabs>
                <w:tab w:val="left" w:pos="2323"/>
              </w:tabs>
              <w:ind w:left="90"/>
              <w:rPr>
                <w:rFonts w:ascii="Times New Roman" w:hAnsi="Times New Roman"/>
                <w:sz w:val="24"/>
                <w:szCs w:val="24"/>
              </w:rPr>
            </w:pPr>
          </w:p>
        </w:tc>
      </w:tr>
      <w:tr w:rsidR="009B10F9"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9B10F9" w:rsidRDefault="009B10F9" w:rsidP="00930D25">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In reference to CTE [BP-3]: </w:t>
            </w:r>
            <w:r w:rsidRPr="007E0075">
              <w:rPr>
                <w:rFonts w:ascii="Times New Roman" w:hAnsi="Times New Roman"/>
                <w:sz w:val="24"/>
                <w:szCs w:val="24"/>
              </w:rPr>
              <w:t>An NVE must report on users and transaction volume for validated services.</w:t>
            </w:r>
          </w:p>
          <w:p w:rsidR="009B10F9" w:rsidRPr="00A36FD5" w:rsidRDefault="009B10F9" w:rsidP="00930D25">
            <w:pPr>
              <w:spacing w:after="60"/>
              <w:ind w:left="86" w:hanging="86"/>
              <w:rPr>
                <w:sz w:val="20"/>
                <w:szCs w:val="20"/>
              </w:rPr>
            </w:pPr>
          </w:p>
        </w:tc>
      </w:tr>
      <w:tr w:rsidR="002D1BBC" w:rsidRPr="007D6630">
        <w:trPr>
          <w:cnfStyle w:val="000000100000"/>
        </w:trPr>
        <w:tc>
          <w:tcPr>
            <w:cnfStyle w:val="001000000000"/>
            <w:tcW w:w="5000" w:type="pct"/>
            <w:shd w:val="clear" w:color="auto" w:fill="FFFFFF" w:themeFill="background1"/>
          </w:tcPr>
          <w:p w:rsidR="002D1BBC" w:rsidRPr="0016197A" w:rsidRDefault="00AB2CFD" w:rsidP="006B70B7">
            <w:pPr>
              <w:tabs>
                <w:tab w:val="left" w:pos="1440"/>
              </w:tabs>
              <w:spacing w:before="40" w:after="60"/>
              <w:rPr>
                <w:rFonts w:ascii="Times New Roman" w:hAnsi="Times New Roman" w:cs="Times New Roman"/>
                <w:b w:val="0"/>
              </w:rPr>
            </w:pPr>
            <w:r w:rsidRPr="0016197A">
              <w:rPr>
                <w:rFonts w:ascii="Times New Roman" w:hAnsi="Times New Roman" w:cs="Times New Roman"/>
                <w:b w:val="0"/>
              </w:rPr>
              <w:t xml:space="preserve">The </w:t>
            </w:r>
            <w:r w:rsidR="00776E47">
              <w:rPr>
                <w:rFonts w:ascii="Times New Roman" w:hAnsi="Times New Roman" w:cs="Times New Roman"/>
                <w:b w:val="0"/>
              </w:rPr>
              <w:t>HITPC</w:t>
            </w:r>
            <w:r w:rsidRPr="0016197A">
              <w:rPr>
                <w:rFonts w:ascii="Times New Roman" w:hAnsi="Times New Roman" w:cs="Times New Roman"/>
                <w:b w:val="0"/>
              </w:rPr>
              <w:t xml:space="preserve"> supports the principle of reporting transaction data but has several concerns.  First, tracking by end user isn’t easy—for example, if the NVE receives a request from VA or SSA about a patient’s data from multiple sources and sends back all the respo</w:t>
            </w:r>
            <w:r w:rsidR="00996574" w:rsidRPr="0016197A">
              <w:rPr>
                <w:rFonts w:ascii="Times New Roman" w:hAnsi="Times New Roman" w:cs="Times New Roman"/>
                <w:b w:val="0"/>
              </w:rPr>
              <w:t xml:space="preserve">nses together, it would record </w:t>
            </w:r>
            <w:r w:rsidRPr="0016197A">
              <w:rPr>
                <w:rFonts w:ascii="Times New Roman" w:hAnsi="Times New Roman" w:cs="Times New Roman"/>
                <w:b w:val="0"/>
              </w:rPr>
              <w:t xml:space="preserve">that as a single transaction.  It will be critical to carefully define the metrics and assess operational issues related to collecting/reporting them.  Additionally, individual NVE data should be considered proprietary and not released to the public.  If the metrics issues are resolved, individual NVEs could report data to a governance entity, but the entity should only publish aggregated data.  </w:t>
            </w:r>
            <w:r w:rsidR="000348F5">
              <w:rPr>
                <w:rFonts w:ascii="Times New Roman" w:hAnsi="Times New Roman" w:cs="Times New Roman"/>
                <w:b w:val="0"/>
              </w:rPr>
              <w:t xml:space="preserve">The </w:t>
            </w:r>
            <w:r w:rsidR="00776E47">
              <w:rPr>
                <w:rFonts w:ascii="Times New Roman" w:hAnsi="Times New Roman" w:cs="Times New Roman"/>
                <w:b w:val="0"/>
              </w:rPr>
              <w:t>HITPC</w:t>
            </w:r>
            <w:r w:rsidR="000348F5">
              <w:rPr>
                <w:rFonts w:ascii="Times New Roman" w:hAnsi="Times New Roman" w:cs="Times New Roman"/>
                <w:b w:val="0"/>
              </w:rPr>
              <w:t xml:space="preserve"> did not reach consensus on whether the aggregation should also occur at the local level.  </w:t>
            </w:r>
          </w:p>
          <w:p w:rsidR="00A60AA1" w:rsidRPr="00A60AA1" w:rsidRDefault="00A60AA1" w:rsidP="00A60AA1">
            <w:pPr>
              <w:rPr>
                <w:rFonts w:ascii="Times New Roman" w:hAnsi="Times New Roman" w:cs="Times New Roman"/>
                <w:b w:val="0"/>
              </w:rPr>
            </w:pPr>
            <w:r w:rsidRPr="00A60AA1">
              <w:rPr>
                <w:rFonts w:ascii="Times New Roman" w:hAnsi="Times New Roman" w:cs="Times New Roman"/>
                <w:b w:val="0"/>
              </w:rPr>
              <w:t xml:space="preserve">The HITPC believes that NVE reporting of transaction volumes to federal agencies such as ONC and state regulatory agencies is appropriate. </w:t>
            </w:r>
          </w:p>
          <w:p w:rsidR="00A60AA1" w:rsidRPr="00A60AA1" w:rsidRDefault="00A60AA1" w:rsidP="00A60AA1">
            <w:pPr>
              <w:rPr>
                <w:rFonts w:ascii="Times New Roman" w:hAnsi="Times New Roman" w:cs="Times New Roman"/>
                <w:b w:val="0"/>
              </w:rPr>
            </w:pPr>
            <w:r w:rsidRPr="00A60AA1">
              <w:rPr>
                <w:rFonts w:ascii="Times New Roman" w:hAnsi="Times New Roman" w:cs="Times New Roman"/>
                <w:b w:val="0"/>
              </w:rPr>
              <w:t>Reporting standards should be transparent to both the public and NVEs to ensure their participation. Public reporting should be in de-identified, aggregate form to evaluate the progress of national- and statewide health information exchange. Reporting should not reveal transaction volume or type of transactions facilitated for specific NVEs.</w:t>
            </w:r>
          </w:p>
          <w:p w:rsidR="00A60AA1" w:rsidRPr="00A60AA1" w:rsidRDefault="00A60AA1" w:rsidP="00A60AA1">
            <w:pPr>
              <w:rPr>
                <w:rFonts w:ascii="Times New Roman" w:hAnsi="Times New Roman" w:cs="Times New Roman"/>
                <w:b w:val="0"/>
              </w:rPr>
            </w:pPr>
            <w:r w:rsidRPr="00A60AA1">
              <w:rPr>
                <w:rFonts w:ascii="Times New Roman" w:hAnsi="Times New Roman" w:cs="Times New Roman"/>
                <w:b w:val="0"/>
              </w:rPr>
              <w:t xml:space="preserve">The HITPC believes that operational and adoption, or use rates data, will most likely be useful to be reported for the purposes of promoting NwHIN.  Reporting requirements for NVEs should vary according to the services they offer. </w:t>
            </w:r>
          </w:p>
          <w:p w:rsidR="002D1BBC" w:rsidRPr="0016197A" w:rsidRDefault="002D1BBC" w:rsidP="006B70B7">
            <w:pPr>
              <w:tabs>
                <w:tab w:val="left" w:pos="1440"/>
              </w:tabs>
              <w:spacing w:before="40" w:after="60"/>
              <w:rPr>
                <w:rFonts w:ascii="Times New Roman" w:hAnsi="Times New Roman" w:cs="Times New Roman"/>
                <w:b w:val="0"/>
              </w:rPr>
            </w:pPr>
          </w:p>
        </w:tc>
      </w:tr>
    </w:tbl>
    <w:p w:rsidR="00564387" w:rsidRPr="007D6630" w:rsidRDefault="00564387" w:rsidP="00094310">
      <w:pPr>
        <w:tabs>
          <w:tab w:val="left" w:pos="900"/>
          <w:tab w:val="left" w:pos="2790"/>
        </w:tabs>
      </w:pPr>
    </w:p>
    <w:tbl>
      <w:tblPr>
        <w:tblStyle w:val="MediumShading1-Accent11"/>
        <w:tblW w:w="5000" w:type="pct"/>
        <w:tblLook w:val="04A0"/>
      </w:tblPr>
      <w:tblGrid>
        <w:gridCol w:w="14616"/>
      </w:tblGrid>
      <w:tr w:rsidR="00564387" w:rsidRPr="007D6630">
        <w:trPr>
          <w:cnfStyle w:val="100000000000"/>
          <w:tblHeader/>
        </w:trPr>
        <w:tc>
          <w:tcPr>
            <w:cnfStyle w:val="001000000000"/>
            <w:tcW w:w="5000" w:type="pct"/>
          </w:tcPr>
          <w:p w:rsidR="00564387" w:rsidRPr="007D6630" w:rsidRDefault="009B10F9" w:rsidP="00B551EA">
            <w:r w:rsidRPr="007D6630">
              <w:t xml:space="preserve">Request for Additional CTEs   </w:t>
            </w:r>
          </w:p>
        </w:tc>
      </w:tr>
      <w:tr w:rsidR="009B10F9" w:rsidRPr="007D6630">
        <w:trPr>
          <w:cnfStyle w:val="000000100000"/>
        </w:trPr>
        <w:tc>
          <w:tcPr>
            <w:cnfStyle w:val="001000000000"/>
            <w:tcW w:w="5000" w:type="pct"/>
            <w:shd w:val="clear" w:color="auto" w:fill="DBE5F1" w:themeFill="accent1" w:themeFillTint="33"/>
          </w:tcPr>
          <w:p w:rsidR="009B10F9" w:rsidRPr="007D6630" w:rsidRDefault="009B10F9" w:rsidP="00930D25">
            <w:pPr>
              <w:tabs>
                <w:tab w:val="left" w:pos="2323"/>
              </w:tabs>
              <w:ind w:left="90"/>
              <w:rPr>
                <w:rFonts w:ascii="Times New Roman" w:hAnsi="Times New Roman"/>
                <w:sz w:val="24"/>
                <w:szCs w:val="24"/>
              </w:rPr>
            </w:pPr>
            <w:r w:rsidRPr="007D6630">
              <w:rPr>
                <w:rFonts w:ascii="Times New Roman" w:hAnsi="Times New Roman"/>
                <w:sz w:val="24"/>
                <w:szCs w:val="24"/>
                <w:u w:val="single"/>
              </w:rPr>
              <w:t>Question 56:</w:t>
            </w:r>
            <w:r w:rsidRPr="007D6630">
              <w:rPr>
                <w:rFonts w:ascii="Times New Roman" w:hAnsi="Times New Roman"/>
                <w:sz w:val="24"/>
                <w:szCs w:val="24"/>
              </w:rPr>
              <w:t xml:space="preserve">  Which CTEs would you revise or delete and why? Are there other CTEs not listed here that we should also consider?</w:t>
            </w:r>
          </w:p>
          <w:p w:rsidR="009B10F9" w:rsidRPr="007D6630" w:rsidRDefault="009B10F9" w:rsidP="00930D25">
            <w:pPr>
              <w:tabs>
                <w:tab w:val="left" w:pos="2323"/>
              </w:tabs>
              <w:ind w:left="90"/>
              <w:rPr>
                <w:rFonts w:ascii="Times New Roman" w:hAnsi="Times New Roman"/>
                <w:sz w:val="24"/>
                <w:szCs w:val="24"/>
              </w:rPr>
            </w:pPr>
          </w:p>
        </w:tc>
      </w:tr>
      <w:tr w:rsidR="009B10F9" w:rsidRPr="007D6630">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9B10F9" w:rsidRPr="007D6630" w:rsidRDefault="009B10F9" w:rsidP="00930D25">
            <w:pPr>
              <w:ind w:left="90"/>
              <w:rPr>
                <w:rFonts w:ascii="Times New Roman" w:hAnsi="Times New Roman"/>
                <w:sz w:val="24"/>
                <w:szCs w:val="24"/>
              </w:rPr>
            </w:pPr>
            <w:r w:rsidRPr="007D6630">
              <w:rPr>
                <w:rFonts w:ascii="Times New Roman" w:hAnsi="Times New Roman"/>
                <w:sz w:val="24"/>
                <w:szCs w:val="24"/>
                <w:u w:val="single"/>
              </w:rPr>
              <w:t>Question Context:</w:t>
            </w:r>
            <w:r w:rsidRPr="007D6630">
              <w:rPr>
                <w:rFonts w:ascii="Times New Roman" w:hAnsi="Times New Roman"/>
                <w:sz w:val="24"/>
                <w:szCs w:val="24"/>
              </w:rPr>
              <w:t xml:space="preserve">  The question solicits general input on the comprehensive list of CTEs.</w:t>
            </w:r>
          </w:p>
          <w:p w:rsidR="009B10F9" w:rsidRPr="007D6630" w:rsidRDefault="009B10F9" w:rsidP="00930D25">
            <w:pPr>
              <w:spacing w:after="60"/>
              <w:ind w:left="86" w:hanging="86"/>
              <w:rPr>
                <w:sz w:val="20"/>
                <w:szCs w:val="20"/>
              </w:rPr>
            </w:pPr>
          </w:p>
        </w:tc>
      </w:tr>
      <w:tr w:rsidR="009B10F9" w:rsidRPr="00A36FD5">
        <w:trPr>
          <w:cnfStyle w:val="000000100000"/>
        </w:trPr>
        <w:tc>
          <w:tcPr>
            <w:cnfStyle w:val="001000000000"/>
            <w:tcW w:w="5000" w:type="pct"/>
            <w:shd w:val="clear" w:color="auto" w:fill="FFFFFF" w:themeFill="background1"/>
          </w:tcPr>
          <w:p w:rsidR="00C11B6D" w:rsidRPr="00514C5B" w:rsidRDefault="009B21C7" w:rsidP="00776E47">
            <w:pPr>
              <w:spacing w:before="40" w:after="60"/>
              <w:rPr>
                <w:rFonts w:ascii="Times New Roman" w:hAnsi="Times New Roman" w:cs="Times New Roman"/>
                <w:b w:val="0"/>
              </w:rPr>
            </w:pPr>
            <w:r w:rsidRPr="00514C5B">
              <w:rPr>
                <w:rFonts w:ascii="Times New Roman" w:hAnsi="Times New Roman" w:cs="Times New Roman"/>
                <w:b w:val="0"/>
              </w:rPr>
              <w:lastRenderedPageBreak/>
              <w:t xml:space="preserve">See answer to Question 37, about </w:t>
            </w:r>
            <w:r w:rsidR="00AB2CFD" w:rsidRPr="00514C5B">
              <w:rPr>
                <w:rFonts w:ascii="Times New Roman" w:hAnsi="Times New Roman" w:cs="Times New Roman"/>
                <w:b w:val="0"/>
              </w:rPr>
              <w:t xml:space="preserve"> S-6:  </w:t>
            </w:r>
          </w:p>
          <w:p w:rsidR="00C11B6D" w:rsidRPr="00514C5B" w:rsidRDefault="00C11B6D" w:rsidP="00CF1811">
            <w:pPr>
              <w:spacing w:before="40" w:after="60"/>
              <w:rPr>
                <w:rFonts w:ascii="Times New Roman" w:hAnsi="Times New Roman" w:cs="Times New Roman"/>
                <w:b w:val="0"/>
              </w:rPr>
            </w:pPr>
          </w:p>
          <w:p w:rsidR="00CB3CD5" w:rsidRPr="00514C5B" w:rsidRDefault="00AB2CFD" w:rsidP="00CB3CD5">
            <w:pPr>
              <w:rPr>
                <w:rFonts w:ascii="Times New Roman" w:hAnsi="Times New Roman" w:cs="Times New Roman"/>
              </w:rPr>
            </w:pPr>
            <w:r w:rsidRPr="00514C5B">
              <w:rPr>
                <w:rFonts w:ascii="Times New Roman" w:hAnsi="Times New Roman" w:cs="Times New Roman"/>
                <w:b w:val="0"/>
              </w:rPr>
              <w:t xml:space="preserve">COMMENT on S-10:  </w:t>
            </w:r>
            <w:r w:rsidR="00566D51" w:rsidRPr="00514C5B">
              <w:rPr>
                <w:rFonts w:ascii="Times New Roman" w:hAnsi="Times New Roman" w:cs="Times New Roman"/>
                <w:b w:val="0"/>
              </w:rPr>
              <w:t>[</w:t>
            </w:r>
            <w:r w:rsidR="00CB3CD5" w:rsidRPr="00514C5B">
              <w:rPr>
                <w:rFonts w:ascii="Times New Roman" w:hAnsi="Times New Roman" w:cs="Times New Roman"/>
              </w:rPr>
              <w:t>An NVE must have the means to verify that a provider requesting an</w:t>
            </w:r>
            <w:r w:rsidR="00566D51" w:rsidRPr="00514C5B">
              <w:rPr>
                <w:rFonts w:ascii="Times New Roman" w:hAnsi="Times New Roman" w:cs="Times New Roman"/>
              </w:rPr>
              <w:t xml:space="preserve"> </w:t>
            </w:r>
            <w:r w:rsidR="00CB3CD5" w:rsidRPr="00514C5B">
              <w:rPr>
                <w:rFonts w:ascii="Times New Roman" w:hAnsi="Times New Roman" w:cs="Times New Roman"/>
              </w:rPr>
              <w:t>individual’s health information through a query and response model has or is</w:t>
            </w:r>
            <w:r w:rsidR="00566D51" w:rsidRPr="00514C5B">
              <w:rPr>
                <w:rFonts w:ascii="Times New Roman" w:hAnsi="Times New Roman" w:cs="Times New Roman"/>
              </w:rPr>
              <w:t xml:space="preserve"> </w:t>
            </w:r>
            <w:r w:rsidR="00CB3CD5" w:rsidRPr="00514C5B">
              <w:rPr>
                <w:rFonts w:ascii="Times New Roman" w:hAnsi="Times New Roman" w:cs="Times New Roman"/>
              </w:rPr>
              <w:t>in the process of establishing a treatment relationship with that individual.</w:t>
            </w:r>
            <w:r w:rsidR="00566D51" w:rsidRPr="00514C5B">
              <w:rPr>
                <w:rFonts w:ascii="Times New Roman" w:hAnsi="Times New Roman" w:cs="Times New Roman"/>
              </w:rPr>
              <w:t>]</w:t>
            </w:r>
          </w:p>
          <w:p w:rsidR="00AB2CFD" w:rsidRPr="00514C5B" w:rsidRDefault="00AB2CFD" w:rsidP="00CF1811">
            <w:pPr>
              <w:spacing w:before="40" w:after="60"/>
              <w:rPr>
                <w:rFonts w:ascii="Times New Roman" w:hAnsi="Times New Roman" w:cs="Times New Roman"/>
                <w:b w:val="0"/>
              </w:rPr>
            </w:pPr>
            <w:r w:rsidRPr="00514C5B">
              <w:rPr>
                <w:rFonts w:ascii="Times New Roman" w:hAnsi="Times New Roman" w:cs="Times New Roman"/>
                <w:b w:val="0"/>
              </w:rPr>
              <w:t xml:space="preserve">The </w:t>
            </w:r>
            <w:r w:rsidR="00776E47" w:rsidRPr="00514C5B">
              <w:rPr>
                <w:rFonts w:ascii="Times New Roman" w:hAnsi="Times New Roman" w:cs="Times New Roman"/>
                <w:b w:val="0"/>
              </w:rPr>
              <w:t>HITPC</w:t>
            </w:r>
            <w:r w:rsidRPr="00514C5B">
              <w:rPr>
                <w:rFonts w:ascii="Times New Roman" w:hAnsi="Times New Roman" w:cs="Times New Roman"/>
                <w:b w:val="0"/>
              </w:rPr>
              <w:t xml:space="preserve"> respects the intent of this condition but does not support it as stated.  The WG has concerns about the verification process, and more detail is needed about the process.   It seems likely it would rest on an attestation, which would need to be monitored, and operationally it might be difficult for the requestor to attest.    The WG prefers that liability remain with the provider, as HIPAA requires, not the NVE.</w:t>
            </w:r>
          </w:p>
          <w:p w:rsidR="00A60AA1" w:rsidRPr="00A60AA1" w:rsidRDefault="00A60AA1" w:rsidP="00A60AA1">
            <w:pPr>
              <w:rPr>
                <w:rFonts w:ascii="Times New Roman" w:hAnsi="Times New Roman" w:cs="Times New Roman"/>
                <w:b w:val="0"/>
              </w:rPr>
            </w:pPr>
            <w:r w:rsidRPr="00A60AA1">
              <w:rPr>
                <w:rFonts w:ascii="Times New Roman" w:hAnsi="Times New Roman" w:cs="Times New Roman"/>
                <w:b w:val="0"/>
              </w:rPr>
              <w:t>The HITPC believes that in addition to the CTEs proposed, a national governance structure should include a grievances process.  NVEs, CTEs, federal and state regulatory agents, as well as their clients should be able to bring grievances for compliance failures or inappropriate business practices.</w:t>
            </w:r>
          </w:p>
          <w:p w:rsidR="00A60AA1" w:rsidRPr="00A60AA1" w:rsidRDefault="00A60AA1" w:rsidP="00A60AA1">
            <w:pPr>
              <w:rPr>
                <w:rFonts w:ascii="Times New Roman" w:hAnsi="Times New Roman" w:cs="Times New Roman"/>
                <w:b w:val="0"/>
              </w:rPr>
            </w:pPr>
            <w:r w:rsidRPr="00A60AA1">
              <w:rPr>
                <w:rFonts w:ascii="Times New Roman" w:hAnsi="Times New Roman" w:cs="Times New Roman"/>
                <w:b w:val="0"/>
              </w:rPr>
              <w:t>Establishing a model for grievances will increase trust in interoperability and exchange among states or new participants in health information exchange.</w:t>
            </w:r>
          </w:p>
          <w:p w:rsidR="009B10F9" w:rsidRPr="00514C5B" w:rsidRDefault="009B10F9" w:rsidP="00B551EA">
            <w:pPr>
              <w:tabs>
                <w:tab w:val="left" w:pos="1440"/>
              </w:tabs>
              <w:spacing w:before="40" w:after="60"/>
              <w:rPr>
                <w:rFonts w:ascii="Times New Roman" w:hAnsi="Times New Roman" w:cs="Times New Roman"/>
                <w:b w:val="0"/>
                <w:sz w:val="20"/>
                <w:szCs w:val="20"/>
              </w:rPr>
            </w:pPr>
          </w:p>
        </w:tc>
      </w:tr>
    </w:tbl>
    <w:p w:rsidR="00564387" w:rsidRDefault="00564387" w:rsidP="00094310">
      <w:pPr>
        <w:tabs>
          <w:tab w:val="left" w:pos="900"/>
          <w:tab w:val="left" w:pos="2790"/>
        </w:tabs>
      </w:pPr>
    </w:p>
    <w:tbl>
      <w:tblPr>
        <w:tblStyle w:val="MediumShading1-Accent11"/>
        <w:tblW w:w="5000" w:type="pct"/>
        <w:tblLook w:val="04A0"/>
      </w:tblPr>
      <w:tblGrid>
        <w:gridCol w:w="14616"/>
      </w:tblGrid>
      <w:tr w:rsidR="00F1126B" w:rsidRPr="002E56FA" w:rsidTr="00C310C9">
        <w:trPr>
          <w:cnfStyle w:val="100000000000"/>
          <w:tblHeader/>
        </w:trPr>
        <w:tc>
          <w:tcPr>
            <w:cnfStyle w:val="001000000000"/>
            <w:tcW w:w="5000" w:type="pct"/>
          </w:tcPr>
          <w:p w:rsidR="00F1126B" w:rsidRPr="002E56FA" w:rsidRDefault="00F1126B" w:rsidP="00C310C9">
            <w:r w:rsidRPr="00D0175B">
              <w:t>Request for Additional CTEs</w:t>
            </w:r>
            <w:r>
              <w:t xml:space="preserve">   </w:t>
            </w:r>
          </w:p>
        </w:tc>
      </w:tr>
      <w:tr w:rsidR="00F1126B" w:rsidRPr="00A36FD5" w:rsidTr="00C310C9">
        <w:trPr>
          <w:cnfStyle w:val="000000100000"/>
        </w:trPr>
        <w:tc>
          <w:tcPr>
            <w:cnfStyle w:val="001000000000"/>
            <w:tcW w:w="5000" w:type="pct"/>
            <w:shd w:val="clear" w:color="auto" w:fill="DBE5F1" w:themeFill="accent1" w:themeFillTint="33"/>
          </w:tcPr>
          <w:p w:rsidR="00F1126B" w:rsidRPr="009B10F9" w:rsidRDefault="00F1126B" w:rsidP="00C310C9">
            <w:pPr>
              <w:tabs>
                <w:tab w:val="left" w:pos="2323"/>
              </w:tabs>
              <w:ind w:left="90"/>
              <w:rPr>
                <w:rFonts w:ascii="Times New Roman" w:hAnsi="Times New Roman"/>
                <w:sz w:val="24"/>
                <w:szCs w:val="24"/>
              </w:rPr>
            </w:pPr>
            <w:r w:rsidRPr="004A4EA2">
              <w:rPr>
                <w:rFonts w:ascii="Times New Roman" w:hAnsi="Times New Roman"/>
                <w:sz w:val="24"/>
                <w:szCs w:val="24"/>
                <w:u w:val="single"/>
              </w:rPr>
              <w:t xml:space="preserve">Question </w:t>
            </w:r>
            <w:r>
              <w:rPr>
                <w:rFonts w:ascii="Times New Roman" w:hAnsi="Times New Roman"/>
                <w:sz w:val="24"/>
                <w:szCs w:val="24"/>
                <w:u w:val="single"/>
              </w:rPr>
              <w:t>57</w:t>
            </w:r>
            <w:r w:rsidRPr="004A4EA2">
              <w:rPr>
                <w:rFonts w:ascii="Times New Roman" w:hAnsi="Times New Roman"/>
                <w:sz w:val="24"/>
                <w:szCs w:val="24"/>
                <w:u w:val="single"/>
              </w:rPr>
              <w:t>:</w:t>
            </w:r>
            <w:r>
              <w:rPr>
                <w:rFonts w:ascii="Times New Roman" w:hAnsi="Times New Roman"/>
                <w:sz w:val="24"/>
                <w:szCs w:val="24"/>
              </w:rPr>
              <w:t xml:space="preserve">  </w:t>
            </w:r>
            <w:r w:rsidRPr="00B06DC4">
              <w:rPr>
                <w:rFonts w:ascii="Times New Roman" w:hAnsi="Times New Roman"/>
                <w:sz w:val="24"/>
                <w:szCs w:val="24"/>
              </w:rPr>
              <w:t>Should one or more of the performance and service specifications implemented by the participants in the Exchange be included in our proposed set of CTEs?  If so, please indicate which one(s) and provide your reasons for including them in one or more CTEs.  If not, please indicate which one(s) and your reasons (including any technical or policy challenges you believe exist) for not including them in one or more CTEs.</w:t>
            </w:r>
          </w:p>
        </w:tc>
      </w:tr>
      <w:tr w:rsidR="00F1126B" w:rsidRPr="00A36FD5" w:rsidTr="00C310C9">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F1126B" w:rsidRPr="00A36FD5" w:rsidRDefault="00F1126B" w:rsidP="00C310C9">
            <w:pPr>
              <w:ind w:left="90"/>
              <w:rPr>
                <w:sz w:val="20"/>
                <w:szCs w:val="20"/>
              </w:rPr>
            </w:pPr>
            <w:r>
              <w:rPr>
                <w:rFonts w:ascii="Times New Roman" w:hAnsi="Times New Roman"/>
                <w:sz w:val="24"/>
                <w:szCs w:val="24"/>
                <w:u w:val="single"/>
              </w:rPr>
              <w:t>Question Context:</w:t>
            </w:r>
            <w:r>
              <w:rPr>
                <w:rFonts w:ascii="Times New Roman" w:hAnsi="Times New Roman"/>
                <w:sz w:val="24"/>
                <w:szCs w:val="24"/>
              </w:rPr>
              <w:t xml:space="preserve">  </w:t>
            </w:r>
          </w:p>
        </w:tc>
      </w:tr>
      <w:tr w:rsidR="00F1126B" w:rsidRPr="00A36FD5" w:rsidTr="00C310C9">
        <w:trPr>
          <w:cnfStyle w:val="000000100000"/>
        </w:trPr>
        <w:tc>
          <w:tcPr>
            <w:cnfStyle w:val="001000000000"/>
            <w:tcW w:w="5000" w:type="pct"/>
            <w:shd w:val="clear" w:color="auto" w:fill="FFFFFF" w:themeFill="background1"/>
          </w:tcPr>
          <w:p w:rsidR="00F1126B" w:rsidRPr="00FE5B4D" w:rsidRDefault="00F1126B" w:rsidP="00C310C9">
            <w:pPr>
              <w:spacing w:before="40" w:after="60"/>
              <w:rPr>
                <w:rFonts w:ascii="Times New Roman" w:hAnsi="Times New Roman" w:cs="Times New Roman"/>
              </w:rPr>
            </w:pPr>
          </w:p>
        </w:tc>
      </w:tr>
    </w:tbl>
    <w:p w:rsidR="00F1126B" w:rsidRDefault="00F1126B" w:rsidP="00094310">
      <w:pPr>
        <w:tabs>
          <w:tab w:val="left" w:pos="900"/>
          <w:tab w:val="left" w:pos="2790"/>
        </w:tabs>
      </w:pPr>
    </w:p>
    <w:tbl>
      <w:tblPr>
        <w:tblStyle w:val="MediumShading1-Accent11"/>
        <w:tblW w:w="5000" w:type="pct"/>
        <w:tblLook w:val="04A0"/>
      </w:tblPr>
      <w:tblGrid>
        <w:gridCol w:w="14616"/>
      </w:tblGrid>
      <w:tr w:rsidR="00564387" w:rsidRPr="002E56FA">
        <w:trPr>
          <w:cnfStyle w:val="100000000000"/>
          <w:tblHeader/>
        </w:trPr>
        <w:tc>
          <w:tcPr>
            <w:cnfStyle w:val="001000000000"/>
            <w:tcW w:w="5000" w:type="pct"/>
          </w:tcPr>
          <w:p w:rsidR="00564387" w:rsidRPr="002E56FA" w:rsidRDefault="009B10F9" w:rsidP="00B551EA">
            <w:r w:rsidRPr="00D0175B">
              <w:t>Request for Additional CTEs</w:t>
            </w:r>
            <w:r>
              <w:t xml:space="preserve">   </w:t>
            </w:r>
          </w:p>
        </w:tc>
      </w:tr>
      <w:tr w:rsidR="009B10F9" w:rsidRPr="00A36FD5">
        <w:trPr>
          <w:cnfStyle w:val="000000100000"/>
        </w:trPr>
        <w:tc>
          <w:tcPr>
            <w:cnfStyle w:val="001000000000"/>
            <w:tcW w:w="5000" w:type="pct"/>
            <w:shd w:val="clear" w:color="auto" w:fill="DBE5F1" w:themeFill="accent1" w:themeFillTint="33"/>
          </w:tcPr>
          <w:p w:rsidR="009B10F9" w:rsidRPr="009B10F9" w:rsidRDefault="009B10F9" w:rsidP="009B10F9">
            <w:pPr>
              <w:rPr>
                <w:rFonts w:ascii="Times New Roman" w:hAnsi="Times New Roman"/>
                <w:sz w:val="24"/>
                <w:szCs w:val="24"/>
              </w:rPr>
            </w:pPr>
            <w:r w:rsidRPr="009B10F9">
              <w:rPr>
                <w:rFonts w:ascii="Times New Roman" w:hAnsi="Times New Roman"/>
                <w:sz w:val="24"/>
                <w:szCs w:val="24"/>
                <w:u w:val="single"/>
              </w:rPr>
              <w:t>Question 58:</w:t>
            </w:r>
            <w:r w:rsidRPr="009B10F9">
              <w:rPr>
                <w:rFonts w:ascii="Times New Roman" w:hAnsi="Times New Roman"/>
                <w:sz w:val="24"/>
                <w:szCs w:val="24"/>
              </w:rPr>
              <w:t xml:space="preserve">  In the notice of proposed rulemaking (NPRM) we intend to subsequently issue, should the above CTEs as well as any others we consider for the NPRM be packaged together for the purposes of validation?  In other words, would it make sense to allow for validation to different bundles of safeguard, interoperability, and business practice CTEs for different electronic exchange circumstances? </w:t>
            </w:r>
          </w:p>
          <w:p w:rsidR="009B10F9" w:rsidRPr="009B10F9" w:rsidRDefault="009B10F9" w:rsidP="009B10F9">
            <w:pPr>
              <w:tabs>
                <w:tab w:val="left" w:pos="2323"/>
              </w:tabs>
              <w:ind w:left="90"/>
              <w:rPr>
                <w:rFonts w:ascii="Times New Roman" w:hAnsi="Times New Roman"/>
                <w:sz w:val="24"/>
                <w:szCs w:val="24"/>
              </w:rPr>
            </w:pPr>
          </w:p>
        </w:tc>
      </w:tr>
      <w:tr w:rsidR="009B10F9"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9B10F9" w:rsidRPr="00A36FD5" w:rsidRDefault="009B10F9" w:rsidP="00930D25">
            <w:pPr>
              <w:ind w:left="90"/>
              <w:rPr>
                <w:sz w:val="20"/>
                <w:szCs w:val="20"/>
              </w:rPr>
            </w:pPr>
            <w:r>
              <w:rPr>
                <w:rFonts w:ascii="Times New Roman" w:hAnsi="Times New Roman"/>
                <w:sz w:val="24"/>
                <w:szCs w:val="24"/>
                <w:u w:val="single"/>
              </w:rPr>
              <w:t>Question Context:</w:t>
            </w:r>
            <w:r>
              <w:rPr>
                <w:rFonts w:ascii="Times New Roman" w:hAnsi="Times New Roman"/>
                <w:sz w:val="24"/>
                <w:szCs w:val="24"/>
              </w:rPr>
              <w:t xml:space="preserve">  </w:t>
            </w:r>
          </w:p>
        </w:tc>
      </w:tr>
      <w:tr w:rsidR="009B10F9" w:rsidRPr="00A36FD5">
        <w:trPr>
          <w:cnfStyle w:val="000000100000"/>
        </w:trPr>
        <w:tc>
          <w:tcPr>
            <w:cnfStyle w:val="001000000000"/>
            <w:tcW w:w="5000" w:type="pct"/>
            <w:shd w:val="clear" w:color="auto" w:fill="FFFFFF" w:themeFill="background1"/>
          </w:tcPr>
          <w:p w:rsidR="009B10F9" w:rsidRPr="004D4847" w:rsidRDefault="00984D18" w:rsidP="00B551EA">
            <w:pPr>
              <w:tabs>
                <w:tab w:val="left" w:pos="1440"/>
              </w:tabs>
              <w:spacing w:before="40" w:after="60"/>
              <w:rPr>
                <w:rFonts w:ascii="Times New Roman" w:hAnsi="Times New Roman" w:cs="Times New Roman"/>
                <w:b w:val="0"/>
              </w:rPr>
            </w:pPr>
            <w:r w:rsidRPr="004D4847">
              <w:rPr>
                <w:rFonts w:ascii="Times New Roman" w:hAnsi="Times New Roman" w:cs="Times New Roman"/>
                <w:b w:val="0"/>
              </w:rPr>
              <w:t xml:space="preserve">Yes, they should be bundled modularly.  No one size fits all.  The </w:t>
            </w:r>
            <w:r w:rsidR="00776E47">
              <w:rPr>
                <w:rFonts w:ascii="Times New Roman" w:hAnsi="Times New Roman" w:cs="Times New Roman"/>
                <w:b w:val="0"/>
              </w:rPr>
              <w:t>HITPC</w:t>
            </w:r>
            <w:r w:rsidRPr="004D4847">
              <w:rPr>
                <w:rFonts w:ascii="Times New Roman" w:hAnsi="Times New Roman" w:cs="Times New Roman"/>
                <w:b w:val="0"/>
              </w:rPr>
              <w:t xml:space="preserve"> </w:t>
            </w:r>
            <w:r w:rsidR="00517DC8" w:rsidRPr="004D4847">
              <w:rPr>
                <w:rFonts w:ascii="Times New Roman" w:hAnsi="Times New Roman" w:cs="Times New Roman"/>
                <w:b w:val="0"/>
              </w:rPr>
              <w:t>repeats</w:t>
            </w:r>
            <w:r w:rsidRPr="004D4847">
              <w:rPr>
                <w:rFonts w:ascii="Times New Roman" w:hAnsi="Times New Roman" w:cs="Times New Roman"/>
                <w:b w:val="0"/>
              </w:rPr>
              <w:t xml:space="preserve"> that </w:t>
            </w:r>
            <w:r w:rsidR="00087BC0" w:rsidRPr="004D4847">
              <w:rPr>
                <w:rFonts w:ascii="Times New Roman" w:hAnsi="Times New Roman" w:cs="Times New Roman"/>
                <w:b w:val="0"/>
              </w:rPr>
              <w:t xml:space="preserve">interoperability CTEs should be modularly certified.  </w:t>
            </w:r>
            <w:r w:rsidRPr="004D4847">
              <w:rPr>
                <w:rFonts w:ascii="Times New Roman" w:hAnsi="Times New Roman" w:cs="Times New Roman"/>
                <w:b w:val="0"/>
              </w:rPr>
              <w:t>Then, those Safe</w:t>
            </w:r>
            <w:r w:rsidR="00087BC0" w:rsidRPr="004D4847">
              <w:rPr>
                <w:rFonts w:ascii="Times New Roman" w:hAnsi="Times New Roman" w:cs="Times New Roman"/>
                <w:b w:val="0"/>
              </w:rPr>
              <w:t>guard and B</w:t>
            </w:r>
            <w:r w:rsidRPr="004D4847">
              <w:rPr>
                <w:rFonts w:ascii="Times New Roman" w:hAnsi="Times New Roman" w:cs="Times New Roman"/>
                <w:b w:val="0"/>
              </w:rPr>
              <w:t xml:space="preserve">usiness </w:t>
            </w:r>
            <w:r w:rsidR="00087BC0" w:rsidRPr="004D4847">
              <w:rPr>
                <w:rFonts w:ascii="Times New Roman" w:hAnsi="Times New Roman" w:cs="Times New Roman"/>
                <w:b w:val="0"/>
              </w:rPr>
              <w:t>P</w:t>
            </w:r>
            <w:r w:rsidRPr="004D4847">
              <w:rPr>
                <w:rFonts w:ascii="Times New Roman" w:hAnsi="Times New Roman" w:cs="Times New Roman"/>
                <w:b w:val="0"/>
              </w:rPr>
              <w:t>ractice</w:t>
            </w:r>
            <w:r w:rsidR="00087BC0" w:rsidRPr="004D4847">
              <w:rPr>
                <w:rFonts w:ascii="Times New Roman" w:hAnsi="Times New Roman" w:cs="Times New Roman"/>
                <w:b w:val="0"/>
              </w:rPr>
              <w:t xml:space="preserve"> CTEs </w:t>
            </w:r>
            <w:proofErr w:type="gramStart"/>
            <w:r w:rsidR="00087BC0" w:rsidRPr="004D4847">
              <w:rPr>
                <w:rFonts w:ascii="Times New Roman" w:hAnsi="Times New Roman" w:cs="Times New Roman"/>
                <w:b w:val="0"/>
              </w:rPr>
              <w:t>that are</w:t>
            </w:r>
            <w:proofErr w:type="gramEnd"/>
            <w:r w:rsidR="00087BC0" w:rsidRPr="004D4847">
              <w:rPr>
                <w:rFonts w:ascii="Times New Roman" w:hAnsi="Times New Roman" w:cs="Times New Roman"/>
                <w:b w:val="0"/>
              </w:rPr>
              <w:t xml:space="preserve"> </w:t>
            </w:r>
            <w:r w:rsidRPr="004D4847">
              <w:rPr>
                <w:rFonts w:ascii="Times New Roman" w:hAnsi="Times New Roman" w:cs="Times New Roman"/>
                <w:b w:val="0"/>
              </w:rPr>
              <w:t>most appropriate to certain I</w:t>
            </w:r>
            <w:r w:rsidR="00087BC0" w:rsidRPr="004D4847">
              <w:rPr>
                <w:rFonts w:ascii="Times New Roman" w:hAnsi="Times New Roman" w:cs="Times New Roman"/>
                <w:b w:val="0"/>
              </w:rPr>
              <w:t>nterop</w:t>
            </w:r>
            <w:r w:rsidRPr="004D4847">
              <w:rPr>
                <w:rFonts w:ascii="Times New Roman" w:hAnsi="Times New Roman" w:cs="Times New Roman"/>
                <w:b w:val="0"/>
              </w:rPr>
              <w:t>erability</w:t>
            </w:r>
            <w:r w:rsidR="00087BC0" w:rsidRPr="004D4847">
              <w:rPr>
                <w:rFonts w:ascii="Times New Roman" w:hAnsi="Times New Roman" w:cs="Times New Roman"/>
                <w:b w:val="0"/>
              </w:rPr>
              <w:t xml:space="preserve"> CTEs and could be packaged together with them.  </w:t>
            </w:r>
            <w:r w:rsidRPr="004D4847">
              <w:rPr>
                <w:rFonts w:ascii="Times New Roman" w:hAnsi="Times New Roman" w:cs="Times New Roman"/>
                <w:b w:val="0"/>
              </w:rPr>
              <w:t xml:space="preserve">Some </w:t>
            </w:r>
            <w:proofErr w:type="gramStart"/>
            <w:r w:rsidR="00087BC0" w:rsidRPr="004D4847">
              <w:rPr>
                <w:rFonts w:ascii="Times New Roman" w:hAnsi="Times New Roman" w:cs="Times New Roman"/>
                <w:b w:val="0"/>
              </w:rPr>
              <w:t>S</w:t>
            </w:r>
            <w:r w:rsidRPr="004D4847">
              <w:rPr>
                <w:rFonts w:ascii="Times New Roman" w:hAnsi="Times New Roman" w:cs="Times New Roman"/>
                <w:b w:val="0"/>
              </w:rPr>
              <w:t xml:space="preserve">afeguard </w:t>
            </w:r>
            <w:r w:rsidR="00087BC0" w:rsidRPr="004D4847">
              <w:rPr>
                <w:rFonts w:ascii="Times New Roman" w:hAnsi="Times New Roman" w:cs="Times New Roman"/>
                <w:b w:val="0"/>
              </w:rPr>
              <w:t xml:space="preserve"> and</w:t>
            </w:r>
            <w:proofErr w:type="gramEnd"/>
            <w:r w:rsidR="00087BC0" w:rsidRPr="004D4847">
              <w:rPr>
                <w:rFonts w:ascii="Times New Roman" w:hAnsi="Times New Roman" w:cs="Times New Roman"/>
                <w:b w:val="0"/>
              </w:rPr>
              <w:t xml:space="preserve"> B</w:t>
            </w:r>
            <w:r w:rsidRPr="004D4847">
              <w:rPr>
                <w:rFonts w:ascii="Times New Roman" w:hAnsi="Times New Roman" w:cs="Times New Roman"/>
                <w:b w:val="0"/>
              </w:rPr>
              <w:t xml:space="preserve">usiness </w:t>
            </w:r>
            <w:r w:rsidR="00087BC0" w:rsidRPr="004D4847">
              <w:rPr>
                <w:rFonts w:ascii="Times New Roman" w:hAnsi="Times New Roman" w:cs="Times New Roman"/>
                <w:b w:val="0"/>
              </w:rPr>
              <w:t>P</w:t>
            </w:r>
            <w:r w:rsidRPr="004D4847">
              <w:rPr>
                <w:rFonts w:ascii="Times New Roman" w:hAnsi="Times New Roman" w:cs="Times New Roman"/>
                <w:b w:val="0"/>
              </w:rPr>
              <w:t>ractice CTE</w:t>
            </w:r>
            <w:r w:rsidR="00087BC0" w:rsidRPr="004D4847">
              <w:rPr>
                <w:rFonts w:ascii="Times New Roman" w:hAnsi="Times New Roman" w:cs="Times New Roman"/>
                <w:b w:val="0"/>
              </w:rPr>
              <w:t xml:space="preserve">s might be </w:t>
            </w:r>
            <w:proofErr w:type="spellStart"/>
            <w:r w:rsidR="00087BC0" w:rsidRPr="004D4847">
              <w:rPr>
                <w:rFonts w:ascii="Times New Roman" w:hAnsi="Times New Roman" w:cs="Times New Roman"/>
                <w:b w:val="0"/>
              </w:rPr>
              <w:t>accreditable</w:t>
            </w:r>
            <w:proofErr w:type="spellEnd"/>
            <w:r w:rsidR="00087BC0" w:rsidRPr="004D4847">
              <w:rPr>
                <w:rFonts w:ascii="Times New Roman" w:hAnsi="Times New Roman" w:cs="Times New Roman"/>
                <w:b w:val="0"/>
              </w:rPr>
              <w:t xml:space="preserve"> even in absence of any Interop</w:t>
            </w:r>
            <w:r w:rsidRPr="004D4847">
              <w:rPr>
                <w:rFonts w:ascii="Times New Roman" w:hAnsi="Times New Roman" w:cs="Times New Roman"/>
                <w:b w:val="0"/>
              </w:rPr>
              <w:t xml:space="preserve">erability CTEs, i.e.  </w:t>
            </w:r>
            <w:proofErr w:type="gramStart"/>
            <w:r w:rsidR="00087BC0" w:rsidRPr="004D4847">
              <w:rPr>
                <w:rFonts w:ascii="Times New Roman" w:hAnsi="Times New Roman" w:cs="Times New Roman"/>
                <w:b w:val="0"/>
              </w:rPr>
              <w:t>a</w:t>
            </w:r>
            <w:proofErr w:type="gramEnd"/>
            <w:r w:rsidR="00087BC0" w:rsidRPr="004D4847">
              <w:rPr>
                <w:rFonts w:ascii="Times New Roman" w:hAnsi="Times New Roman" w:cs="Times New Roman"/>
                <w:b w:val="0"/>
              </w:rPr>
              <w:t xml:space="preserve"> combination of S</w:t>
            </w:r>
            <w:r w:rsidRPr="004D4847">
              <w:rPr>
                <w:rFonts w:ascii="Times New Roman" w:hAnsi="Times New Roman" w:cs="Times New Roman"/>
                <w:b w:val="0"/>
              </w:rPr>
              <w:t>afeguard</w:t>
            </w:r>
            <w:r w:rsidR="00087BC0" w:rsidRPr="004D4847">
              <w:rPr>
                <w:rFonts w:ascii="Times New Roman" w:hAnsi="Times New Roman" w:cs="Times New Roman"/>
                <w:b w:val="0"/>
              </w:rPr>
              <w:t xml:space="preserve"> and B</w:t>
            </w:r>
            <w:r w:rsidRPr="004D4847">
              <w:rPr>
                <w:rFonts w:ascii="Times New Roman" w:hAnsi="Times New Roman" w:cs="Times New Roman"/>
                <w:b w:val="0"/>
              </w:rPr>
              <w:t xml:space="preserve">usiness </w:t>
            </w:r>
            <w:r w:rsidR="00087BC0" w:rsidRPr="004D4847">
              <w:rPr>
                <w:rFonts w:ascii="Times New Roman" w:hAnsi="Times New Roman" w:cs="Times New Roman"/>
                <w:b w:val="0"/>
              </w:rPr>
              <w:t>P</w:t>
            </w:r>
            <w:r w:rsidRPr="004D4847">
              <w:rPr>
                <w:rFonts w:ascii="Times New Roman" w:hAnsi="Times New Roman" w:cs="Times New Roman"/>
                <w:b w:val="0"/>
              </w:rPr>
              <w:t xml:space="preserve">ractice </w:t>
            </w:r>
            <w:r w:rsidR="00087BC0" w:rsidRPr="004D4847">
              <w:rPr>
                <w:rFonts w:ascii="Times New Roman" w:hAnsi="Times New Roman" w:cs="Times New Roman"/>
                <w:b w:val="0"/>
              </w:rPr>
              <w:t xml:space="preserve"> CTEs would have common applicability</w:t>
            </w:r>
            <w:r w:rsidRPr="004D4847">
              <w:rPr>
                <w:rFonts w:ascii="Times New Roman" w:hAnsi="Times New Roman" w:cs="Times New Roman"/>
                <w:b w:val="0"/>
              </w:rPr>
              <w:t xml:space="preserve">, and/or </w:t>
            </w:r>
            <w:r w:rsidR="00087BC0" w:rsidRPr="004D4847">
              <w:rPr>
                <w:rFonts w:ascii="Times New Roman" w:hAnsi="Times New Roman" w:cs="Times New Roman"/>
                <w:b w:val="0"/>
              </w:rPr>
              <w:t>some entity might not be validated for any interop</w:t>
            </w:r>
            <w:r w:rsidRPr="004D4847">
              <w:rPr>
                <w:rFonts w:ascii="Times New Roman" w:hAnsi="Times New Roman" w:cs="Times New Roman"/>
                <w:b w:val="0"/>
              </w:rPr>
              <w:t>erability</w:t>
            </w:r>
            <w:r w:rsidR="00087BC0" w:rsidRPr="004D4847">
              <w:rPr>
                <w:rFonts w:ascii="Times New Roman" w:hAnsi="Times New Roman" w:cs="Times New Roman"/>
                <w:b w:val="0"/>
              </w:rPr>
              <w:t xml:space="preserve"> CTEs.  </w:t>
            </w:r>
            <w:r w:rsidR="009B10F9" w:rsidRPr="004D4847">
              <w:rPr>
                <w:rFonts w:ascii="Times New Roman" w:hAnsi="Times New Roman" w:cs="Times New Roman"/>
                <w:b w:val="0"/>
              </w:rPr>
              <w:tab/>
            </w:r>
          </w:p>
          <w:p w:rsidR="009B10F9" w:rsidRPr="004D4847" w:rsidRDefault="009B10F9" w:rsidP="00B551EA">
            <w:pPr>
              <w:tabs>
                <w:tab w:val="left" w:pos="1440"/>
              </w:tabs>
              <w:spacing w:before="40" w:after="60"/>
              <w:rPr>
                <w:rFonts w:ascii="Times New Roman" w:hAnsi="Times New Roman" w:cs="Times New Roman"/>
                <w:b w:val="0"/>
              </w:rPr>
            </w:pPr>
          </w:p>
        </w:tc>
      </w:tr>
    </w:tbl>
    <w:p w:rsidR="00564387" w:rsidRDefault="00564387" w:rsidP="00094310">
      <w:pPr>
        <w:tabs>
          <w:tab w:val="left" w:pos="900"/>
          <w:tab w:val="left" w:pos="2790"/>
        </w:tabs>
      </w:pPr>
    </w:p>
    <w:tbl>
      <w:tblPr>
        <w:tblStyle w:val="MediumShading1-Accent11"/>
        <w:tblW w:w="5000" w:type="pct"/>
        <w:tblLook w:val="04A0"/>
      </w:tblPr>
      <w:tblGrid>
        <w:gridCol w:w="14616"/>
      </w:tblGrid>
      <w:tr w:rsidR="00F1126B" w:rsidRPr="002E56FA" w:rsidTr="00C310C9">
        <w:trPr>
          <w:cnfStyle w:val="100000000000"/>
          <w:tblHeader/>
        </w:trPr>
        <w:tc>
          <w:tcPr>
            <w:cnfStyle w:val="001000000000"/>
            <w:tcW w:w="5000" w:type="pct"/>
          </w:tcPr>
          <w:p w:rsidR="00F1126B" w:rsidRPr="009B10F9" w:rsidRDefault="00F1126B" w:rsidP="00C310C9">
            <w:r w:rsidRPr="009B10F9">
              <w:rPr>
                <w:rFonts w:ascii="Times New Roman" w:hAnsi="Times New Roman"/>
                <w:sz w:val="24"/>
                <w:szCs w:val="24"/>
              </w:rPr>
              <w:t>Request for Additional CTEs</w:t>
            </w:r>
            <w:r w:rsidRPr="009B10F9">
              <w:t xml:space="preserve">   </w:t>
            </w:r>
          </w:p>
        </w:tc>
      </w:tr>
      <w:tr w:rsidR="00F1126B" w:rsidRPr="00A36FD5" w:rsidTr="00C310C9">
        <w:trPr>
          <w:cnfStyle w:val="000000100000"/>
        </w:trPr>
        <w:tc>
          <w:tcPr>
            <w:cnfStyle w:val="001000000000"/>
            <w:tcW w:w="5000" w:type="pct"/>
            <w:shd w:val="clear" w:color="auto" w:fill="DBE5F1" w:themeFill="accent1" w:themeFillTint="33"/>
          </w:tcPr>
          <w:p w:rsidR="00F1126B" w:rsidRPr="0021208B" w:rsidRDefault="00F1126B" w:rsidP="00C310C9">
            <w:pPr>
              <w:pStyle w:val="Default"/>
              <w:autoSpaceDE/>
              <w:autoSpaceDN/>
              <w:adjustRightInd/>
              <w:contextualSpacing/>
              <w:rPr>
                <w:rFonts w:eastAsia="Times New Roman"/>
                <w:color w:val="auto"/>
              </w:rPr>
            </w:pPr>
            <w:r w:rsidRPr="009B10F9">
              <w:rPr>
                <w:rFonts w:ascii="Times New Roman" w:hAnsi="Times New Roman"/>
                <w:u w:val="single"/>
              </w:rPr>
              <w:t>Question 5</w:t>
            </w:r>
            <w:r>
              <w:rPr>
                <w:rFonts w:ascii="Times New Roman" w:hAnsi="Times New Roman"/>
                <w:u w:val="single"/>
              </w:rPr>
              <w:t>9</w:t>
            </w:r>
            <w:r w:rsidRPr="009B10F9">
              <w:rPr>
                <w:rFonts w:ascii="Times New Roman" w:hAnsi="Times New Roman"/>
                <w:u w:val="single"/>
              </w:rPr>
              <w:t>:</w:t>
            </w:r>
            <w:r w:rsidRPr="009B10F9">
              <w:rPr>
                <w:rFonts w:ascii="Times New Roman" w:hAnsi="Times New Roman"/>
              </w:rPr>
              <w:t xml:space="preserve">  </w:t>
            </w:r>
            <w:r w:rsidRPr="0021208B">
              <w:rPr>
                <w:sz w:val="23"/>
                <w:szCs w:val="23"/>
              </w:rPr>
              <w:t xml:space="preserve">Should we consider including safe harbors for certain CTEs? If so, which CTEs and what should the safe harbor(s) be? </w:t>
            </w:r>
          </w:p>
          <w:p w:rsidR="00F1126B" w:rsidRPr="009B10F9" w:rsidRDefault="00F1126B" w:rsidP="00C310C9">
            <w:pPr>
              <w:rPr>
                <w:rFonts w:ascii="Times New Roman" w:hAnsi="Times New Roman"/>
                <w:sz w:val="24"/>
                <w:szCs w:val="24"/>
              </w:rPr>
            </w:pPr>
          </w:p>
          <w:p w:rsidR="00F1126B" w:rsidRPr="009B10F9" w:rsidRDefault="00F1126B" w:rsidP="00C310C9">
            <w:pPr>
              <w:tabs>
                <w:tab w:val="left" w:pos="2323"/>
              </w:tabs>
              <w:ind w:left="90"/>
              <w:rPr>
                <w:rFonts w:ascii="Times New Roman" w:hAnsi="Times New Roman"/>
                <w:sz w:val="24"/>
                <w:szCs w:val="24"/>
              </w:rPr>
            </w:pPr>
          </w:p>
        </w:tc>
      </w:tr>
      <w:tr w:rsidR="00F1126B" w:rsidRPr="00A36FD5" w:rsidTr="00C310C9">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F1126B" w:rsidRDefault="00F1126B" w:rsidP="00C310C9">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w:t>
            </w:r>
          </w:p>
          <w:p w:rsidR="00F1126B" w:rsidRPr="00A36FD5" w:rsidRDefault="00F1126B" w:rsidP="00C310C9">
            <w:pPr>
              <w:ind w:left="90"/>
              <w:rPr>
                <w:sz w:val="20"/>
                <w:szCs w:val="20"/>
              </w:rPr>
            </w:pPr>
          </w:p>
        </w:tc>
      </w:tr>
      <w:tr w:rsidR="00F1126B" w:rsidRPr="00A36FD5" w:rsidTr="00C310C9">
        <w:trPr>
          <w:cnfStyle w:val="000000100000"/>
        </w:trPr>
        <w:tc>
          <w:tcPr>
            <w:cnfStyle w:val="001000000000"/>
            <w:tcW w:w="5000" w:type="pct"/>
            <w:shd w:val="clear" w:color="auto" w:fill="FFFFFF" w:themeFill="background1"/>
          </w:tcPr>
          <w:p w:rsidR="00F1126B" w:rsidRDefault="00F1126B" w:rsidP="00C310C9">
            <w:pPr>
              <w:tabs>
                <w:tab w:val="left" w:pos="1440"/>
              </w:tabs>
              <w:spacing w:before="40" w:after="60"/>
              <w:rPr>
                <w:rFonts w:ascii="Times New Roman" w:hAnsi="Times New Roman" w:cs="Times New Roman"/>
                <w:b w:val="0"/>
                <w:sz w:val="20"/>
                <w:szCs w:val="20"/>
              </w:rPr>
            </w:pPr>
          </w:p>
          <w:p w:rsidR="00F1126B" w:rsidRPr="00A36FD5" w:rsidRDefault="00F1126B" w:rsidP="00C310C9">
            <w:pPr>
              <w:tabs>
                <w:tab w:val="left" w:pos="1440"/>
              </w:tabs>
              <w:spacing w:before="40" w:after="60"/>
              <w:rPr>
                <w:rFonts w:ascii="Times New Roman" w:hAnsi="Times New Roman" w:cs="Times New Roman"/>
                <w:b w:val="0"/>
                <w:sz w:val="20"/>
                <w:szCs w:val="20"/>
              </w:rPr>
            </w:pPr>
          </w:p>
        </w:tc>
      </w:tr>
    </w:tbl>
    <w:p w:rsidR="00F1126B" w:rsidRDefault="00F1126B" w:rsidP="00094310">
      <w:pPr>
        <w:tabs>
          <w:tab w:val="left" w:pos="900"/>
          <w:tab w:val="left" w:pos="2790"/>
        </w:tabs>
      </w:pPr>
    </w:p>
    <w:p w:rsidR="00F1126B" w:rsidRDefault="00F1126B" w:rsidP="00094310">
      <w:pPr>
        <w:tabs>
          <w:tab w:val="left" w:pos="900"/>
          <w:tab w:val="left" w:pos="2790"/>
        </w:tabs>
      </w:pPr>
    </w:p>
    <w:tbl>
      <w:tblPr>
        <w:tblStyle w:val="MediumShading1-Accent11"/>
        <w:tblW w:w="5000" w:type="pct"/>
        <w:tblLook w:val="04A0"/>
      </w:tblPr>
      <w:tblGrid>
        <w:gridCol w:w="14616"/>
      </w:tblGrid>
      <w:tr w:rsidR="00564387" w:rsidRPr="002E56FA">
        <w:trPr>
          <w:cnfStyle w:val="100000000000"/>
          <w:tblHeader/>
        </w:trPr>
        <w:tc>
          <w:tcPr>
            <w:cnfStyle w:val="001000000000"/>
            <w:tcW w:w="5000" w:type="pct"/>
          </w:tcPr>
          <w:p w:rsidR="00564387" w:rsidRPr="009B10F9" w:rsidRDefault="009B10F9" w:rsidP="009B10F9">
            <w:r w:rsidRPr="009B10F9">
              <w:rPr>
                <w:rFonts w:ascii="Times New Roman" w:hAnsi="Times New Roman"/>
                <w:sz w:val="24"/>
                <w:szCs w:val="24"/>
              </w:rPr>
              <w:t>CTE Life Cycle</w:t>
            </w:r>
          </w:p>
        </w:tc>
      </w:tr>
      <w:tr w:rsidR="009B10F9" w:rsidRPr="00A36FD5">
        <w:trPr>
          <w:cnfStyle w:val="000000100000"/>
        </w:trPr>
        <w:tc>
          <w:tcPr>
            <w:cnfStyle w:val="001000000000"/>
            <w:tcW w:w="5000" w:type="pct"/>
            <w:shd w:val="clear" w:color="auto" w:fill="DBE5F1" w:themeFill="accent1" w:themeFillTint="33"/>
          </w:tcPr>
          <w:p w:rsidR="009B10F9" w:rsidRPr="0021208B" w:rsidRDefault="009B10F9" w:rsidP="00930D25">
            <w:pPr>
              <w:pStyle w:val="Default"/>
              <w:autoSpaceDE/>
              <w:autoSpaceDN/>
              <w:adjustRightInd/>
              <w:contextualSpacing/>
              <w:rPr>
                <w:rFonts w:eastAsia="Times New Roman"/>
                <w:color w:val="auto"/>
              </w:rPr>
            </w:pPr>
            <w:r w:rsidRPr="009B10F9">
              <w:rPr>
                <w:rFonts w:ascii="Times New Roman" w:hAnsi="Times New Roman"/>
                <w:u w:val="single"/>
              </w:rPr>
              <w:lastRenderedPageBreak/>
              <w:t xml:space="preserve">Question </w:t>
            </w:r>
            <w:r>
              <w:rPr>
                <w:rFonts w:ascii="Times New Roman" w:hAnsi="Times New Roman"/>
                <w:u w:val="single"/>
              </w:rPr>
              <w:t>60</w:t>
            </w:r>
            <w:r w:rsidRPr="009B10F9">
              <w:rPr>
                <w:rFonts w:ascii="Times New Roman" w:hAnsi="Times New Roman"/>
                <w:u w:val="single"/>
              </w:rPr>
              <w:t>:</w:t>
            </w:r>
            <w:r w:rsidRPr="009B10F9">
              <w:rPr>
                <w:rFonts w:ascii="Times New Roman" w:hAnsi="Times New Roman"/>
              </w:rPr>
              <w:t xml:space="preserve">  </w:t>
            </w:r>
            <w:r w:rsidRPr="00160096">
              <w:rPr>
                <w:rFonts w:ascii="Times New Roman" w:hAnsi="Times New Roman"/>
              </w:rPr>
              <w:t>What process should we use to update CTEs?</w:t>
            </w:r>
          </w:p>
          <w:p w:rsidR="009B10F9" w:rsidRPr="009B10F9" w:rsidRDefault="009B10F9" w:rsidP="00930D25">
            <w:pPr>
              <w:rPr>
                <w:rFonts w:ascii="Times New Roman" w:hAnsi="Times New Roman"/>
                <w:sz w:val="24"/>
                <w:szCs w:val="24"/>
              </w:rPr>
            </w:pPr>
          </w:p>
          <w:p w:rsidR="009B10F9" w:rsidRPr="009B10F9" w:rsidRDefault="009B10F9" w:rsidP="00930D25">
            <w:pPr>
              <w:tabs>
                <w:tab w:val="left" w:pos="2323"/>
              </w:tabs>
              <w:ind w:left="90"/>
              <w:rPr>
                <w:rFonts w:ascii="Times New Roman" w:hAnsi="Times New Roman"/>
                <w:sz w:val="24"/>
                <w:szCs w:val="24"/>
              </w:rPr>
            </w:pPr>
          </w:p>
        </w:tc>
      </w:tr>
      <w:tr w:rsidR="009B10F9"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9B10F9" w:rsidRDefault="009B10F9" w:rsidP="00930D25">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w:t>
            </w:r>
          </w:p>
          <w:p w:rsidR="009B10F9" w:rsidRPr="00A36FD5" w:rsidRDefault="009B10F9" w:rsidP="00930D25">
            <w:pPr>
              <w:ind w:left="90"/>
              <w:rPr>
                <w:sz w:val="20"/>
                <w:szCs w:val="20"/>
              </w:rPr>
            </w:pPr>
          </w:p>
        </w:tc>
      </w:tr>
      <w:tr w:rsidR="009B10F9" w:rsidRPr="00A36FD5">
        <w:trPr>
          <w:cnfStyle w:val="000000100000"/>
        </w:trPr>
        <w:tc>
          <w:tcPr>
            <w:cnfStyle w:val="001000000000"/>
            <w:tcW w:w="5000" w:type="pct"/>
            <w:shd w:val="clear" w:color="auto" w:fill="FFFFFF" w:themeFill="background1"/>
          </w:tcPr>
          <w:p w:rsidR="006B70B7" w:rsidRPr="001C4445" w:rsidRDefault="00E978EE" w:rsidP="006B70B7">
            <w:pPr>
              <w:rPr>
                <w:rFonts w:ascii="Times New Roman" w:hAnsi="Times New Roman" w:cs="Times New Roman"/>
                <w:b w:val="0"/>
              </w:rPr>
            </w:pPr>
            <w:r w:rsidRPr="001C4445">
              <w:rPr>
                <w:rFonts w:ascii="Times New Roman" w:hAnsi="Times New Roman" w:cs="Times New Roman"/>
                <w:b w:val="0"/>
              </w:rPr>
              <w:t xml:space="preserve">The </w:t>
            </w:r>
            <w:r w:rsidR="00776E47">
              <w:rPr>
                <w:rFonts w:ascii="Times New Roman" w:hAnsi="Times New Roman" w:cs="Times New Roman"/>
                <w:b w:val="0"/>
              </w:rPr>
              <w:t>HITPC</w:t>
            </w:r>
            <w:r w:rsidR="00C5674E" w:rsidRPr="001C4445">
              <w:rPr>
                <w:rFonts w:ascii="Times New Roman" w:hAnsi="Times New Roman" w:cs="Times New Roman"/>
                <w:b w:val="0"/>
              </w:rPr>
              <w:t xml:space="preserve"> </w:t>
            </w:r>
            <w:r w:rsidR="006B70B7" w:rsidRPr="001C4445">
              <w:rPr>
                <w:rFonts w:ascii="Times New Roman" w:hAnsi="Times New Roman" w:cs="Times New Roman"/>
                <w:b w:val="0"/>
              </w:rPr>
              <w:t xml:space="preserve">would first repeat its answer to Q 1: that a policy level needs to be added to the CTEs.  We believe that the policy level CTEs would change less often than the CTEs expressed at the accreditation/certification level.   We believe that processes for updating the policy </w:t>
            </w:r>
            <w:proofErr w:type="gramStart"/>
            <w:r w:rsidR="006B70B7" w:rsidRPr="001C4445">
              <w:rPr>
                <w:rFonts w:ascii="Times New Roman" w:hAnsi="Times New Roman" w:cs="Times New Roman"/>
                <w:b w:val="0"/>
              </w:rPr>
              <w:t xml:space="preserve">CTEs </w:t>
            </w:r>
            <w:r w:rsidR="00316303" w:rsidRPr="001C4445">
              <w:rPr>
                <w:rFonts w:ascii="Times New Roman" w:hAnsi="Times New Roman" w:cs="Times New Roman"/>
                <w:b w:val="0"/>
              </w:rPr>
              <w:t xml:space="preserve"> should</w:t>
            </w:r>
            <w:proofErr w:type="gramEnd"/>
            <w:r w:rsidR="00316303" w:rsidRPr="001C4445">
              <w:rPr>
                <w:rFonts w:ascii="Times New Roman" w:hAnsi="Times New Roman" w:cs="Times New Roman"/>
                <w:b w:val="0"/>
              </w:rPr>
              <w:t xml:space="preserve"> be separate </w:t>
            </w:r>
            <w:r w:rsidR="006B70B7" w:rsidRPr="001C4445">
              <w:rPr>
                <w:rFonts w:ascii="Times New Roman" w:hAnsi="Times New Roman" w:cs="Times New Roman"/>
                <w:b w:val="0"/>
              </w:rPr>
              <w:t>from the a</w:t>
            </w:r>
            <w:r w:rsidR="00316303" w:rsidRPr="001C4445">
              <w:rPr>
                <w:rFonts w:ascii="Times New Roman" w:hAnsi="Times New Roman" w:cs="Times New Roman"/>
                <w:b w:val="0"/>
              </w:rPr>
              <w:t>ccreditation/certification CTEs</w:t>
            </w:r>
            <w:r w:rsidR="00C5674E" w:rsidRPr="001C4445">
              <w:rPr>
                <w:rFonts w:ascii="Times New Roman" w:hAnsi="Times New Roman" w:cs="Times New Roman"/>
                <w:b w:val="0"/>
              </w:rPr>
              <w:t xml:space="preserve">.  Next, the </w:t>
            </w:r>
            <w:r w:rsidR="00776E47">
              <w:rPr>
                <w:rFonts w:ascii="Times New Roman" w:hAnsi="Times New Roman" w:cs="Times New Roman"/>
                <w:b w:val="0"/>
              </w:rPr>
              <w:t>HITPC</w:t>
            </w:r>
            <w:r w:rsidR="006B70B7" w:rsidRPr="001C4445">
              <w:rPr>
                <w:rFonts w:ascii="Times New Roman" w:hAnsi="Times New Roman" w:cs="Times New Roman"/>
                <w:b w:val="0"/>
              </w:rPr>
              <w:t xml:space="preserve"> suggests breaking out the types of updates that would be expected.  We </w:t>
            </w:r>
            <w:proofErr w:type="gramStart"/>
            <w:r w:rsidR="006B70B7" w:rsidRPr="001C4445">
              <w:rPr>
                <w:rFonts w:ascii="Times New Roman" w:hAnsi="Times New Roman" w:cs="Times New Roman"/>
                <w:b w:val="0"/>
              </w:rPr>
              <w:t>anticipate  updates</w:t>
            </w:r>
            <w:proofErr w:type="gramEnd"/>
            <w:r w:rsidR="006B70B7" w:rsidRPr="001C4445">
              <w:rPr>
                <w:rFonts w:ascii="Times New Roman" w:hAnsi="Times New Roman" w:cs="Times New Roman"/>
                <w:b w:val="0"/>
              </w:rPr>
              <w:t xml:space="preserve"> would be based on three different new issues:  (1) real new challenges—technical, in privacy and security,  new business practices;  (2) developments in the policy/legal framework in which CTEs operate that require changes in CTEs;  and (3)  new requirements that those who might provide additional incentives to the voluntary approach might impose, e.g. changes to Meaningful Use.  Each needs a different updating process. (1) </w:t>
            </w:r>
            <w:proofErr w:type="gramStart"/>
            <w:r w:rsidR="006B70B7" w:rsidRPr="001C4445">
              <w:rPr>
                <w:rFonts w:ascii="Times New Roman" w:hAnsi="Times New Roman" w:cs="Times New Roman"/>
                <w:b w:val="0"/>
              </w:rPr>
              <w:t>requires</w:t>
            </w:r>
            <w:proofErr w:type="gramEnd"/>
            <w:r w:rsidR="006B70B7" w:rsidRPr="001C4445">
              <w:rPr>
                <w:rFonts w:ascii="Times New Roman" w:hAnsi="Times New Roman" w:cs="Times New Roman"/>
                <w:b w:val="0"/>
              </w:rPr>
              <w:t xml:space="preserve"> a very participatory process, which could be technologically enhanced, and a way to prioritize or elevate issues.  (2)  </w:t>
            </w:r>
            <w:proofErr w:type="gramStart"/>
            <w:r w:rsidR="006B70B7" w:rsidRPr="001C4445">
              <w:rPr>
                <w:rFonts w:ascii="Times New Roman" w:hAnsi="Times New Roman" w:cs="Times New Roman"/>
                <w:b w:val="0"/>
              </w:rPr>
              <w:t>needs</w:t>
            </w:r>
            <w:proofErr w:type="gramEnd"/>
            <w:r w:rsidR="006B70B7" w:rsidRPr="001C4445">
              <w:rPr>
                <w:rFonts w:ascii="Times New Roman" w:hAnsi="Times New Roman" w:cs="Times New Roman"/>
                <w:b w:val="0"/>
              </w:rPr>
              <w:t xml:space="preserve"> legal guidance whether new CTEs are needed (e.g. like General Counsel opinion) ;  (3)  depends  upon stakeholder relationship management to know what new CTEs would actually help.   Also there needs to be another process - including the definition of metrics - for evaluating of how current CTEs and the associated accreditation and certification criteria are performing— including a cost-benefit analysis if CTE is achieving its goal in most cost effective way.</w:t>
            </w:r>
          </w:p>
          <w:p w:rsidR="006B70B7" w:rsidRPr="001C4445" w:rsidRDefault="006B70B7" w:rsidP="006B70B7">
            <w:pPr>
              <w:rPr>
                <w:rFonts w:ascii="Times New Roman" w:hAnsi="Times New Roman" w:cs="Times New Roman"/>
                <w:b w:val="0"/>
              </w:rPr>
            </w:pPr>
          </w:p>
          <w:p w:rsidR="008336D7" w:rsidRPr="001C4445" w:rsidRDefault="006B70B7" w:rsidP="006B70B7">
            <w:pPr>
              <w:rPr>
                <w:rFonts w:ascii="Times New Roman" w:hAnsi="Times New Roman" w:cs="Times New Roman"/>
                <w:b w:val="0"/>
              </w:rPr>
            </w:pPr>
            <w:r w:rsidRPr="001C4445">
              <w:rPr>
                <w:rFonts w:ascii="Times New Roman" w:hAnsi="Times New Roman" w:cs="Times New Roman"/>
                <w:b w:val="0"/>
              </w:rPr>
              <w:t xml:space="preserve">With respect particularly to the standards, implementation guidance and certification criteria tied to Interoperability CTEs are likely to evolve significantly faster than the associated Interoperability CTEs; accreditation criteria are likely to evolve somewhat faster than the Safeguard and Business Process CTEs to which they are associated; the policy level CTEs are likely to evolve only slowly in response to significant environmental changes. The governance process should recognize and accommodate these different rates of change. In particular, governance processes that require formal rulemaking should be reserved for the policy level CTEs and the rulemaking process should recognize that new policy level CTEs will likely be in need of active revision and refinement based on real-world practice; </w:t>
            </w:r>
          </w:p>
          <w:p w:rsidR="006B70B7" w:rsidRPr="001C4445" w:rsidRDefault="006B70B7" w:rsidP="006B70B7">
            <w:pPr>
              <w:rPr>
                <w:rFonts w:ascii="Times New Roman" w:hAnsi="Times New Roman" w:cs="Times New Roman"/>
                <w:b w:val="0"/>
              </w:rPr>
            </w:pPr>
            <w:proofErr w:type="gramStart"/>
            <w:r w:rsidRPr="001C4445">
              <w:rPr>
                <w:rFonts w:ascii="Times New Roman" w:hAnsi="Times New Roman" w:cs="Times New Roman"/>
                <w:b w:val="0"/>
              </w:rPr>
              <w:t>accreditation</w:t>
            </w:r>
            <w:proofErr w:type="gramEnd"/>
            <w:r w:rsidRPr="001C4445">
              <w:rPr>
                <w:rFonts w:ascii="Times New Roman" w:hAnsi="Times New Roman" w:cs="Times New Roman"/>
                <w:b w:val="0"/>
              </w:rPr>
              <w:t xml:space="preserve"> criteria and particularly interoperability standards, implementation guidance, and certification criteria will be in need of active refinement, revision and replacement. The ideal process would establish a fair, transparent and inclusive sub-regulatory process for maintaining and revising these criteria.</w:t>
            </w:r>
          </w:p>
          <w:p w:rsidR="006B70B7" w:rsidRPr="001C4445" w:rsidRDefault="006B70B7" w:rsidP="006B70B7">
            <w:pPr>
              <w:rPr>
                <w:rFonts w:ascii="Times New Roman" w:hAnsi="Times New Roman" w:cs="Times New Roman"/>
              </w:rPr>
            </w:pPr>
          </w:p>
          <w:p w:rsidR="005F38D4" w:rsidRDefault="006B70B7" w:rsidP="006B70B7">
            <w:pPr>
              <w:rPr>
                <w:rFonts w:ascii="Times New Roman" w:hAnsi="Times New Roman" w:cs="Times New Roman"/>
                <w:b w:val="0"/>
              </w:rPr>
            </w:pPr>
            <w:r w:rsidRPr="001C4445">
              <w:rPr>
                <w:rFonts w:ascii="Times New Roman" w:hAnsi="Times New Roman" w:cs="Times New Roman"/>
                <w:b w:val="0"/>
              </w:rPr>
              <w:t xml:space="preserve">There should be a process for retiring CTEs and associated accreditation, standards, implementation guidance and certification criteria. The process for retiring Interoperability CTEs, standards, implementation guidance and certification criteria should recognize that the nationwide health information technology infrastructure will be upgraded piecemeal, leading to multiple versions of Interoperability CTEs and associated standards, implementation guidance and certification criteria in effect at the same time and should accommodate this reality. </w:t>
            </w:r>
          </w:p>
          <w:p w:rsidR="005F38D4" w:rsidRDefault="005F38D4" w:rsidP="006B70B7">
            <w:pPr>
              <w:rPr>
                <w:rFonts w:ascii="Times New Roman" w:hAnsi="Times New Roman" w:cs="Times New Roman"/>
                <w:b w:val="0"/>
              </w:rPr>
            </w:pPr>
          </w:p>
          <w:p w:rsidR="00D84068" w:rsidRDefault="00D84068" w:rsidP="006B70B7">
            <w:pPr>
              <w:rPr>
                <w:rFonts w:ascii="Times New Roman" w:hAnsi="Times New Roman" w:cs="Times New Roman"/>
                <w:b w:val="0"/>
                <w:i/>
              </w:rPr>
            </w:pPr>
            <w:r>
              <w:rPr>
                <w:rFonts w:ascii="Times New Roman" w:hAnsi="Times New Roman" w:cs="Times New Roman"/>
                <w:b w:val="0"/>
                <w:i/>
              </w:rPr>
              <w:t xml:space="preserve">The HITPC also suggested that ONC address the potential issue of delays in the validation process, which could negatively impact patient data exchange. </w:t>
            </w:r>
          </w:p>
          <w:p w:rsidR="009B10F9" w:rsidRPr="001C4445" w:rsidRDefault="009B10F9" w:rsidP="00B551EA">
            <w:pPr>
              <w:tabs>
                <w:tab w:val="left" w:pos="1440"/>
              </w:tabs>
              <w:spacing w:before="40" w:after="60"/>
              <w:rPr>
                <w:rFonts w:ascii="Times New Roman" w:hAnsi="Times New Roman" w:cs="Times New Roman"/>
                <w:b w:val="0"/>
              </w:rPr>
            </w:pPr>
          </w:p>
        </w:tc>
      </w:tr>
    </w:tbl>
    <w:p w:rsidR="009B10F9" w:rsidRDefault="009B10F9" w:rsidP="00094310">
      <w:pPr>
        <w:tabs>
          <w:tab w:val="left" w:pos="900"/>
          <w:tab w:val="left" w:pos="2790"/>
        </w:tabs>
      </w:pPr>
    </w:p>
    <w:p w:rsidR="00F1126B" w:rsidRDefault="00F1126B" w:rsidP="00094310">
      <w:pPr>
        <w:tabs>
          <w:tab w:val="left" w:pos="900"/>
          <w:tab w:val="left" w:pos="2790"/>
        </w:tabs>
      </w:pPr>
    </w:p>
    <w:p w:rsidR="00F1126B" w:rsidRDefault="00F1126B" w:rsidP="00094310">
      <w:pPr>
        <w:tabs>
          <w:tab w:val="left" w:pos="900"/>
          <w:tab w:val="left" w:pos="2790"/>
        </w:tabs>
      </w:pPr>
    </w:p>
    <w:p w:rsidR="00F1126B" w:rsidRDefault="00F1126B" w:rsidP="00094310">
      <w:pPr>
        <w:tabs>
          <w:tab w:val="left" w:pos="900"/>
          <w:tab w:val="left" w:pos="2790"/>
        </w:tabs>
      </w:pPr>
    </w:p>
    <w:tbl>
      <w:tblPr>
        <w:tblStyle w:val="MediumShading1-Accent11"/>
        <w:tblW w:w="5000" w:type="pct"/>
        <w:tblLook w:val="04A0"/>
      </w:tblPr>
      <w:tblGrid>
        <w:gridCol w:w="14616"/>
      </w:tblGrid>
      <w:tr w:rsidR="00564387" w:rsidRPr="002E56FA">
        <w:trPr>
          <w:cnfStyle w:val="100000000000"/>
          <w:tblHeader/>
        </w:trPr>
        <w:tc>
          <w:tcPr>
            <w:cnfStyle w:val="001000000000"/>
            <w:tcW w:w="5000" w:type="pct"/>
          </w:tcPr>
          <w:p w:rsidR="00564387" w:rsidRPr="002E56FA" w:rsidRDefault="009B10F9" w:rsidP="00B551EA">
            <w:r w:rsidRPr="009B10F9">
              <w:rPr>
                <w:rFonts w:ascii="Times New Roman" w:hAnsi="Times New Roman"/>
                <w:sz w:val="24"/>
                <w:szCs w:val="24"/>
              </w:rPr>
              <w:t>CTE Life Cycle</w:t>
            </w:r>
          </w:p>
        </w:tc>
      </w:tr>
      <w:tr w:rsidR="003A2022" w:rsidRPr="00A36FD5">
        <w:trPr>
          <w:cnfStyle w:val="000000100000"/>
        </w:trPr>
        <w:tc>
          <w:tcPr>
            <w:cnfStyle w:val="001000000000"/>
            <w:tcW w:w="5000" w:type="pct"/>
            <w:shd w:val="clear" w:color="auto" w:fill="DBE5F1" w:themeFill="accent1" w:themeFillTint="33"/>
          </w:tcPr>
          <w:p w:rsidR="003A2022" w:rsidRPr="0021208B" w:rsidRDefault="003A2022" w:rsidP="00930D25">
            <w:pPr>
              <w:pStyle w:val="Default"/>
              <w:autoSpaceDE/>
              <w:autoSpaceDN/>
              <w:adjustRightInd/>
              <w:contextualSpacing/>
              <w:rPr>
                <w:rFonts w:eastAsia="Times New Roman"/>
                <w:color w:val="auto"/>
              </w:rPr>
            </w:pPr>
            <w:r w:rsidRPr="009B10F9">
              <w:rPr>
                <w:rFonts w:ascii="Times New Roman" w:hAnsi="Times New Roman"/>
                <w:u w:val="single"/>
              </w:rPr>
              <w:t xml:space="preserve">Question </w:t>
            </w:r>
            <w:r>
              <w:rPr>
                <w:rFonts w:ascii="Times New Roman" w:hAnsi="Times New Roman"/>
                <w:u w:val="single"/>
              </w:rPr>
              <w:t>61</w:t>
            </w:r>
            <w:r w:rsidRPr="009B10F9">
              <w:rPr>
                <w:rFonts w:ascii="Times New Roman" w:hAnsi="Times New Roman"/>
                <w:u w:val="single"/>
              </w:rPr>
              <w:t>:</w:t>
            </w:r>
            <w:r w:rsidRPr="009B10F9">
              <w:rPr>
                <w:rFonts w:ascii="Times New Roman" w:hAnsi="Times New Roman"/>
              </w:rPr>
              <w:t xml:space="preserve">  </w:t>
            </w:r>
            <w:r w:rsidRPr="00160096">
              <w:rPr>
                <w:rFonts w:ascii="Times New Roman" w:hAnsi="Times New Roman"/>
              </w:rPr>
              <w:t>Should we expressly permit validation bodies to provide for validation to pilot CTEs?</w:t>
            </w:r>
          </w:p>
          <w:p w:rsidR="003A2022" w:rsidRPr="009B10F9" w:rsidRDefault="003A2022" w:rsidP="003A2022">
            <w:pPr>
              <w:tabs>
                <w:tab w:val="left" w:pos="2323"/>
              </w:tabs>
              <w:rPr>
                <w:rFonts w:ascii="Times New Roman" w:hAnsi="Times New Roman"/>
                <w:sz w:val="24"/>
                <w:szCs w:val="24"/>
              </w:rPr>
            </w:pPr>
          </w:p>
        </w:tc>
      </w:tr>
      <w:tr w:rsidR="003A2022"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3A2022" w:rsidRDefault="003A2022" w:rsidP="00930D25">
            <w:pPr>
              <w:ind w:left="90"/>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w:t>
            </w:r>
          </w:p>
          <w:p w:rsidR="003A2022" w:rsidRPr="00A36FD5" w:rsidRDefault="003A2022" w:rsidP="00930D25">
            <w:pPr>
              <w:ind w:left="90"/>
              <w:rPr>
                <w:sz w:val="20"/>
                <w:szCs w:val="20"/>
              </w:rPr>
            </w:pPr>
          </w:p>
        </w:tc>
      </w:tr>
      <w:tr w:rsidR="009D7B8F" w:rsidRPr="00E205DB">
        <w:trPr>
          <w:cnfStyle w:val="000000100000"/>
        </w:trPr>
        <w:tc>
          <w:tcPr>
            <w:cnfStyle w:val="001000000000"/>
            <w:tcW w:w="5000" w:type="pct"/>
            <w:shd w:val="clear" w:color="auto" w:fill="FFFFFF" w:themeFill="background1"/>
          </w:tcPr>
          <w:p w:rsidR="009D7B8F" w:rsidRPr="00C2368A" w:rsidRDefault="009D7B8F" w:rsidP="00B551EA">
            <w:pPr>
              <w:tabs>
                <w:tab w:val="left" w:pos="1440"/>
              </w:tabs>
              <w:spacing w:before="40" w:after="60"/>
              <w:rPr>
                <w:rFonts w:ascii="Times New Roman" w:hAnsi="Times New Roman" w:cs="Times New Roman"/>
                <w:b w:val="0"/>
              </w:rPr>
            </w:pPr>
            <w:r w:rsidRPr="00C2368A">
              <w:rPr>
                <w:rFonts w:ascii="Times New Roman" w:hAnsi="Times New Roman" w:cs="Times New Roman"/>
                <w:b w:val="0"/>
              </w:rPr>
              <w:lastRenderedPageBreak/>
              <w:t>Yes, when structured well, this would be valuable in enabling the development of new and innovative approaches.</w:t>
            </w:r>
            <w:r w:rsidRPr="00C2368A">
              <w:t xml:space="preserve">   </w:t>
            </w:r>
            <w:r w:rsidRPr="00C2368A">
              <w:rPr>
                <w:rFonts w:ascii="Times New Roman" w:hAnsi="Times New Roman" w:cs="Times New Roman"/>
                <w:b w:val="0"/>
              </w:rPr>
              <w:t xml:space="preserve"> </w:t>
            </w:r>
          </w:p>
          <w:p w:rsidR="009D7B8F" w:rsidRPr="00C2368A" w:rsidRDefault="009D7B8F" w:rsidP="00B551EA">
            <w:pPr>
              <w:tabs>
                <w:tab w:val="left" w:pos="1440"/>
              </w:tabs>
              <w:spacing w:before="40" w:after="60"/>
              <w:rPr>
                <w:rFonts w:ascii="Times New Roman" w:hAnsi="Times New Roman" w:cs="Times New Roman"/>
                <w:b w:val="0"/>
              </w:rPr>
            </w:pPr>
          </w:p>
        </w:tc>
      </w:tr>
    </w:tbl>
    <w:p w:rsidR="00564387" w:rsidRPr="00E205DB" w:rsidRDefault="00564387" w:rsidP="00094310">
      <w:pPr>
        <w:tabs>
          <w:tab w:val="left" w:pos="900"/>
          <w:tab w:val="left" w:pos="2790"/>
        </w:tabs>
      </w:pPr>
    </w:p>
    <w:tbl>
      <w:tblPr>
        <w:tblStyle w:val="MediumShading1-Accent11"/>
        <w:tblW w:w="5000" w:type="pct"/>
        <w:tblLook w:val="04A0"/>
      </w:tblPr>
      <w:tblGrid>
        <w:gridCol w:w="14616"/>
      </w:tblGrid>
      <w:tr w:rsidR="00564387" w:rsidRPr="00E205DB">
        <w:trPr>
          <w:cnfStyle w:val="100000000000"/>
          <w:tblHeader/>
        </w:trPr>
        <w:tc>
          <w:tcPr>
            <w:cnfStyle w:val="001000000000"/>
            <w:tcW w:w="5000" w:type="pct"/>
          </w:tcPr>
          <w:p w:rsidR="00564387" w:rsidRPr="00E205DB" w:rsidRDefault="003A2022" w:rsidP="00B551EA">
            <w:r w:rsidRPr="00E205DB">
              <w:rPr>
                <w:rFonts w:ascii="Times New Roman" w:hAnsi="Times New Roman"/>
                <w:sz w:val="24"/>
                <w:szCs w:val="24"/>
              </w:rPr>
              <w:t>CTE Life Cycle</w:t>
            </w:r>
          </w:p>
        </w:tc>
      </w:tr>
      <w:tr w:rsidR="003A2022" w:rsidRPr="00E205DB">
        <w:trPr>
          <w:cnfStyle w:val="000000100000"/>
          <w:trHeight w:val="484"/>
        </w:trPr>
        <w:tc>
          <w:tcPr>
            <w:cnfStyle w:val="001000000000"/>
            <w:tcW w:w="5000" w:type="pct"/>
            <w:shd w:val="clear" w:color="auto" w:fill="DBE5F1" w:themeFill="accent1" w:themeFillTint="33"/>
          </w:tcPr>
          <w:p w:rsidR="003A2022" w:rsidRPr="00E205DB" w:rsidRDefault="003A2022" w:rsidP="00930D25">
            <w:pPr>
              <w:pStyle w:val="Default"/>
              <w:autoSpaceDE/>
              <w:autoSpaceDN/>
              <w:adjustRightInd/>
              <w:contextualSpacing/>
              <w:rPr>
                <w:rFonts w:eastAsia="Times New Roman"/>
                <w:color w:val="auto"/>
              </w:rPr>
            </w:pPr>
            <w:r w:rsidRPr="00E205DB">
              <w:rPr>
                <w:rFonts w:ascii="Times New Roman" w:hAnsi="Times New Roman"/>
                <w:u w:val="single"/>
              </w:rPr>
              <w:t>Question 62:</w:t>
            </w:r>
            <w:r w:rsidRPr="00E205DB">
              <w:rPr>
                <w:rFonts w:ascii="Times New Roman" w:hAnsi="Times New Roman"/>
              </w:rPr>
              <w:t xml:space="preserve">  Should we consider a process outside of our advisory committees through which the identification and development to frame new CTEs could be done?</w:t>
            </w:r>
          </w:p>
          <w:p w:rsidR="003A2022" w:rsidRPr="00E205DB" w:rsidRDefault="003A2022" w:rsidP="003A2022">
            <w:pPr>
              <w:tabs>
                <w:tab w:val="left" w:pos="2323"/>
              </w:tabs>
              <w:rPr>
                <w:rFonts w:ascii="Times New Roman" w:hAnsi="Times New Roman"/>
                <w:sz w:val="24"/>
                <w:szCs w:val="24"/>
              </w:rPr>
            </w:pPr>
          </w:p>
        </w:tc>
      </w:tr>
      <w:tr w:rsidR="003A2022" w:rsidRPr="00E205DB">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3A2022" w:rsidRPr="00E205DB" w:rsidRDefault="003A2022" w:rsidP="00930D25">
            <w:pPr>
              <w:ind w:left="90"/>
              <w:rPr>
                <w:rFonts w:ascii="Times New Roman" w:hAnsi="Times New Roman"/>
                <w:sz w:val="24"/>
                <w:szCs w:val="24"/>
              </w:rPr>
            </w:pPr>
            <w:r w:rsidRPr="00E205DB">
              <w:rPr>
                <w:rFonts w:ascii="Times New Roman" w:hAnsi="Times New Roman"/>
                <w:sz w:val="24"/>
                <w:szCs w:val="24"/>
                <w:u w:val="single"/>
              </w:rPr>
              <w:t>Question Context:</w:t>
            </w:r>
            <w:r w:rsidRPr="00E205DB">
              <w:rPr>
                <w:rFonts w:ascii="Times New Roman" w:hAnsi="Times New Roman"/>
                <w:sz w:val="24"/>
                <w:szCs w:val="24"/>
              </w:rPr>
              <w:t xml:space="preserve">  </w:t>
            </w:r>
          </w:p>
          <w:p w:rsidR="003A2022" w:rsidRPr="00E205DB" w:rsidRDefault="003A2022" w:rsidP="00930D25">
            <w:pPr>
              <w:ind w:left="90"/>
              <w:rPr>
                <w:sz w:val="20"/>
                <w:szCs w:val="20"/>
              </w:rPr>
            </w:pPr>
          </w:p>
        </w:tc>
      </w:tr>
      <w:tr w:rsidR="003A2022" w:rsidRPr="00A36FD5">
        <w:trPr>
          <w:cnfStyle w:val="000000100000"/>
        </w:trPr>
        <w:tc>
          <w:tcPr>
            <w:cnfStyle w:val="001000000000"/>
            <w:tcW w:w="5000" w:type="pct"/>
            <w:shd w:val="clear" w:color="auto" w:fill="FFFFFF" w:themeFill="background1"/>
          </w:tcPr>
          <w:p w:rsidR="003A2022" w:rsidRPr="00BC184B" w:rsidRDefault="00C5674E" w:rsidP="00B551EA">
            <w:pPr>
              <w:tabs>
                <w:tab w:val="left" w:pos="1440"/>
              </w:tabs>
              <w:spacing w:before="40" w:after="60"/>
              <w:rPr>
                <w:rFonts w:ascii="Times New Roman" w:hAnsi="Times New Roman" w:cs="Times New Roman"/>
                <w:b w:val="0"/>
              </w:rPr>
            </w:pPr>
            <w:r w:rsidRPr="00BC184B">
              <w:rPr>
                <w:rFonts w:ascii="Times New Roman" w:hAnsi="Times New Roman" w:cs="Times New Roman"/>
                <w:b w:val="0"/>
              </w:rPr>
              <w:t>The</w:t>
            </w:r>
            <w:r w:rsidR="00F755BB">
              <w:rPr>
                <w:rFonts w:ascii="Times New Roman" w:hAnsi="Times New Roman" w:cs="Times New Roman"/>
                <w:b w:val="0"/>
              </w:rPr>
              <w:t xml:space="preserve"> </w:t>
            </w:r>
            <w:r w:rsidR="00776E47">
              <w:rPr>
                <w:rFonts w:ascii="Times New Roman" w:hAnsi="Times New Roman" w:cs="Times New Roman"/>
                <w:b w:val="0"/>
              </w:rPr>
              <w:t>HITPC</w:t>
            </w:r>
            <w:r w:rsidRPr="00BC184B">
              <w:rPr>
                <w:rFonts w:ascii="Times New Roman" w:hAnsi="Times New Roman" w:cs="Times New Roman"/>
                <w:b w:val="0"/>
              </w:rPr>
              <w:t xml:space="preserve"> </w:t>
            </w:r>
            <w:r w:rsidR="00CD6D23" w:rsidRPr="00BC184B">
              <w:rPr>
                <w:rFonts w:ascii="Times New Roman" w:hAnsi="Times New Roman" w:cs="Times New Roman"/>
                <w:b w:val="0"/>
              </w:rPr>
              <w:t>feels that the FACAs are currently the most appropriate mechanism for the “Pilot”, “National” and “Retired” steps in updating policy level CTEs and associated accreditation and certification criteria – taking into account the different kinds of updates anticipated and described above. The “Emergence” process should explicitly allow for innovation, particularly with respect to Interoperability CTEs and their associated certification criteria, enabling them to be developed in the public and private sectors by a range of actors without needing formal FACA oversight. The FACAs can play several other important roles.  They are a channel for those affected by the CTEs and participants in the exchange of health information to bring issues forward for national discussion or to showcase developments in the field.  They can recommend pilots and innovations.  They are a good single place or first place for stakeholders to go to learn about policy discussions and developments in a complex environment.   They are important in setting policy-level objectives, and defining metrics to evaluate how these are met.</w:t>
            </w:r>
          </w:p>
          <w:p w:rsidR="003A2022" w:rsidRPr="00BC184B" w:rsidRDefault="003A2022" w:rsidP="00B551EA">
            <w:pPr>
              <w:tabs>
                <w:tab w:val="left" w:pos="1440"/>
              </w:tabs>
              <w:spacing w:before="40" w:after="60"/>
              <w:rPr>
                <w:rFonts w:ascii="Times New Roman" w:hAnsi="Times New Roman" w:cs="Times New Roman"/>
                <w:b w:val="0"/>
              </w:rPr>
            </w:pPr>
          </w:p>
        </w:tc>
      </w:tr>
    </w:tbl>
    <w:p w:rsidR="00564387" w:rsidRDefault="00564387" w:rsidP="00094310">
      <w:pPr>
        <w:tabs>
          <w:tab w:val="left" w:pos="900"/>
          <w:tab w:val="left" w:pos="2790"/>
        </w:tabs>
      </w:pPr>
    </w:p>
    <w:tbl>
      <w:tblPr>
        <w:tblStyle w:val="MediumShading1-Accent11"/>
        <w:tblW w:w="5000" w:type="pct"/>
        <w:tblLook w:val="04A0"/>
      </w:tblPr>
      <w:tblGrid>
        <w:gridCol w:w="14616"/>
      </w:tblGrid>
      <w:tr w:rsidR="00564387" w:rsidRPr="002E56FA">
        <w:trPr>
          <w:cnfStyle w:val="100000000000"/>
          <w:tblHeader/>
        </w:trPr>
        <w:tc>
          <w:tcPr>
            <w:cnfStyle w:val="001000000000"/>
            <w:tcW w:w="5000" w:type="pct"/>
          </w:tcPr>
          <w:p w:rsidR="00564387" w:rsidRPr="002E56FA" w:rsidRDefault="003A2022" w:rsidP="00B551EA">
            <w:r w:rsidRPr="003A2022">
              <w:rPr>
                <w:rFonts w:ascii="Times New Roman" w:hAnsi="Times New Roman"/>
                <w:sz w:val="24"/>
                <w:szCs w:val="24"/>
              </w:rPr>
              <w:t>Technical Standards and Implementation Specifications Classification Process</w:t>
            </w:r>
          </w:p>
        </w:tc>
      </w:tr>
      <w:tr w:rsidR="003A2022" w:rsidRPr="00A36FD5">
        <w:trPr>
          <w:cnfStyle w:val="000000100000"/>
        </w:trPr>
        <w:tc>
          <w:tcPr>
            <w:cnfStyle w:val="001000000000"/>
            <w:tcW w:w="5000" w:type="pct"/>
            <w:shd w:val="clear" w:color="auto" w:fill="DBE5F1" w:themeFill="accent1" w:themeFillTint="33"/>
          </w:tcPr>
          <w:p w:rsidR="003A2022" w:rsidRPr="0021208B" w:rsidRDefault="003A2022" w:rsidP="00930D25">
            <w:pPr>
              <w:pStyle w:val="Default"/>
              <w:autoSpaceDE/>
              <w:autoSpaceDN/>
              <w:adjustRightInd/>
              <w:contextualSpacing/>
              <w:rPr>
                <w:rFonts w:eastAsia="Times New Roman"/>
                <w:color w:val="auto"/>
              </w:rPr>
            </w:pPr>
            <w:r w:rsidRPr="009B10F9">
              <w:rPr>
                <w:rFonts w:ascii="Times New Roman" w:hAnsi="Times New Roman"/>
                <w:u w:val="single"/>
              </w:rPr>
              <w:t xml:space="preserve">Question </w:t>
            </w:r>
            <w:r>
              <w:rPr>
                <w:rFonts w:ascii="Times New Roman" w:hAnsi="Times New Roman"/>
                <w:u w:val="single"/>
              </w:rPr>
              <w:t>63</w:t>
            </w:r>
            <w:r w:rsidRPr="009B10F9">
              <w:rPr>
                <w:rFonts w:ascii="Times New Roman" w:hAnsi="Times New Roman"/>
                <w:u w:val="single"/>
              </w:rPr>
              <w:t>:</w:t>
            </w:r>
            <w:r w:rsidRPr="009B10F9">
              <w:rPr>
                <w:rFonts w:ascii="Times New Roman" w:hAnsi="Times New Roman"/>
              </w:rPr>
              <w:t xml:space="preserve">  </w:t>
            </w:r>
            <w:r w:rsidRPr="00833937">
              <w:rPr>
                <w:rFonts w:ascii="Times New Roman" w:hAnsi="Times New Roman"/>
              </w:rPr>
              <w:t>What would be the best way(s) ONC could help facilitate the pilot testing and learning necessary for implementing technical standards and implementation specifications categorized as Emerging or Pilot?</w:t>
            </w:r>
          </w:p>
          <w:p w:rsidR="003A2022" w:rsidRPr="009B10F9" w:rsidRDefault="003A2022" w:rsidP="00930D25">
            <w:pPr>
              <w:tabs>
                <w:tab w:val="left" w:pos="2323"/>
              </w:tabs>
              <w:rPr>
                <w:rFonts w:ascii="Times New Roman" w:hAnsi="Times New Roman"/>
                <w:sz w:val="24"/>
                <w:szCs w:val="24"/>
              </w:rPr>
            </w:pPr>
          </w:p>
        </w:tc>
      </w:tr>
      <w:tr w:rsidR="003A2022"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3A2022" w:rsidRDefault="003A2022" w:rsidP="003A2022">
            <w:pPr>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w:t>
            </w:r>
          </w:p>
          <w:p w:rsidR="003A2022" w:rsidRPr="00A36FD5" w:rsidRDefault="003A2022" w:rsidP="00930D25">
            <w:pPr>
              <w:ind w:left="90"/>
              <w:rPr>
                <w:sz w:val="20"/>
                <w:szCs w:val="20"/>
              </w:rPr>
            </w:pPr>
          </w:p>
        </w:tc>
      </w:tr>
      <w:tr w:rsidR="002D1BBC" w:rsidRPr="00A36FD5">
        <w:trPr>
          <w:cnfStyle w:val="000000100000"/>
        </w:trPr>
        <w:tc>
          <w:tcPr>
            <w:cnfStyle w:val="001000000000"/>
            <w:tcW w:w="5000" w:type="pct"/>
            <w:shd w:val="clear" w:color="auto" w:fill="FFFFFF" w:themeFill="background1"/>
          </w:tcPr>
          <w:p w:rsidR="004C5043" w:rsidRPr="00A60AA1" w:rsidRDefault="004C5043" w:rsidP="00A60AA1">
            <w:pPr>
              <w:rPr>
                <w:rFonts w:ascii="Times New Roman" w:hAnsi="Times New Roman"/>
                <w:b w:val="0"/>
              </w:rPr>
            </w:pPr>
            <w:r w:rsidRPr="00A60AA1">
              <w:rPr>
                <w:rFonts w:ascii="Times New Roman" w:hAnsi="Times New Roman"/>
                <w:b w:val="0"/>
              </w:rPr>
              <w:t xml:space="preserve">The </w:t>
            </w:r>
            <w:r w:rsidR="00514C5B" w:rsidRPr="00A60AA1">
              <w:rPr>
                <w:rFonts w:ascii="Times New Roman" w:hAnsi="Times New Roman"/>
                <w:b w:val="0"/>
              </w:rPr>
              <w:t>HITPC</w:t>
            </w:r>
            <w:r w:rsidRPr="00A60AA1">
              <w:rPr>
                <w:rFonts w:ascii="Times New Roman" w:hAnsi="Times New Roman"/>
                <w:b w:val="0"/>
              </w:rPr>
              <w:t xml:space="preserve"> recommends ONC provide strategic guidance as well as funding for pilots to implement technical standards. Receiving ONC’s support for the mobilization of pilots galvanizes stakeholders and significantly accelerates consensus on standards specifications and widespread adoption of workable standards.</w:t>
            </w:r>
          </w:p>
          <w:p w:rsidR="00C342A1" w:rsidRDefault="00C342A1" w:rsidP="00CF1811">
            <w:pPr>
              <w:spacing w:before="40" w:after="60"/>
              <w:rPr>
                <w:rFonts w:ascii="Times New Roman" w:hAnsi="Times New Roman" w:cs="Times New Roman"/>
              </w:rPr>
            </w:pPr>
          </w:p>
          <w:p w:rsidR="00C342A1" w:rsidRPr="00C342A1" w:rsidRDefault="00C342A1" w:rsidP="00CF1811">
            <w:pPr>
              <w:spacing w:before="40" w:after="60"/>
              <w:rPr>
                <w:rFonts w:ascii="Times New Roman" w:hAnsi="Times New Roman" w:cs="Times New Roman"/>
                <w:b w:val="0"/>
                <w:i/>
              </w:rPr>
            </w:pPr>
            <w:r>
              <w:rPr>
                <w:rFonts w:ascii="Times New Roman" w:hAnsi="Times New Roman" w:cs="Times New Roman"/>
                <w:b w:val="0"/>
                <w:i/>
              </w:rPr>
              <w:t xml:space="preserve">One member also suggested that ONC create a process for scanning the market to recognize what is working, beyond ONC-sponsored pilots. </w:t>
            </w:r>
          </w:p>
          <w:p w:rsidR="004C5043" w:rsidRPr="00B956EC" w:rsidRDefault="004C5043" w:rsidP="00CF1811">
            <w:pPr>
              <w:spacing w:before="40" w:after="60"/>
              <w:rPr>
                <w:rFonts w:ascii="Times New Roman" w:hAnsi="Times New Roman" w:cs="Times New Roman"/>
                <w:b w:val="0"/>
              </w:rPr>
            </w:pPr>
          </w:p>
        </w:tc>
      </w:tr>
    </w:tbl>
    <w:p w:rsidR="003A2022" w:rsidRDefault="003A2022" w:rsidP="00094310">
      <w:pPr>
        <w:tabs>
          <w:tab w:val="left" w:pos="900"/>
          <w:tab w:val="left" w:pos="2790"/>
        </w:tabs>
      </w:pPr>
    </w:p>
    <w:tbl>
      <w:tblPr>
        <w:tblStyle w:val="MediumShading1-Accent11"/>
        <w:tblW w:w="5000" w:type="pct"/>
        <w:tblLook w:val="04A0"/>
      </w:tblPr>
      <w:tblGrid>
        <w:gridCol w:w="14616"/>
      </w:tblGrid>
      <w:tr w:rsidR="00F1126B" w:rsidRPr="002E56FA" w:rsidTr="00C310C9">
        <w:trPr>
          <w:cnfStyle w:val="100000000000"/>
          <w:tblHeader/>
        </w:trPr>
        <w:tc>
          <w:tcPr>
            <w:cnfStyle w:val="001000000000"/>
            <w:tcW w:w="5000" w:type="pct"/>
          </w:tcPr>
          <w:p w:rsidR="00F1126B" w:rsidRPr="002E56FA" w:rsidRDefault="00F1126B" w:rsidP="00C310C9">
            <w:r w:rsidRPr="003A2022">
              <w:rPr>
                <w:rFonts w:ascii="Times New Roman" w:hAnsi="Times New Roman"/>
                <w:sz w:val="24"/>
                <w:szCs w:val="24"/>
              </w:rPr>
              <w:t>Technical Standards and Implementation Specifications Classification Process</w:t>
            </w:r>
          </w:p>
        </w:tc>
      </w:tr>
      <w:tr w:rsidR="00F1126B" w:rsidRPr="00A36FD5" w:rsidTr="00C310C9">
        <w:trPr>
          <w:cnfStyle w:val="000000100000"/>
        </w:trPr>
        <w:tc>
          <w:tcPr>
            <w:cnfStyle w:val="001000000000"/>
            <w:tcW w:w="5000" w:type="pct"/>
            <w:shd w:val="clear" w:color="auto" w:fill="DBE5F1" w:themeFill="accent1" w:themeFillTint="33"/>
          </w:tcPr>
          <w:p w:rsidR="00F1126B" w:rsidRDefault="00F1126B" w:rsidP="00C310C9">
            <w:pPr>
              <w:tabs>
                <w:tab w:val="left" w:pos="2323"/>
              </w:tabs>
              <w:rPr>
                <w:rFonts w:ascii="Times New Roman" w:hAnsi="Times New Roman"/>
                <w:sz w:val="24"/>
                <w:szCs w:val="24"/>
              </w:rPr>
            </w:pPr>
            <w:r w:rsidRPr="009B10F9">
              <w:rPr>
                <w:rFonts w:ascii="Times New Roman" w:hAnsi="Times New Roman"/>
                <w:sz w:val="24"/>
                <w:szCs w:val="24"/>
                <w:u w:val="single"/>
              </w:rPr>
              <w:t xml:space="preserve">Question </w:t>
            </w:r>
            <w:r>
              <w:rPr>
                <w:rFonts w:ascii="Times New Roman" w:hAnsi="Times New Roman"/>
                <w:u w:val="single"/>
              </w:rPr>
              <w:t>64</w:t>
            </w:r>
            <w:r w:rsidRPr="009B10F9">
              <w:rPr>
                <w:rFonts w:ascii="Times New Roman" w:hAnsi="Times New Roman"/>
                <w:sz w:val="24"/>
                <w:szCs w:val="24"/>
                <w:u w:val="single"/>
              </w:rPr>
              <w:t>:</w:t>
            </w:r>
            <w:r w:rsidRPr="009B10F9">
              <w:rPr>
                <w:rFonts w:ascii="Times New Roman" w:hAnsi="Times New Roman"/>
                <w:sz w:val="24"/>
                <w:szCs w:val="24"/>
              </w:rPr>
              <w:t xml:space="preserve">  </w:t>
            </w:r>
            <w:r w:rsidRPr="00A46DC1">
              <w:rPr>
                <w:rFonts w:ascii="Times New Roman" w:hAnsi="Times New Roman"/>
                <w:sz w:val="24"/>
                <w:szCs w:val="24"/>
              </w:rPr>
              <w:t>Would this approach for classifying technical standards and implementation specification be effective for updating and refreshing Interoperability CTEs?</w:t>
            </w:r>
          </w:p>
          <w:p w:rsidR="00F1126B" w:rsidRPr="009B10F9" w:rsidRDefault="00F1126B" w:rsidP="00C310C9">
            <w:pPr>
              <w:tabs>
                <w:tab w:val="left" w:pos="2323"/>
              </w:tabs>
              <w:rPr>
                <w:rFonts w:ascii="Times New Roman" w:hAnsi="Times New Roman"/>
                <w:sz w:val="24"/>
                <w:szCs w:val="24"/>
              </w:rPr>
            </w:pPr>
          </w:p>
        </w:tc>
      </w:tr>
      <w:tr w:rsidR="00F1126B" w:rsidRPr="00A36FD5" w:rsidTr="00C310C9">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F1126B" w:rsidRDefault="00F1126B" w:rsidP="00C310C9">
            <w:pPr>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w:t>
            </w:r>
          </w:p>
          <w:p w:rsidR="00F1126B" w:rsidRPr="00A36FD5" w:rsidRDefault="00F1126B" w:rsidP="00C310C9">
            <w:pPr>
              <w:ind w:left="90"/>
              <w:rPr>
                <w:sz w:val="20"/>
                <w:szCs w:val="20"/>
              </w:rPr>
            </w:pPr>
          </w:p>
        </w:tc>
      </w:tr>
      <w:tr w:rsidR="00F1126B" w:rsidRPr="00A36FD5" w:rsidTr="00C310C9">
        <w:trPr>
          <w:cnfStyle w:val="000000100000"/>
        </w:trPr>
        <w:tc>
          <w:tcPr>
            <w:cnfStyle w:val="001000000000"/>
            <w:tcW w:w="5000" w:type="pct"/>
            <w:shd w:val="clear" w:color="auto" w:fill="FFFFFF" w:themeFill="background1"/>
          </w:tcPr>
          <w:p w:rsidR="00F1126B" w:rsidRPr="00A36FD5" w:rsidRDefault="00F1126B" w:rsidP="00C310C9">
            <w:pPr>
              <w:tabs>
                <w:tab w:val="left" w:pos="1440"/>
              </w:tabs>
              <w:spacing w:before="40" w:after="60"/>
              <w:rPr>
                <w:rFonts w:ascii="Times New Roman" w:hAnsi="Times New Roman" w:cs="Times New Roman"/>
                <w:b w:val="0"/>
                <w:sz w:val="20"/>
                <w:szCs w:val="20"/>
              </w:rPr>
            </w:pPr>
          </w:p>
          <w:p w:rsidR="00F1126B" w:rsidRPr="00A36FD5" w:rsidRDefault="00F1126B" w:rsidP="00C310C9">
            <w:pPr>
              <w:tabs>
                <w:tab w:val="left" w:pos="1440"/>
              </w:tabs>
              <w:spacing w:before="40" w:after="60"/>
              <w:rPr>
                <w:rFonts w:ascii="Times New Roman" w:hAnsi="Times New Roman" w:cs="Times New Roman"/>
                <w:b w:val="0"/>
                <w:sz w:val="20"/>
                <w:szCs w:val="20"/>
              </w:rPr>
            </w:pPr>
          </w:p>
        </w:tc>
      </w:tr>
    </w:tbl>
    <w:p w:rsidR="00F1126B" w:rsidRDefault="00F1126B" w:rsidP="00F1126B">
      <w:pPr>
        <w:tabs>
          <w:tab w:val="left" w:pos="900"/>
          <w:tab w:val="left" w:pos="2790"/>
        </w:tabs>
      </w:pPr>
    </w:p>
    <w:tbl>
      <w:tblPr>
        <w:tblStyle w:val="MediumShading1-Accent11"/>
        <w:tblW w:w="5000" w:type="pct"/>
        <w:tblLook w:val="04A0"/>
      </w:tblPr>
      <w:tblGrid>
        <w:gridCol w:w="14616"/>
      </w:tblGrid>
      <w:tr w:rsidR="00F1126B" w:rsidRPr="002E56FA" w:rsidTr="00C310C9">
        <w:trPr>
          <w:cnfStyle w:val="100000000000"/>
          <w:tblHeader/>
        </w:trPr>
        <w:tc>
          <w:tcPr>
            <w:cnfStyle w:val="001000000000"/>
            <w:tcW w:w="5000" w:type="pct"/>
          </w:tcPr>
          <w:p w:rsidR="00F1126B" w:rsidRPr="002E56FA" w:rsidRDefault="00F1126B" w:rsidP="00C310C9">
            <w:r w:rsidRPr="003A2022">
              <w:rPr>
                <w:rFonts w:ascii="Times New Roman" w:hAnsi="Times New Roman"/>
                <w:sz w:val="24"/>
                <w:szCs w:val="24"/>
              </w:rPr>
              <w:t>Technical Standards and Implementation Specifications Classification Process</w:t>
            </w:r>
          </w:p>
        </w:tc>
      </w:tr>
      <w:tr w:rsidR="00F1126B" w:rsidRPr="00A36FD5" w:rsidTr="00C310C9">
        <w:trPr>
          <w:cnfStyle w:val="000000100000"/>
        </w:trPr>
        <w:tc>
          <w:tcPr>
            <w:cnfStyle w:val="001000000000"/>
            <w:tcW w:w="5000" w:type="pct"/>
            <w:shd w:val="clear" w:color="auto" w:fill="DBE5F1" w:themeFill="accent1" w:themeFillTint="33"/>
          </w:tcPr>
          <w:p w:rsidR="00F1126B" w:rsidRDefault="00F1126B" w:rsidP="00C310C9">
            <w:pPr>
              <w:tabs>
                <w:tab w:val="left" w:pos="2323"/>
              </w:tabs>
              <w:rPr>
                <w:rFonts w:ascii="Times New Roman" w:hAnsi="Times New Roman"/>
                <w:sz w:val="24"/>
                <w:szCs w:val="24"/>
              </w:rPr>
            </w:pPr>
            <w:r w:rsidRPr="009B10F9">
              <w:rPr>
                <w:rFonts w:ascii="Times New Roman" w:hAnsi="Times New Roman"/>
                <w:sz w:val="24"/>
                <w:szCs w:val="24"/>
                <w:u w:val="single"/>
              </w:rPr>
              <w:t xml:space="preserve">Question </w:t>
            </w:r>
            <w:r>
              <w:rPr>
                <w:rFonts w:ascii="Times New Roman" w:hAnsi="Times New Roman"/>
                <w:u w:val="single"/>
              </w:rPr>
              <w:t>65</w:t>
            </w:r>
            <w:r w:rsidRPr="009B10F9">
              <w:rPr>
                <w:rFonts w:ascii="Times New Roman" w:hAnsi="Times New Roman"/>
                <w:sz w:val="24"/>
                <w:szCs w:val="24"/>
                <w:u w:val="single"/>
              </w:rPr>
              <w:t>:</w:t>
            </w:r>
            <w:r w:rsidRPr="009B10F9">
              <w:rPr>
                <w:rFonts w:ascii="Times New Roman" w:hAnsi="Times New Roman"/>
                <w:sz w:val="24"/>
                <w:szCs w:val="24"/>
              </w:rPr>
              <w:t xml:space="preserve">  </w:t>
            </w:r>
            <w:r w:rsidRPr="00A46DC1">
              <w:rPr>
                <w:rFonts w:ascii="Times New Roman" w:hAnsi="Times New Roman"/>
                <w:sz w:val="24"/>
                <w:szCs w:val="24"/>
              </w:rPr>
              <w:t>What types of criteria could be used for categorizing standards and implementation specifications for Interoperability CTEs?  We would prefer criteria that are objective and quantifiable and include some type of metric.</w:t>
            </w:r>
          </w:p>
          <w:p w:rsidR="00F1126B" w:rsidRPr="009B10F9" w:rsidRDefault="00F1126B" w:rsidP="00C310C9">
            <w:pPr>
              <w:tabs>
                <w:tab w:val="left" w:pos="2323"/>
              </w:tabs>
              <w:rPr>
                <w:rFonts w:ascii="Times New Roman" w:hAnsi="Times New Roman"/>
                <w:sz w:val="24"/>
                <w:szCs w:val="24"/>
              </w:rPr>
            </w:pPr>
          </w:p>
        </w:tc>
      </w:tr>
      <w:tr w:rsidR="00F1126B" w:rsidRPr="00A36FD5" w:rsidTr="00C310C9">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F1126B" w:rsidRDefault="00F1126B" w:rsidP="00C310C9">
            <w:pPr>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w:t>
            </w:r>
          </w:p>
          <w:p w:rsidR="00F1126B" w:rsidRPr="00A36FD5" w:rsidRDefault="00F1126B" w:rsidP="00C310C9">
            <w:pPr>
              <w:ind w:left="90"/>
              <w:rPr>
                <w:sz w:val="20"/>
                <w:szCs w:val="20"/>
              </w:rPr>
            </w:pPr>
          </w:p>
        </w:tc>
      </w:tr>
      <w:tr w:rsidR="00F1126B" w:rsidRPr="00A36FD5" w:rsidTr="00C310C9">
        <w:trPr>
          <w:cnfStyle w:val="000000100000"/>
        </w:trPr>
        <w:tc>
          <w:tcPr>
            <w:cnfStyle w:val="001000000000"/>
            <w:tcW w:w="5000" w:type="pct"/>
            <w:shd w:val="clear" w:color="auto" w:fill="FFFFFF" w:themeFill="background1"/>
          </w:tcPr>
          <w:p w:rsidR="00F1126B" w:rsidRPr="0023193A" w:rsidRDefault="00F1126B" w:rsidP="00C310C9">
            <w:pPr>
              <w:tabs>
                <w:tab w:val="left" w:pos="1440"/>
              </w:tabs>
              <w:spacing w:before="40" w:after="60"/>
              <w:rPr>
                <w:rFonts w:ascii="Times New Roman" w:hAnsi="Times New Roman" w:cs="Times New Roman"/>
                <w:b w:val="0"/>
              </w:rPr>
            </w:pPr>
          </w:p>
          <w:p w:rsidR="00F1126B" w:rsidRPr="00A36FD5" w:rsidRDefault="00F1126B" w:rsidP="00C310C9">
            <w:pPr>
              <w:tabs>
                <w:tab w:val="left" w:pos="1440"/>
              </w:tabs>
              <w:spacing w:before="40" w:after="60"/>
              <w:rPr>
                <w:rFonts w:ascii="Times New Roman" w:hAnsi="Times New Roman" w:cs="Times New Roman"/>
                <w:b w:val="0"/>
                <w:sz w:val="20"/>
                <w:szCs w:val="20"/>
              </w:rPr>
            </w:pPr>
          </w:p>
        </w:tc>
      </w:tr>
    </w:tbl>
    <w:p w:rsidR="00F1126B" w:rsidRDefault="00F1126B" w:rsidP="00094310">
      <w:pPr>
        <w:tabs>
          <w:tab w:val="left" w:pos="900"/>
          <w:tab w:val="left" w:pos="2790"/>
        </w:tabs>
      </w:pPr>
    </w:p>
    <w:tbl>
      <w:tblPr>
        <w:tblStyle w:val="MediumShading1-Accent11"/>
        <w:tblW w:w="5000" w:type="pct"/>
        <w:tblLook w:val="04A0"/>
      </w:tblPr>
      <w:tblGrid>
        <w:gridCol w:w="14616"/>
      </w:tblGrid>
      <w:tr w:rsidR="003A2022" w:rsidRPr="002E56FA">
        <w:trPr>
          <w:cnfStyle w:val="100000000000"/>
          <w:tblHeader/>
        </w:trPr>
        <w:tc>
          <w:tcPr>
            <w:cnfStyle w:val="001000000000"/>
            <w:tcW w:w="5000" w:type="pct"/>
          </w:tcPr>
          <w:p w:rsidR="003A2022" w:rsidRPr="002E56FA" w:rsidRDefault="003A2022" w:rsidP="003A2022">
            <w:r>
              <w:rPr>
                <w:rFonts w:ascii="Times New Roman" w:hAnsi="Times New Roman"/>
                <w:sz w:val="24"/>
                <w:szCs w:val="24"/>
              </w:rPr>
              <w:t>Economic Impact</w:t>
            </w:r>
          </w:p>
        </w:tc>
      </w:tr>
      <w:tr w:rsidR="003A2022" w:rsidRPr="009B10F9">
        <w:trPr>
          <w:cnfStyle w:val="000000100000"/>
        </w:trPr>
        <w:tc>
          <w:tcPr>
            <w:cnfStyle w:val="001000000000"/>
            <w:tcW w:w="5000" w:type="pct"/>
            <w:shd w:val="clear" w:color="auto" w:fill="DBE5F1" w:themeFill="accent1" w:themeFillTint="33"/>
          </w:tcPr>
          <w:p w:rsidR="003A2022" w:rsidRPr="003A2022" w:rsidRDefault="003A2022" w:rsidP="003A2022">
            <w:pPr>
              <w:rPr>
                <w:rFonts w:ascii="Times New Roman" w:hAnsi="Times New Roman"/>
                <w:sz w:val="24"/>
                <w:szCs w:val="24"/>
              </w:rPr>
            </w:pPr>
            <w:r w:rsidRPr="003A2022">
              <w:rPr>
                <w:rFonts w:ascii="Times New Roman" w:hAnsi="Times New Roman"/>
                <w:sz w:val="24"/>
                <w:szCs w:val="24"/>
                <w:u w:val="single"/>
              </w:rPr>
              <w:t xml:space="preserve">Question </w:t>
            </w:r>
            <w:r w:rsidRPr="003A2022">
              <w:rPr>
                <w:rFonts w:ascii="Times New Roman" w:hAnsi="Times New Roman"/>
                <w:u w:val="single"/>
              </w:rPr>
              <w:t>66</w:t>
            </w:r>
            <w:r w:rsidRPr="003A2022">
              <w:rPr>
                <w:rFonts w:ascii="Times New Roman" w:hAnsi="Times New Roman"/>
                <w:sz w:val="24"/>
                <w:szCs w:val="24"/>
                <w:u w:val="single"/>
              </w:rPr>
              <w:t>:</w:t>
            </w:r>
            <w:r w:rsidRPr="003A2022">
              <w:rPr>
                <w:rFonts w:ascii="Times New Roman" w:hAnsi="Times New Roman"/>
                <w:sz w:val="24"/>
                <w:szCs w:val="24"/>
              </w:rPr>
              <w:t xml:space="preserve">  We encourage comment and citations to publicly available data regarding the following:</w:t>
            </w:r>
          </w:p>
          <w:p w:rsidR="003A2022" w:rsidRPr="00833937" w:rsidRDefault="003A2022" w:rsidP="006F4BDD">
            <w:pPr>
              <w:pStyle w:val="ListParagraph"/>
              <w:numPr>
                <w:ilvl w:val="0"/>
                <w:numId w:val="4"/>
              </w:numPr>
              <w:ind w:left="1800"/>
              <w:rPr>
                <w:rFonts w:ascii="Times New Roman" w:hAnsi="Times New Roman"/>
                <w:sz w:val="24"/>
                <w:szCs w:val="24"/>
              </w:rPr>
            </w:pPr>
            <w:r w:rsidRPr="00833937">
              <w:rPr>
                <w:rFonts w:ascii="Times New Roman" w:hAnsi="Times New Roman"/>
                <w:sz w:val="24"/>
                <w:szCs w:val="24"/>
              </w:rPr>
              <w:t>The potential costs of validation;</w:t>
            </w:r>
          </w:p>
          <w:p w:rsidR="003A2022" w:rsidRPr="00833937" w:rsidRDefault="003A2022" w:rsidP="006F4BDD">
            <w:pPr>
              <w:pStyle w:val="ListParagraph"/>
              <w:numPr>
                <w:ilvl w:val="0"/>
                <w:numId w:val="4"/>
              </w:numPr>
              <w:ind w:left="1800"/>
              <w:rPr>
                <w:rFonts w:ascii="Times New Roman" w:hAnsi="Times New Roman"/>
                <w:sz w:val="24"/>
                <w:szCs w:val="24"/>
              </w:rPr>
            </w:pPr>
            <w:r w:rsidRPr="00833937">
              <w:rPr>
                <w:rFonts w:ascii="Times New Roman" w:hAnsi="Times New Roman"/>
                <w:sz w:val="24"/>
                <w:szCs w:val="24"/>
              </w:rPr>
              <w:t>The potential savings to States or other organizations that could be realized with the establishment of a validation process to CTEs;</w:t>
            </w:r>
          </w:p>
          <w:p w:rsidR="003A2022" w:rsidRPr="00833937" w:rsidRDefault="003A2022" w:rsidP="006F4BDD">
            <w:pPr>
              <w:pStyle w:val="ListParagraph"/>
              <w:numPr>
                <w:ilvl w:val="0"/>
                <w:numId w:val="4"/>
              </w:numPr>
              <w:ind w:left="1800"/>
              <w:rPr>
                <w:rFonts w:ascii="Times New Roman" w:hAnsi="Times New Roman"/>
                <w:sz w:val="24"/>
                <w:szCs w:val="24"/>
              </w:rPr>
            </w:pPr>
            <w:r w:rsidRPr="00833937">
              <w:rPr>
                <w:rFonts w:ascii="Times New Roman" w:hAnsi="Times New Roman"/>
                <w:sz w:val="24"/>
                <w:szCs w:val="24"/>
              </w:rPr>
              <w:t>The potential increase in the secure exchange of health information that might result from the establishment of CTEs;</w:t>
            </w:r>
          </w:p>
          <w:p w:rsidR="003A2022" w:rsidRDefault="003A2022" w:rsidP="006F4BDD">
            <w:pPr>
              <w:pStyle w:val="ListParagraph"/>
              <w:numPr>
                <w:ilvl w:val="0"/>
                <w:numId w:val="4"/>
              </w:numPr>
              <w:ind w:left="1800"/>
              <w:rPr>
                <w:rFonts w:ascii="Times New Roman" w:hAnsi="Times New Roman"/>
                <w:sz w:val="24"/>
                <w:szCs w:val="24"/>
              </w:rPr>
            </w:pPr>
            <w:r w:rsidRPr="00833937">
              <w:rPr>
                <w:rFonts w:ascii="Times New Roman" w:hAnsi="Times New Roman"/>
                <w:sz w:val="24"/>
                <w:szCs w:val="24"/>
              </w:rPr>
              <w:t>The potential number of entities that would seek to become NVEs; and</w:t>
            </w:r>
          </w:p>
          <w:p w:rsidR="003A2022" w:rsidRPr="003A2022" w:rsidRDefault="003A2022" w:rsidP="006F4BDD">
            <w:pPr>
              <w:pStyle w:val="ListParagraph"/>
              <w:numPr>
                <w:ilvl w:val="0"/>
                <w:numId w:val="4"/>
              </w:numPr>
              <w:ind w:left="1800"/>
              <w:rPr>
                <w:rFonts w:ascii="Times New Roman" w:hAnsi="Times New Roman"/>
                <w:sz w:val="24"/>
                <w:szCs w:val="24"/>
              </w:rPr>
            </w:pPr>
            <w:r w:rsidRPr="003A2022">
              <w:rPr>
                <w:rFonts w:ascii="Times New Roman" w:hAnsi="Times New Roman"/>
                <w:sz w:val="24"/>
                <w:szCs w:val="24"/>
              </w:rPr>
              <w:t>The NVE application and reporting burden associated with the conceptual proposals we discuss.</w:t>
            </w:r>
          </w:p>
        </w:tc>
      </w:tr>
      <w:tr w:rsidR="003A2022" w:rsidRPr="00A36FD5">
        <w:trPr>
          <w:cnfStyle w:val="000000010000"/>
        </w:trPr>
        <w:tc>
          <w:tcPr>
            <w:cnfStyle w:val="001000000000"/>
            <w:tcW w:w="5000" w:type="pct"/>
            <w:tcBorders>
              <w:bottom w:val="single" w:sz="8" w:space="0" w:color="7BA0CD" w:themeColor="accent1" w:themeTint="BF"/>
            </w:tcBorders>
            <w:shd w:val="clear" w:color="auto" w:fill="DBE5F1" w:themeFill="accent1" w:themeFillTint="33"/>
          </w:tcPr>
          <w:p w:rsidR="003A2022" w:rsidRDefault="003A2022" w:rsidP="00930D25">
            <w:pPr>
              <w:rPr>
                <w:rFonts w:ascii="Times New Roman" w:hAnsi="Times New Roman"/>
                <w:sz w:val="24"/>
                <w:szCs w:val="24"/>
              </w:rPr>
            </w:pPr>
            <w:r>
              <w:rPr>
                <w:rFonts w:ascii="Times New Roman" w:hAnsi="Times New Roman"/>
                <w:sz w:val="24"/>
                <w:szCs w:val="24"/>
                <w:u w:val="single"/>
              </w:rPr>
              <w:t>Question Context:</w:t>
            </w:r>
            <w:r>
              <w:rPr>
                <w:rFonts w:ascii="Times New Roman" w:hAnsi="Times New Roman"/>
                <w:sz w:val="24"/>
                <w:szCs w:val="24"/>
              </w:rPr>
              <w:t xml:space="preserve">  </w:t>
            </w:r>
          </w:p>
          <w:p w:rsidR="003A2022" w:rsidRPr="00A36FD5" w:rsidRDefault="003A2022" w:rsidP="00930D25">
            <w:pPr>
              <w:ind w:left="90"/>
              <w:rPr>
                <w:sz w:val="20"/>
                <w:szCs w:val="20"/>
              </w:rPr>
            </w:pPr>
          </w:p>
        </w:tc>
      </w:tr>
      <w:tr w:rsidR="003A2022" w:rsidRPr="00A36FD5">
        <w:trPr>
          <w:cnfStyle w:val="000000100000"/>
        </w:trPr>
        <w:tc>
          <w:tcPr>
            <w:cnfStyle w:val="001000000000"/>
            <w:tcW w:w="5000" w:type="pct"/>
            <w:shd w:val="clear" w:color="auto" w:fill="FFFFFF" w:themeFill="background1"/>
          </w:tcPr>
          <w:p w:rsidR="004D1CEC" w:rsidRPr="0090270A" w:rsidRDefault="004D1CEC" w:rsidP="004D1CEC">
            <w:pPr>
              <w:pStyle w:val="ListParagraph"/>
              <w:ind w:left="0" w:firstLine="674"/>
              <w:rPr>
                <w:rFonts w:ascii="Times New Roman" w:hAnsi="Times New Roman"/>
                <w:b w:val="0"/>
              </w:rPr>
            </w:pPr>
            <w:r w:rsidRPr="0090270A">
              <w:rPr>
                <w:rFonts w:ascii="Times New Roman" w:hAnsi="Times New Roman"/>
                <w:b w:val="0"/>
              </w:rPr>
              <w:t>Q. 66. 1:</w:t>
            </w:r>
          </w:p>
          <w:p w:rsidR="004D1CEC" w:rsidRPr="0090270A" w:rsidRDefault="004D1CEC" w:rsidP="006F4BDD">
            <w:pPr>
              <w:pStyle w:val="ListParagraph"/>
              <w:numPr>
                <w:ilvl w:val="0"/>
                <w:numId w:val="33"/>
              </w:numPr>
              <w:ind w:left="1394"/>
              <w:rPr>
                <w:rFonts w:ascii="Times New Roman" w:hAnsi="Times New Roman"/>
                <w:b w:val="0"/>
              </w:rPr>
            </w:pPr>
            <w:r w:rsidRPr="0090270A">
              <w:rPr>
                <w:rFonts w:ascii="Times New Roman" w:hAnsi="Times New Roman"/>
                <w:b w:val="0"/>
              </w:rPr>
              <w:t xml:space="preserve">The </w:t>
            </w:r>
            <w:r w:rsidR="00514C5B">
              <w:rPr>
                <w:rFonts w:ascii="Times New Roman" w:hAnsi="Times New Roman"/>
                <w:b w:val="0"/>
              </w:rPr>
              <w:t>HITPC</w:t>
            </w:r>
            <w:r w:rsidRPr="0090270A">
              <w:rPr>
                <w:rFonts w:ascii="Times New Roman" w:hAnsi="Times New Roman"/>
                <w:b w:val="0"/>
              </w:rPr>
              <w:t xml:space="preserve"> believes that the cost of validating NVEs will vary greatly depending on the range of services offered by the NVE and which CTEs will apply to these services. </w:t>
            </w:r>
          </w:p>
          <w:p w:rsidR="004D1CEC" w:rsidRPr="0090270A" w:rsidRDefault="004D1CEC" w:rsidP="006F4BDD">
            <w:pPr>
              <w:pStyle w:val="ListParagraph"/>
              <w:numPr>
                <w:ilvl w:val="0"/>
                <w:numId w:val="33"/>
              </w:numPr>
              <w:ind w:left="1394"/>
              <w:rPr>
                <w:rFonts w:ascii="Times New Roman" w:hAnsi="Times New Roman"/>
                <w:b w:val="0"/>
              </w:rPr>
            </w:pPr>
            <w:r w:rsidRPr="0090270A">
              <w:rPr>
                <w:rFonts w:ascii="Times New Roman" w:hAnsi="Times New Roman"/>
                <w:b w:val="0"/>
              </w:rPr>
              <w:t xml:space="preserve">Costs should be reasonable and minimized whenever possible to prevent placing undue burden on entities seeking to operate as NVEs. In particular, validation costs for offering directed exchange services needed for proposed stage 2 meaningful </w:t>
            </w:r>
            <w:proofErr w:type="gramStart"/>
            <w:r w:rsidRPr="0090270A">
              <w:rPr>
                <w:rFonts w:ascii="Times New Roman" w:hAnsi="Times New Roman"/>
                <w:b w:val="0"/>
              </w:rPr>
              <w:t>use</w:t>
            </w:r>
            <w:proofErr w:type="gramEnd"/>
            <w:r w:rsidRPr="0090270A">
              <w:rPr>
                <w:rFonts w:ascii="Times New Roman" w:hAnsi="Times New Roman"/>
                <w:b w:val="0"/>
              </w:rPr>
              <w:t xml:space="preserve"> should be low enough to permit affordable fees for small providers and other participants with limited resources.</w:t>
            </w:r>
          </w:p>
          <w:p w:rsidR="004D1CEC" w:rsidRPr="0090270A" w:rsidRDefault="004D1CEC" w:rsidP="004D1CEC">
            <w:pPr>
              <w:pStyle w:val="ListParagraph"/>
              <w:ind w:left="0" w:firstLine="674"/>
              <w:rPr>
                <w:rFonts w:ascii="Times New Roman" w:hAnsi="Times New Roman"/>
                <w:b w:val="0"/>
              </w:rPr>
            </w:pPr>
            <w:r w:rsidRPr="0090270A">
              <w:rPr>
                <w:rFonts w:ascii="Times New Roman" w:hAnsi="Times New Roman"/>
                <w:b w:val="0"/>
              </w:rPr>
              <w:t>Q. 66. 2:</w:t>
            </w:r>
          </w:p>
          <w:p w:rsidR="004D1CEC" w:rsidRPr="0090270A" w:rsidRDefault="004D1CEC" w:rsidP="006F4BDD">
            <w:pPr>
              <w:pStyle w:val="ListParagraph"/>
              <w:numPr>
                <w:ilvl w:val="0"/>
                <w:numId w:val="33"/>
              </w:numPr>
              <w:ind w:left="1394"/>
              <w:rPr>
                <w:rFonts w:ascii="Times New Roman" w:hAnsi="Times New Roman"/>
                <w:b w:val="0"/>
              </w:rPr>
            </w:pPr>
            <w:r w:rsidRPr="0090270A">
              <w:rPr>
                <w:rFonts w:ascii="Times New Roman" w:hAnsi="Times New Roman"/>
                <w:b w:val="0"/>
              </w:rPr>
              <w:t>The proposed governance approach will benefit states by encouraging greater participation in health information exchange, improving quality and reducing the cost of care. Only a few states have established their own accreditation/certification programs for health information exchange. A national governance program will allow those states to eliminate certification programs, producing clear cost savings.</w:t>
            </w:r>
          </w:p>
          <w:p w:rsidR="004D1CEC" w:rsidRPr="0090270A" w:rsidRDefault="004D1CEC" w:rsidP="006F4BDD">
            <w:pPr>
              <w:pStyle w:val="ListParagraph"/>
              <w:numPr>
                <w:ilvl w:val="0"/>
                <w:numId w:val="33"/>
              </w:numPr>
              <w:ind w:left="1394"/>
              <w:rPr>
                <w:rFonts w:ascii="Times New Roman" w:hAnsi="Times New Roman"/>
                <w:b w:val="0"/>
              </w:rPr>
            </w:pPr>
            <w:r w:rsidRPr="0090270A">
              <w:rPr>
                <w:rFonts w:ascii="Times New Roman" w:hAnsi="Times New Roman"/>
                <w:b w:val="0"/>
              </w:rPr>
              <w:t xml:space="preserve">The </w:t>
            </w:r>
            <w:r w:rsidR="00514C5B">
              <w:rPr>
                <w:rFonts w:ascii="Times New Roman" w:hAnsi="Times New Roman"/>
                <w:b w:val="0"/>
              </w:rPr>
              <w:t>HITPC</w:t>
            </w:r>
            <w:r w:rsidRPr="0090270A">
              <w:rPr>
                <w:rFonts w:ascii="Times New Roman" w:hAnsi="Times New Roman"/>
                <w:b w:val="0"/>
              </w:rPr>
              <w:t xml:space="preserve"> believes that establishing federal validation guidelines would reduce the cost currently incurred when navigating validation and certification standards that differ by state.</w:t>
            </w:r>
          </w:p>
          <w:p w:rsidR="004D1CEC" w:rsidRPr="0090270A" w:rsidRDefault="004D1CEC" w:rsidP="006F4BDD">
            <w:pPr>
              <w:pStyle w:val="ListParagraph"/>
              <w:numPr>
                <w:ilvl w:val="0"/>
                <w:numId w:val="33"/>
              </w:numPr>
              <w:ind w:left="1394"/>
              <w:rPr>
                <w:rFonts w:ascii="Times New Roman" w:hAnsi="Times New Roman"/>
                <w:b w:val="0"/>
              </w:rPr>
            </w:pPr>
            <w:r w:rsidRPr="0090270A">
              <w:rPr>
                <w:rFonts w:ascii="Times New Roman" w:hAnsi="Times New Roman"/>
                <w:b w:val="0"/>
              </w:rPr>
              <w:t>In order to realize savings, federal validation standards will have to be flexible enough to meet the needs of multiple use cases to create sufficiently robust health information exchange that encourages state legislatures to stand down their unique privacy and security standards and adhere to federal standards.</w:t>
            </w:r>
          </w:p>
          <w:p w:rsidR="004D1CEC" w:rsidRPr="0090270A" w:rsidRDefault="004D1CEC" w:rsidP="006F4BDD">
            <w:pPr>
              <w:pStyle w:val="ListParagraph"/>
              <w:numPr>
                <w:ilvl w:val="0"/>
                <w:numId w:val="33"/>
              </w:numPr>
              <w:ind w:left="1394"/>
              <w:rPr>
                <w:rFonts w:ascii="Times New Roman" w:hAnsi="Times New Roman"/>
                <w:b w:val="0"/>
              </w:rPr>
            </w:pPr>
            <w:r w:rsidRPr="0090270A">
              <w:rPr>
                <w:rFonts w:ascii="Times New Roman" w:hAnsi="Times New Roman"/>
                <w:b w:val="0"/>
              </w:rPr>
              <w:t>Further clarification is necessary with regards to the set of security and privacy standards federal regulations would establish for all states to follow.</w:t>
            </w:r>
          </w:p>
          <w:p w:rsidR="004D1CEC" w:rsidRPr="0090270A" w:rsidRDefault="004D1CEC" w:rsidP="004D1CEC">
            <w:pPr>
              <w:pStyle w:val="ListParagraph"/>
              <w:ind w:left="0" w:firstLine="674"/>
              <w:rPr>
                <w:rFonts w:ascii="Times New Roman" w:hAnsi="Times New Roman"/>
                <w:b w:val="0"/>
              </w:rPr>
            </w:pPr>
            <w:r w:rsidRPr="0090270A">
              <w:rPr>
                <w:rFonts w:ascii="Times New Roman" w:hAnsi="Times New Roman"/>
                <w:b w:val="0"/>
              </w:rPr>
              <w:t>Q. 66. 3:</w:t>
            </w:r>
          </w:p>
          <w:p w:rsidR="004D1CEC" w:rsidRPr="0090270A" w:rsidRDefault="004D1CEC" w:rsidP="006F4BDD">
            <w:pPr>
              <w:pStyle w:val="ListParagraph"/>
              <w:numPr>
                <w:ilvl w:val="0"/>
                <w:numId w:val="33"/>
              </w:numPr>
              <w:ind w:left="1394"/>
              <w:rPr>
                <w:rFonts w:ascii="Times New Roman" w:hAnsi="Times New Roman"/>
                <w:b w:val="0"/>
              </w:rPr>
            </w:pPr>
            <w:r w:rsidRPr="0090270A">
              <w:rPr>
                <w:rFonts w:ascii="Times New Roman" w:hAnsi="Times New Roman"/>
                <w:b w:val="0"/>
              </w:rPr>
              <w:t xml:space="preserve">The </w:t>
            </w:r>
            <w:r w:rsidR="00514C5B">
              <w:rPr>
                <w:rFonts w:ascii="Times New Roman" w:hAnsi="Times New Roman"/>
                <w:b w:val="0"/>
              </w:rPr>
              <w:t>HITPC</w:t>
            </w:r>
            <w:r w:rsidRPr="0090270A">
              <w:rPr>
                <w:rFonts w:ascii="Times New Roman" w:hAnsi="Times New Roman"/>
                <w:b w:val="0"/>
              </w:rPr>
              <w:t xml:space="preserve"> foresees a significant increase in health information exchange resulting from the proposed governance structure, including by nontraditional exchange participants.</w:t>
            </w:r>
          </w:p>
          <w:p w:rsidR="004D1CEC" w:rsidRPr="0090270A" w:rsidRDefault="004D1CEC" w:rsidP="004D1CEC">
            <w:pPr>
              <w:pStyle w:val="ListParagraph"/>
              <w:ind w:left="0" w:firstLine="674"/>
              <w:rPr>
                <w:rFonts w:ascii="Times New Roman" w:hAnsi="Times New Roman"/>
                <w:b w:val="0"/>
              </w:rPr>
            </w:pPr>
            <w:r w:rsidRPr="0090270A">
              <w:rPr>
                <w:rFonts w:ascii="Times New Roman" w:hAnsi="Times New Roman"/>
                <w:b w:val="0"/>
              </w:rPr>
              <w:t>Q. 66. 4:</w:t>
            </w:r>
          </w:p>
          <w:p w:rsidR="004D1CEC" w:rsidRPr="0090270A" w:rsidRDefault="004D1CEC" w:rsidP="006F4BDD">
            <w:pPr>
              <w:pStyle w:val="ListParagraph"/>
              <w:numPr>
                <w:ilvl w:val="0"/>
                <w:numId w:val="33"/>
              </w:numPr>
              <w:ind w:left="1394"/>
              <w:rPr>
                <w:rFonts w:ascii="Times New Roman" w:hAnsi="Times New Roman"/>
                <w:b w:val="0"/>
              </w:rPr>
            </w:pPr>
            <w:r w:rsidRPr="0090270A">
              <w:rPr>
                <w:rFonts w:ascii="Times New Roman" w:hAnsi="Times New Roman"/>
                <w:b w:val="0"/>
              </w:rPr>
              <w:t>NVEs will not be/should not be a “one size fits all” type of entity. Instead, they will likely come in a variety of shapes and sizes offering a variety of services. If that is the case, and we account for that in everything from validation to reporting requirements, then the likelihood of thousands of entities pursing NVE status is high. If, on the other hand, NVE status requires a minimum set of services that is far-reaching in scope, these requirements will likely limit the number of organizations seeking NVE status.</w:t>
            </w:r>
          </w:p>
          <w:p w:rsidR="004D1CEC" w:rsidRPr="0090270A" w:rsidRDefault="004D1CEC" w:rsidP="006F4BDD">
            <w:pPr>
              <w:pStyle w:val="ListParagraph"/>
              <w:numPr>
                <w:ilvl w:val="0"/>
                <w:numId w:val="33"/>
              </w:numPr>
              <w:ind w:left="1394"/>
              <w:rPr>
                <w:rFonts w:ascii="Times New Roman" w:hAnsi="Times New Roman"/>
                <w:b w:val="0"/>
              </w:rPr>
            </w:pPr>
            <w:r w:rsidRPr="0090270A">
              <w:rPr>
                <w:rFonts w:ascii="Times New Roman" w:hAnsi="Times New Roman"/>
                <w:b w:val="0"/>
              </w:rPr>
              <w:t xml:space="preserve">Under the first scenario, the </w:t>
            </w:r>
            <w:r w:rsidR="00514C5B">
              <w:rPr>
                <w:rFonts w:ascii="Times New Roman" w:hAnsi="Times New Roman"/>
                <w:b w:val="0"/>
              </w:rPr>
              <w:t>HITPC</w:t>
            </w:r>
            <w:r w:rsidRPr="0090270A">
              <w:rPr>
                <w:rFonts w:ascii="Times New Roman" w:hAnsi="Times New Roman"/>
                <w:b w:val="0"/>
              </w:rPr>
              <w:t xml:space="preserve"> predicts that hundreds and perhaps thousands of organizations such as EHR vendors, RHIOs, HIOs, patient engagement vendors, large hospital systems, academic centers and more will seek to become NVEs. </w:t>
            </w:r>
          </w:p>
          <w:p w:rsidR="004D1CEC" w:rsidRPr="0090270A" w:rsidRDefault="004D1CEC" w:rsidP="006F4BDD">
            <w:pPr>
              <w:pStyle w:val="ListParagraph"/>
              <w:numPr>
                <w:ilvl w:val="0"/>
                <w:numId w:val="33"/>
              </w:numPr>
              <w:ind w:left="1394"/>
              <w:rPr>
                <w:rFonts w:ascii="Times New Roman" w:hAnsi="Times New Roman"/>
                <w:b w:val="0"/>
              </w:rPr>
            </w:pPr>
            <w:r w:rsidRPr="0090270A">
              <w:rPr>
                <w:rFonts w:ascii="Times New Roman" w:hAnsi="Times New Roman"/>
                <w:b w:val="0"/>
              </w:rPr>
              <w:t xml:space="preserve">Organizations already facilitating health information exchange will be naturally aligned to serve as a NVE under the proposed governance structure. </w:t>
            </w:r>
          </w:p>
          <w:p w:rsidR="004D1CEC" w:rsidRPr="0090270A" w:rsidRDefault="004D1CEC" w:rsidP="006F4BDD">
            <w:pPr>
              <w:pStyle w:val="ListParagraph"/>
              <w:numPr>
                <w:ilvl w:val="0"/>
                <w:numId w:val="33"/>
              </w:numPr>
              <w:ind w:left="1394"/>
              <w:rPr>
                <w:rFonts w:ascii="Times New Roman" w:hAnsi="Times New Roman"/>
                <w:b w:val="0"/>
              </w:rPr>
            </w:pPr>
            <w:r w:rsidRPr="0090270A">
              <w:rPr>
                <w:rFonts w:ascii="Times New Roman" w:hAnsi="Times New Roman"/>
                <w:b w:val="0"/>
              </w:rPr>
              <w:t xml:space="preserve">The </w:t>
            </w:r>
            <w:r w:rsidR="00514C5B">
              <w:rPr>
                <w:rFonts w:ascii="Times New Roman" w:hAnsi="Times New Roman"/>
                <w:b w:val="0"/>
              </w:rPr>
              <w:t>HITPC</w:t>
            </w:r>
            <w:r w:rsidRPr="0090270A">
              <w:rPr>
                <w:rFonts w:ascii="Times New Roman" w:hAnsi="Times New Roman"/>
                <w:b w:val="0"/>
              </w:rPr>
              <w:t xml:space="preserve"> cautions that the prohibition of using de-identified data for “commercial purposes” without further clarification of use cases considered to be commercial could be a barrier to the operation of NVEs. Entities that provided care management support, data analysis for ACOs, app developers, market researchers could be prohibited from exchanging data with NVEs thereby excluding their clients from participating in exchange. </w:t>
            </w:r>
          </w:p>
          <w:p w:rsidR="004D1CEC" w:rsidRPr="0090270A" w:rsidRDefault="004D1CEC" w:rsidP="004D1CEC">
            <w:pPr>
              <w:pStyle w:val="ListParagraph"/>
              <w:ind w:left="0" w:firstLine="674"/>
              <w:rPr>
                <w:rFonts w:ascii="Times New Roman" w:hAnsi="Times New Roman"/>
                <w:b w:val="0"/>
              </w:rPr>
            </w:pPr>
            <w:r w:rsidRPr="0090270A">
              <w:rPr>
                <w:rFonts w:ascii="Times New Roman" w:hAnsi="Times New Roman"/>
                <w:b w:val="0"/>
              </w:rPr>
              <w:t>Q. 66. 5:</w:t>
            </w:r>
          </w:p>
          <w:p w:rsidR="004D1CEC" w:rsidRPr="0090270A" w:rsidRDefault="004D1CEC" w:rsidP="006F4BDD">
            <w:pPr>
              <w:pStyle w:val="ListParagraph"/>
              <w:numPr>
                <w:ilvl w:val="0"/>
                <w:numId w:val="33"/>
              </w:numPr>
              <w:ind w:left="1394"/>
              <w:rPr>
                <w:rFonts w:ascii="Times New Roman" w:hAnsi="Times New Roman"/>
                <w:b w:val="0"/>
              </w:rPr>
            </w:pPr>
            <w:r w:rsidRPr="0090270A">
              <w:rPr>
                <w:rFonts w:ascii="Times New Roman" w:hAnsi="Times New Roman"/>
                <w:b w:val="0"/>
              </w:rPr>
              <w:t xml:space="preserve">The </w:t>
            </w:r>
            <w:r w:rsidR="00514C5B">
              <w:rPr>
                <w:rFonts w:ascii="Times New Roman" w:hAnsi="Times New Roman"/>
                <w:b w:val="0"/>
              </w:rPr>
              <w:t>HITPC</w:t>
            </w:r>
            <w:r w:rsidRPr="0090270A">
              <w:rPr>
                <w:rFonts w:ascii="Times New Roman" w:hAnsi="Times New Roman"/>
                <w:b w:val="0"/>
              </w:rPr>
              <w:t xml:space="preserve"> does not have an estimate for the application and reporting burden, which will vary greatly depending on which exchange services are offered and which CTEs need to be validated.</w:t>
            </w:r>
          </w:p>
          <w:p w:rsidR="00553BFF" w:rsidRPr="0090270A" w:rsidRDefault="004D1CEC" w:rsidP="00930D25">
            <w:pPr>
              <w:pStyle w:val="ListParagraph"/>
              <w:numPr>
                <w:ilvl w:val="0"/>
                <w:numId w:val="33"/>
              </w:numPr>
              <w:tabs>
                <w:tab w:val="left" w:pos="1440"/>
              </w:tabs>
              <w:spacing w:before="40" w:after="60"/>
              <w:ind w:left="1394"/>
              <w:rPr>
                <w:rFonts w:ascii="Times New Roman" w:hAnsi="Times New Roman" w:cs="Times New Roman"/>
                <w:b w:val="0"/>
              </w:rPr>
            </w:pPr>
            <w:r w:rsidRPr="0090270A">
              <w:rPr>
                <w:rFonts w:ascii="Times New Roman" w:hAnsi="Times New Roman"/>
                <w:b w:val="0"/>
              </w:rPr>
              <w:t xml:space="preserve">The NVE application and reporting burden should be kept at a reasonable level to encourage NVE participation and permit modest fees for NVE customers. </w:t>
            </w:r>
          </w:p>
          <w:p w:rsidR="003A2022" w:rsidRPr="00A36FD5" w:rsidRDefault="003A2022" w:rsidP="00F67826">
            <w:pPr>
              <w:tabs>
                <w:tab w:val="left" w:pos="1440"/>
              </w:tabs>
              <w:spacing w:before="40" w:after="60"/>
              <w:rPr>
                <w:rFonts w:ascii="Times New Roman" w:hAnsi="Times New Roman" w:cs="Times New Roman"/>
                <w:b w:val="0"/>
                <w:sz w:val="20"/>
                <w:szCs w:val="20"/>
              </w:rPr>
            </w:pPr>
          </w:p>
        </w:tc>
      </w:tr>
    </w:tbl>
    <w:p w:rsidR="003A2022" w:rsidRDefault="003A2022" w:rsidP="00B85C09">
      <w:pPr>
        <w:tabs>
          <w:tab w:val="left" w:pos="900"/>
          <w:tab w:val="left" w:pos="2790"/>
        </w:tabs>
      </w:pPr>
    </w:p>
    <w:sectPr w:rsidR="003A2022" w:rsidSect="00AE443F">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6D8" w:rsidRDefault="00A946D8" w:rsidP="00EB32F9">
      <w:pPr>
        <w:spacing w:after="0" w:line="240" w:lineRule="auto"/>
      </w:pPr>
      <w:r>
        <w:separator/>
      </w:r>
    </w:p>
  </w:endnote>
  <w:endnote w:type="continuationSeparator" w:id="0">
    <w:p w:rsidR="00A946D8" w:rsidRDefault="00A946D8" w:rsidP="00EB3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Palatino Linotype">
    <w:altName w:val="Palatino"/>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05688"/>
      <w:docPartObj>
        <w:docPartGallery w:val="Page Numbers (Bottom of Page)"/>
        <w:docPartUnique/>
      </w:docPartObj>
    </w:sdtPr>
    <w:sdtContent>
      <w:sdt>
        <w:sdtPr>
          <w:id w:val="565050523"/>
          <w:docPartObj>
            <w:docPartGallery w:val="Page Numbers (Top of Page)"/>
            <w:docPartUnique/>
          </w:docPartObj>
        </w:sdtPr>
        <w:sdtContent>
          <w:p w:rsidR="00A946D8" w:rsidRDefault="00A946D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1126B">
              <w:rPr>
                <w:b/>
                <w:noProof/>
              </w:rPr>
              <w:t>34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1126B">
              <w:rPr>
                <w:b/>
                <w:noProof/>
              </w:rPr>
              <w:t>35</w:t>
            </w:r>
            <w:r>
              <w:rPr>
                <w:b/>
                <w:sz w:val="24"/>
                <w:szCs w:val="24"/>
              </w:rPr>
              <w:fldChar w:fldCharType="end"/>
            </w:r>
          </w:p>
        </w:sdtContent>
      </w:sdt>
    </w:sdtContent>
  </w:sdt>
  <w:p w:rsidR="00A946D8" w:rsidRDefault="00A94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6D8" w:rsidRDefault="00A946D8" w:rsidP="00EB32F9">
      <w:pPr>
        <w:spacing w:after="0" w:line="240" w:lineRule="auto"/>
      </w:pPr>
      <w:r>
        <w:separator/>
      </w:r>
    </w:p>
  </w:footnote>
  <w:footnote w:type="continuationSeparator" w:id="0">
    <w:p w:rsidR="00A946D8" w:rsidRDefault="00A946D8" w:rsidP="00EB32F9">
      <w:pPr>
        <w:spacing w:after="0" w:line="240" w:lineRule="auto"/>
      </w:pPr>
      <w:r>
        <w:continuationSeparator/>
      </w:r>
    </w:p>
  </w:footnote>
  <w:footnote w:id="1">
    <w:p w:rsidR="00A946D8" w:rsidRDefault="00A946D8" w:rsidP="004A4EA2">
      <w:pPr>
        <w:pStyle w:val="FootnoteText"/>
      </w:pPr>
      <w:r>
        <w:rPr>
          <w:rStyle w:val="FootnoteReference"/>
        </w:rPr>
        <w:footnoteRef/>
      </w:r>
      <w:proofErr w:type="gramStart"/>
      <w:r>
        <w:t>(2010) NIST.</w:t>
      </w:r>
      <w:proofErr w:type="gramEnd"/>
      <w:r>
        <w:t xml:space="preserve"> </w:t>
      </w:r>
      <w:proofErr w:type="gramStart"/>
      <w:r>
        <w:t>“Security Architecture Design Process for Health Information Exchanges (HIEs).”</w:t>
      </w:r>
      <w:proofErr w:type="gramEnd"/>
      <w:r>
        <w:t xml:space="preserve"> Available at: </w:t>
      </w:r>
      <w:r w:rsidRPr="007653B1">
        <w:t>http://csrc.nist.gov/publications/nistir/ir7497/nistir-7497.pdf</w:t>
      </w:r>
    </w:p>
  </w:footnote>
  <w:footnote w:id="2">
    <w:p w:rsidR="00A946D8" w:rsidRPr="0093489C" w:rsidRDefault="00A946D8" w:rsidP="007314BB">
      <w:pPr>
        <w:pStyle w:val="FootnoteText"/>
      </w:pPr>
      <w:r w:rsidRPr="0093489C">
        <w:rPr>
          <w:rStyle w:val="FootnoteReference"/>
        </w:rPr>
        <w:footnoteRef/>
      </w:r>
      <w:r w:rsidRPr="0093489C">
        <w:t xml:space="preserve"> For the purposes of </w:t>
      </w:r>
      <w:r>
        <w:t>the HITPC’s responses</w:t>
      </w:r>
      <w:r w:rsidRPr="0093489C">
        <w:t xml:space="preserve">, meaningful </w:t>
      </w:r>
      <w:r>
        <w:t>“</w:t>
      </w:r>
      <w:r w:rsidRPr="0093489C">
        <w:t xml:space="preserve">choice” and meaningful </w:t>
      </w:r>
      <w:r>
        <w:t>“</w:t>
      </w:r>
      <w:r w:rsidRPr="0093489C">
        <w:t xml:space="preserve">consent” </w:t>
      </w:r>
      <w:r>
        <w:t xml:space="preserve">are terms that </w:t>
      </w:r>
      <w:r w:rsidRPr="0093489C">
        <w:t xml:space="preserve">have the same meaning. </w:t>
      </w:r>
      <w:r>
        <w:t xml:space="preserve">We have used the word “consent” more often in our response because we believe it is more understandable to the public.  </w:t>
      </w:r>
      <w:r w:rsidRPr="0093489C">
        <w:t xml:space="preserve"> </w:t>
      </w:r>
    </w:p>
  </w:footnote>
  <w:footnote w:id="3">
    <w:p w:rsidR="00A946D8" w:rsidRDefault="00A946D8" w:rsidP="00B551EA">
      <w:pPr>
        <w:pStyle w:val="FootnoteText"/>
      </w:pPr>
      <w:r>
        <w:rPr>
          <w:rStyle w:val="FootnoteReference"/>
        </w:rPr>
        <w:footnoteRef/>
      </w:r>
      <w:r>
        <w:t xml:space="preserve"> </w:t>
      </w:r>
      <w:hyperlink r:id="rId1" w:history="1">
        <w:r>
          <w:t xml:space="preserve">Additional information on the Federal Bridge can be viewed at: </w:t>
        </w:r>
        <w:r>
          <w:rPr>
            <w:rStyle w:val="Hyperlink"/>
            <w:rFonts w:eastAsiaTheme="majorEastAsia"/>
          </w:rPr>
          <w:t>http://www.idmanagement.gov/pages.cfm/page/Federal-PKI</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585"/>
    <w:multiLevelType w:val="hybridMultilevel"/>
    <w:tmpl w:val="6B6A5EE0"/>
    <w:lvl w:ilvl="0" w:tplc="54885BD4">
      <w:start w:val="1"/>
      <w:numFmt w:val="bullet"/>
      <w:lvlText w:val="•"/>
      <w:lvlJc w:val="left"/>
      <w:pPr>
        <w:tabs>
          <w:tab w:val="num" w:pos="720"/>
        </w:tabs>
        <w:ind w:left="720" w:hanging="360"/>
      </w:pPr>
      <w:rPr>
        <w:rFonts w:ascii="Arial" w:hAnsi="Arial" w:hint="default"/>
      </w:rPr>
    </w:lvl>
    <w:lvl w:ilvl="1" w:tplc="51FA36D6" w:tentative="1">
      <w:start w:val="1"/>
      <w:numFmt w:val="bullet"/>
      <w:lvlText w:val="•"/>
      <w:lvlJc w:val="left"/>
      <w:pPr>
        <w:tabs>
          <w:tab w:val="num" w:pos="1440"/>
        </w:tabs>
        <w:ind w:left="1440" w:hanging="360"/>
      </w:pPr>
      <w:rPr>
        <w:rFonts w:ascii="Arial" w:hAnsi="Arial" w:hint="default"/>
      </w:rPr>
    </w:lvl>
    <w:lvl w:ilvl="2" w:tplc="03309518" w:tentative="1">
      <w:start w:val="1"/>
      <w:numFmt w:val="bullet"/>
      <w:lvlText w:val="•"/>
      <w:lvlJc w:val="left"/>
      <w:pPr>
        <w:tabs>
          <w:tab w:val="num" w:pos="2160"/>
        </w:tabs>
        <w:ind w:left="2160" w:hanging="360"/>
      </w:pPr>
      <w:rPr>
        <w:rFonts w:ascii="Arial" w:hAnsi="Arial" w:hint="default"/>
      </w:rPr>
    </w:lvl>
    <w:lvl w:ilvl="3" w:tplc="476EB244" w:tentative="1">
      <w:start w:val="1"/>
      <w:numFmt w:val="bullet"/>
      <w:lvlText w:val="•"/>
      <w:lvlJc w:val="left"/>
      <w:pPr>
        <w:tabs>
          <w:tab w:val="num" w:pos="2880"/>
        </w:tabs>
        <w:ind w:left="2880" w:hanging="360"/>
      </w:pPr>
      <w:rPr>
        <w:rFonts w:ascii="Arial" w:hAnsi="Arial" w:hint="default"/>
      </w:rPr>
    </w:lvl>
    <w:lvl w:ilvl="4" w:tplc="4C34E000" w:tentative="1">
      <w:start w:val="1"/>
      <w:numFmt w:val="bullet"/>
      <w:lvlText w:val="•"/>
      <w:lvlJc w:val="left"/>
      <w:pPr>
        <w:tabs>
          <w:tab w:val="num" w:pos="3600"/>
        </w:tabs>
        <w:ind w:left="3600" w:hanging="360"/>
      </w:pPr>
      <w:rPr>
        <w:rFonts w:ascii="Arial" w:hAnsi="Arial" w:hint="default"/>
      </w:rPr>
    </w:lvl>
    <w:lvl w:ilvl="5" w:tplc="EB7C869C" w:tentative="1">
      <w:start w:val="1"/>
      <w:numFmt w:val="bullet"/>
      <w:lvlText w:val="•"/>
      <w:lvlJc w:val="left"/>
      <w:pPr>
        <w:tabs>
          <w:tab w:val="num" w:pos="4320"/>
        </w:tabs>
        <w:ind w:left="4320" w:hanging="360"/>
      </w:pPr>
      <w:rPr>
        <w:rFonts w:ascii="Arial" w:hAnsi="Arial" w:hint="default"/>
      </w:rPr>
    </w:lvl>
    <w:lvl w:ilvl="6" w:tplc="7520EBE2" w:tentative="1">
      <w:start w:val="1"/>
      <w:numFmt w:val="bullet"/>
      <w:lvlText w:val="•"/>
      <w:lvlJc w:val="left"/>
      <w:pPr>
        <w:tabs>
          <w:tab w:val="num" w:pos="5040"/>
        </w:tabs>
        <w:ind w:left="5040" w:hanging="360"/>
      </w:pPr>
      <w:rPr>
        <w:rFonts w:ascii="Arial" w:hAnsi="Arial" w:hint="default"/>
      </w:rPr>
    </w:lvl>
    <w:lvl w:ilvl="7" w:tplc="EB0CB94A" w:tentative="1">
      <w:start w:val="1"/>
      <w:numFmt w:val="bullet"/>
      <w:lvlText w:val="•"/>
      <w:lvlJc w:val="left"/>
      <w:pPr>
        <w:tabs>
          <w:tab w:val="num" w:pos="5760"/>
        </w:tabs>
        <w:ind w:left="5760" w:hanging="360"/>
      </w:pPr>
      <w:rPr>
        <w:rFonts w:ascii="Arial" w:hAnsi="Arial" w:hint="default"/>
      </w:rPr>
    </w:lvl>
    <w:lvl w:ilvl="8" w:tplc="D7D6EC58" w:tentative="1">
      <w:start w:val="1"/>
      <w:numFmt w:val="bullet"/>
      <w:lvlText w:val="•"/>
      <w:lvlJc w:val="left"/>
      <w:pPr>
        <w:tabs>
          <w:tab w:val="num" w:pos="6480"/>
        </w:tabs>
        <w:ind w:left="6480" w:hanging="360"/>
      </w:pPr>
      <w:rPr>
        <w:rFonts w:ascii="Arial" w:hAnsi="Arial" w:hint="default"/>
      </w:rPr>
    </w:lvl>
  </w:abstractNum>
  <w:abstractNum w:abstractNumId="1">
    <w:nsid w:val="038E1814"/>
    <w:multiLevelType w:val="hybridMultilevel"/>
    <w:tmpl w:val="F498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F52A1"/>
    <w:multiLevelType w:val="hybridMultilevel"/>
    <w:tmpl w:val="8062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33F2B"/>
    <w:multiLevelType w:val="hybridMultilevel"/>
    <w:tmpl w:val="3300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702E0"/>
    <w:multiLevelType w:val="hybridMultilevel"/>
    <w:tmpl w:val="0638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54FAE"/>
    <w:multiLevelType w:val="hybridMultilevel"/>
    <w:tmpl w:val="271E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F6490"/>
    <w:multiLevelType w:val="hybridMultilevel"/>
    <w:tmpl w:val="7A36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90154"/>
    <w:multiLevelType w:val="hybridMultilevel"/>
    <w:tmpl w:val="5C7EA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3A5A3D"/>
    <w:multiLevelType w:val="multilevel"/>
    <w:tmpl w:val="FC8E8F3E"/>
    <w:styleLink w:val="RegText"/>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Restart w:val="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7F67599"/>
    <w:multiLevelType w:val="hybridMultilevel"/>
    <w:tmpl w:val="9CD88836"/>
    <w:lvl w:ilvl="0" w:tplc="15DAB494">
      <w:start w:val="12"/>
      <w:numFmt w:val="decimal"/>
      <w:lvlText w:val="Question %1:"/>
      <w:lvlJc w:val="left"/>
      <w:pPr>
        <w:ind w:left="360" w:hanging="360"/>
      </w:pPr>
      <w:rPr>
        <w:rFonts w:ascii="Times New Roman" w:hAnsi="Times New Roman" w:cs="Times New Roman" w:hint="default"/>
        <w:b/>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D5164"/>
    <w:multiLevelType w:val="hybridMultilevel"/>
    <w:tmpl w:val="5816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F6C0B"/>
    <w:multiLevelType w:val="hybridMultilevel"/>
    <w:tmpl w:val="5FC4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A416A"/>
    <w:multiLevelType w:val="hybridMultilevel"/>
    <w:tmpl w:val="636C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A511E"/>
    <w:multiLevelType w:val="hybridMultilevel"/>
    <w:tmpl w:val="2E003DCA"/>
    <w:lvl w:ilvl="0" w:tplc="E06C1E7C">
      <w:start w:val="1"/>
      <w:numFmt w:val="decimal"/>
      <w:lvlText w:val="Question %1:"/>
      <w:lvlJc w:val="left"/>
      <w:pPr>
        <w:ind w:left="360" w:hanging="360"/>
      </w:pPr>
      <w:rPr>
        <w:rFonts w:ascii="Times New Roman" w:hAnsi="Times New Roman" w:cs="Times New Roman" w:hint="default"/>
        <w:b/>
        <w:sz w:val="24"/>
        <w:szCs w:val="24"/>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3324FA5"/>
    <w:multiLevelType w:val="hybridMultilevel"/>
    <w:tmpl w:val="84DA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F415E"/>
    <w:multiLevelType w:val="hybridMultilevel"/>
    <w:tmpl w:val="9E3C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E55CFF"/>
    <w:multiLevelType w:val="hybridMultilevel"/>
    <w:tmpl w:val="C7AE18EA"/>
    <w:lvl w:ilvl="0" w:tplc="523C6194">
      <w:start w:val="1"/>
      <w:numFmt w:val="bullet"/>
      <w:lvlText w:val="-"/>
      <w:lvlJc w:val="left"/>
      <w:pPr>
        <w:tabs>
          <w:tab w:val="num" w:pos="720"/>
        </w:tabs>
        <w:ind w:left="720" w:hanging="360"/>
      </w:pPr>
      <w:rPr>
        <w:rFonts w:ascii="Times New Roman" w:hAnsi="Times New Roman" w:hint="default"/>
      </w:rPr>
    </w:lvl>
    <w:lvl w:ilvl="1" w:tplc="DCBA4804" w:tentative="1">
      <w:start w:val="1"/>
      <w:numFmt w:val="bullet"/>
      <w:lvlText w:val="-"/>
      <w:lvlJc w:val="left"/>
      <w:pPr>
        <w:tabs>
          <w:tab w:val="num" w:pos="1440"/>
        </w:tabs>
        <w:ind w:left="1440" w:hanging="360"/>
      </w:pPr>
      <w:rPr>
        <w:rFonts w:ascii="Times New Roman" w:hAnsi="Times New Roman" w:hint="default"/>
      </w:rPr>
    </w:lvl>
    <w:lvl w:ilvl="2" w:tplc="53F0A4AA" w:tentative="1">
      <w:start w:val="1"/>
      <w:numFmt w:val="bullet"/>
      <w:lvlText w:val="-"/>
      <w:lvlJc w:val="left"/>
      <w:pPr>
        <w:tabs>
          <w:tab w:val="num" w:pos="2160"/>
        </w:tabs>
        <w:ind w:left="2160" w:hanging="360"/>
      </w:pPr>
      <w:rPr>
        <w:rFonts w:ascii="Times New Roman" w:hAnsi="Times New Roman" w:hint="default"/>
      </w:rPr>
    </w:lvl>
    <w:lvl w:ilvl="3" w:tplc="B008BA04" w:tentative="1">
      <w:start w:val="1"/>
      <w:numFmt w:val="bullet"/>
      <w:lvlText w:val="-"/>
      <w:lvlJc w:val="left"/>
      <w:pPr>
        <w:tabs>
          <w:tab w:val="num" w:pos="2880"/>
        </w:tabs>
        <w:ind w:left="2880" w:hanging="360"/>
      </w:pPr>
      <w:rPr>
        <w:rFonts w:ascii="Times New Roman" w:hAnsi="Times New Roman" w:hint="default"/>
      </w:rPr>
    </w:lvl>
    <w:lvl w:ilvl="4" w:tplc="D86AE74E" w:tentative="1">
      <w:start w:val="1"/>
      <w:numFmt w:val="bullet"/>
      <w:lvlText w:val="-"/>
      <w:lvlJc w:val="left"/>
      <w:pPr>
        <w:tabs>
          <w:tab w:val="num" w:pos="3600"/>
        </w:tabs>
        <w:ind w:left="3600" w:hanging="360"/>
      </w:pPr>
      <w:rPr>
        <w:rFonts w:ascii="Times New Roman" w:hAnsi="Times New Roman" w:hint="default"/>
      </w:rPr>
    </w:lvl>
    <w:lvl w:ilvl="5" w:tplc="3A86837A" w:tentative="1">
      <w:start w:val="1"/>
      <w:numFmt w:val="bullet"/>
      <w:lvlText w:val="-"/>
      <w:lvlJc w:val="left"/>
      <w:pPr>
        <w:tabs>
          <w:tab w:val="num" w:pos="4320"/>
        </w:tabs>
        <w:ind w:left="4320" w:hanging="360"/>
      </w:pPr>
      <w:rPr>
        <w:rFonts w:ascii="Times New Roman" w:hAnsi="Times New Roman" w:hint="default"/>
      </w:rPr>
    </w:lvl>
    <w:lvl w:ilvl="6" w:tplc="58E604CA" w:tentative="1">
      <w:start w:val="1"/>
      <w:numFmt w:val="bullet"/>
      <w:lvlText w:val="-"/>
      <w:lvlJc w:val="left"/>
      <w:pPr>
        <w:tabs>
          <w:tab w:val="num" w:pos="5040"/>
        </w:tabs>
        <w:ind w:left="5040" w:hanging="360"/>
      </w:pPr>
      <w:rPr>
        <w:rFonts w:ascii="Times New Roman" w:hAnsi="Times New Roman" w:hint="default"/>
      </w:rPr>
    </w:lvl>
    <w:lvl w:ilvl="7" w:tplc="235CF020" w:tentative="1">
      <w:start w:val="1"/>
      <w:numFmt w:val="bullet"/>
      <w:lvlText w:val="-"/>
      <w:lvlJc w:val="left"/>
      <w:pPr>
        <w:tabs>
          <w:tab w:val="num" w:pos="5760"/>
        </w:tabs>
        <w:ind w:left="5760" w:hanging="360"/>
      </w:pPr>
      <w:rPr>
        <w:rFonts w:ascii="Times New Roman" w:hAnsi="Times New Roman" w:hint="default"/>
      </w:rPr>
    </w:lvl>
    <w:lvl w:ilvl="8" w:tplc="84D2CE1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93018EC"/>
    <w:multiLevelType w:val="hybridMultilevel"/>
    <w:tmpl w:val="E3F8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57C2B"/>
    <w:multiLevelType w:val="hybridMultilevel"/>
    <w:tmpl w:val="805830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44A0B"/>
    <w:multiLevelType w:val="hybridMultilevel"/>
    <w:tmpl w:val="9F3A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AE3C69"/>
    <w:multiLevelType w:val="hybridMultilevel"/>
    <w:tmpl w:val="6AB4E750"/>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1">
    <w:nsid w:val="43BA01FF"/>
    <w:multiLevelType w:val="hybridMultilevel"/>
    <w:tmpl w:val="7F60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02769"/>
    <w:multiLevelType w:val="hybridMultilevel"/>
    <w:tmpl w:val="6F62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92318F"/>
    <w:multiLevelType w:val="hybridMultilevel"/>
    <w:tmpl w:val="DFF67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BC3646"/>
    <w:multiLevelType w:val="hybridMultilevel"/>
    <w:tmpl w:val="B618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CD448E"/>
    <w:multiLevelType w:val="hybridMultilevel"/>
    <w:tmpl w:val="7B5E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D56A91"/>
    <w:multiLevelType w:val="hybridMultilevel"/>
    <w:tmpl w:val="22DA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423D2"/>
    <w:multiLevelType w:val="hybridMultilevel"/>
    <w:tmpl w:val="AC82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E3353E"/>
    <w:multiLevelType w:val="hybridMultilevel"/>
    <w:tmpl w:val="0B52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526F4B"/>
    <w:multiLevelType w:val="hybridMultilevel"/>
    <w:tmpl w:val="BE08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7354C"/>
    <w:multiLevelType w:val="hybridMultilevel"/>
    <w:tmpl w:val="4A56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53B04"/>
    <w:multiLevelType w:val="hybridMultilevel"/>
    <w:tmpl w:val="A6766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A30E1B"/>
    <w:multiLevelType w:val="hybridMultilevel"/>
    <w:tmpl w:val="31C2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A725CF"/>
    <w:multiLevelType w:val="hybridMultilevel"/>
    <w:tmpl w:val="50D4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8676DF"/>
    <w:multiLevelType w:val="hybridMultilevel"/>
    <w:tmpl w:val="6988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8702C9"/>
    <w:multiLevelType w:val="hybridMultilevel"/>
    <w:tmpl w:val="3314F732"/>
    <w:lvl w:ilvl="0" w:tplc="E5962846">
      <w:start w:val="1"/>
      <w:numFmt w:val="bullet"/>
      <w:lvlText w:val="-"/>
      <w:lvlJc w:val="left"/>
      <w:pPr>
        <w:tabs>
          <w:tab w:val="num" w:pos="720"/>
        </w:tabs>
        <w:ind w:left="720" w:hanging="360"/>
      </w:pPr>
      <w:rPr>
        <w:rFonts w:ascii="Times New Roman" w:hAnsi="Times New Roman" w:hint="default"/>
      </w:rPr>
    </w:lvl>
    <w:lvl w:ilvl="1" w:tplc="4AC845BA" w:tentative="1">
      <w:start w:val="1"/>
      <w:numFmt w:val="bullet"/>
      <w:lvlText w:val="-"/>
      <w:lvlJc w:val="left"/>
      <w:pPr>
        <w:tabs>
          <w:tab w:val="num" w:pos="1440"/>
        </w:tabs>
        <w:ind w:left="1440" w:hanging="360"/>
      </w:pPr>
      <w:rPr>
        <w:rFonts w:ascii="Times New Roman" w:hAnsi="Times New Roman" w:hint="default"/>
      </w:rPr>
    </w:lvl>
    <w:lvl w:ilvl="2" w:tplc="3C085C10" w:tentative="1">
      <w:start w:val="1"/>
      <w:numFmt w:val="bullet"/>
      <w:lvlText w:val="-"/>
      <w:lvlJc w:val="left"/>
      <w:pPr>
        <w:tabs>
          <w:tab w:val="num" w:pos="2160"/>
        </w:tabs>
        <w:ind w:left="2160" w:hanging="360"/>
      </w:pPr>
      <w:rPr>
        <w:rFonts w:ascii="Times New Roman" w:hAnsi="Times New Roman" w:hint="default"/>
      </w:rPr>
    </w:lvl>
    <w:lvl w:ilvl="3" w:tplc="36F24C20" w:tentative="1">
      <w:start w:val="1"/>
      <w:numFmt w:val="bullet"/>
      <w:lvlText w:val="-"/>
      <w:lvlJc w:val="left"/>
      <w:pPr>
        <w:tabs>
          <w:tab w:val="num" w:pos="2880"/>
        </w:tabs>
        <w:ind w:left="2880" w:hanging="360"/>
      </w:pPr>
      <w:rPr>
        <w:rFonts w:ascii="Times New Roman" w:hAnsi="Times New Roman" w:hint="default"/>
      </w:rPr>
    </w:lvl>
    <w:lvl w:ilvl="4" w:tplc="C02620B6" w:tentative="1">
      <w:start w:val="1"/>
      <w:numFmt w:val="bullet"/>
      <w:lvlText w:val="-"/>
      <w:lvlJc w:val="left"/>
      <w:pPr>
        <w:tabs>
          <w:tab w:val="num" w:pos="3600"/>
        </w:tabs>
        <w:ind w:left="3600" w:hanging="360"/>
      </w:pPr>
      <w:rPr>
        <w:rFonts w:ascii="Times New Roman" w:hAnsi="Times New Roman" w:hint="default"/>
      </w:rPr>
    </w:lvl>
    <w:lvl w:ilvl="5" w:tplc="3BAA55B2" w:tentative="1">
      <w:start w:val="1"/>
      <w:numFmt w:val="bullet"/>
      <w:lvlText w:val="-"/>
      <w:lvlJc w:val="left"/>
      <w:pPr>
        <w:tabs>
          <w:tab w:val="num" w:pos="4320"/>
        </w:tabs>
        <w:ind w:left="4320" w:hanging="360"/>
      </w:pPr>
      <w:rPr>
        <w:rFonts w:ascii="Times New Roman" w:hAnsi="Times New Roman" w:hint="default"/>
      </w:rPr>
    </w:lvl>
    <w:lvl w:ilvl="6" w:tplc="2384CDD0" w:tentative="1">
      <w:start w:val="1"/>
      <w:numFmt w:val="bullet"/>
      <w:lvlText w:val="-"/>
      <w:lvlJc w:val="left"/>
      <w:pPr>
        <w:tabs>
          <w:tab w:val="num" w:pos="5040"/>
        </w:tabs>
        <w:ind w:left="5040" w:hanging="360"/>
      </w:pPr>
      <w:rPr>
        <w:rFonts w:ascii="Times New Roman" w:hAnsi="Times New Roman" w:hint="default"/>
      </w:rPr>
    </w:lvl>
    <w:lvl w:ilvl="7" w:tplc="27F0840A" w:tentative="1">
      <w:start w:val="1"/>
      <w:numFmt w:val="bullet"/>
      <w:lvlText w:val="-"/>
      <w:lvlJc w:val="left"/>
      <w:pPr>
        <w:tabs>
          <w:tab w:val="num" w:pos="5760"/>
        </w:tabs>
        <w:ind w:left="5760" w:hanging="360"/>
      </w:pPr>
      <w:rPr>
        <w:rFonts w:ascii="Times New Roman" w:hAnsi="Times New Roman" w:hint="default"/>
      </w:rPr>
    </w:lvl>
    <w:lvl w:ilvl="8" w:tplc="0E26435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F112E31"/>
    <w:multiLevelType w:val="hybridMultilevel"/>
    <w:tmpl w:val="BFEC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165FBC"/>
    <w:multiLevelType w:val="hybridMultilevel"/>
    <w:tmpl w:val="E5C8F1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8AA5990"/>
    <w:multiLevelType w:val="hybridMultilevel"/>
    <w:tmpl w:val="6B96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066E68"/>
    <w:multiLevelType w:val="hybridMultilevel"/>
    <w:tmpl w:val="9258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20"/>
  </w:num>
  <w:num w:numId="5">
    <w:abstractNumId w:val="0"/>
  </w:num>
  <w:num w:numId="6">
    <w:abstractNumId w:val="17"/>
  </w:num>
  <w:num w:numId="7">
    <w:abstractNumId w:val="25"/>
  </w:num>
  <w:num w:numId="8">
    <w:abstractNumId w:val="35"/>
  </w:num>
  <w:num w:numId="9">
    <w:abstractNumId w:val="16"/>
  </w:num>
  <w:num w:numId="10">
    <w:abstractNumId w:val="4"/>
  </w:num>
  <w:num w:numId="11">
    <w:abstractNumId w:val="5"/>
  </w:num>
  <w:num w:numId="12">
    <w:abstractNumId w:val="21"/>
  </w:num>
  <w:num w:numId="13">
    <w:abstractNumId w:val="22"/>
  </w:num>
  <w:num w:numId="14">
    <w:abstractNumId w:val="11"/>
  </w:num>
  <w:num w:numId="15">
    <w:abstractNumId w:val="3"/>
  </w:num>
  <w:num w:numId="16">
    <w:abstractNumId w:val="12"/>
  </w:num>
  <w:num w:numId="17">
    <w:abstractNumId w:val="28"/>
  </w:num>
  <w:num w:numId="18">
    <w:abstractNumId w:val="34"/>
  </w:num>
  <w:num w:numId="19">
    <w:abstractNumId w:val="30"/>
  </w:num>
  <w:num w:numId="20">
    <w:abstractNumId w:val="24"/>
  </w:num>
  <w:num w:numId="21">
    <w:abstractNumId w:val="14"/>
  </w:num>
  <w:num w:numId="22">
    <w:abstractNumId w:val="7"/>
  </w:num>
  <w:num w:numId="23">
    <w:abstractNumId w:val="32"/>
  </w:num>
  <w:num w:numId="24">
    <w:abstractNumId w:val="26"/>
  </w:num>
  <w:num w:numId="25">
    <w:abstractNumId w:val="15"/>
  </w:num>
  <w:num w:numId="26">
    <w:abstractNumId w:val="23"/>
  </w:num>
  <w:num w:numId="27">
    <w:abstractNumId w:val="38"/>
  </w:num>
  <w:num w:numId="28">
    <w:abstractNumId w:val="33"/>
  </w:num>
  <w:num w:numId="29">
    <w:abstractNumId w:val="36"/>
  </w:num>
  <w:num w:numId="30">
    <w:abstractNumId w:val="6"/>
  </w:num>
  <w:num w:numId="31">
    <w:abstractNumId w:val="29"/>
  </w:num>
  <w:num w:numId="32">
    <w:abstractNumId w:val="19"/>
  </w:num>
  <w:num w:numId="33">
    <w:abstractNumId w:val="37"/>
  </w:num>
  <w:num w:numId="34">
    <w:abstractNumId w:val="2"/>
  </w:num>
  <w:num w:numId="35">
    <w:abstractNumId w:val="27"/>
  </w:num>
  <w:num w:numId="36">
    <w:abstractNumId w:val="10"/>
  </w:num>
  <w:num w:numId="37">
    <w:abstractNumId w:val="31"/>
  </w:num>
  <w:num w:numId="38">
    <w:abstractNumId w:val="1"/>
  </w:num>
  <w:num w:numId="39">
    <w:abstractNumId w:val="39"/>
  </w:num>
  <w:num w:numId="40">
    <w:abstractNumId w:val="1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NotTrackMove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700160"/>
    <w:rsid w:val="0000505B"/>
    <w:rsid w:val="00011470"/>
    <w:rsid w:val="000116CA"/>
    <w:rsid w:val="00017BFC"/>
    <w:rsid w:val="00022E15"/>
    <w:rsid w:val="00025A8E"/>
    <w:rsid w:val="000302A3"/>
    <w:rsid w:val="00030AC8"/>
    <w:rsid w:val="00033E5C"/>
    <w:rsid w:val="000348F5"/>
    <w:rsid w:val="000350A1"/>
    <w:rsid w:val="0003571A"/>
    <w:rsid w:val="00037325"/>
    <w:rsid w:val="0004152B"/>
    <w:rsid w:val="000417B6"/>
    <w:rsid w:val="0004226E"/>
    <w:rsid w:val="00057D27"/>
    <w:rsid w:val="000622FC"/>
    <w:rsid w:val="00063393"/>
    <w:rsid w:val="00064850"/>
    <w:rsid w:val="00066CF0"/>
    <w:rsid w:val="00072FEB"/>
    <w:rsid w:val="00085026"/>
    <w:rsid w:val="00086435"/>
    <w:rsid w:val="00087BC0"/>
    <w:rsid w:val="00091FCF"/>
    <w:rsid w:val="000940EC"/>
    <w:rsid w:val="00094310"/>
    <w:rsid w:val="00097C70"/>
    <w:rsid w:val="000A4F2F"/>
    <w:rsid w:val="000A51E6"/>
    <w:rsid w:val="000B4C05"/>
    <w:rsid w:val="000B7F81"/>
    <w:rsid w:val="000C0AC9"/>
    <w:rsid w:val="000C1E5E"/>
    <w:rsid w:val="000C4D46"/>
    <w:rsid w:val="000C56CB"/>
    <w:rsid w:val="000D40DB"/>
    <w:rsid w:val="000D6B5E"/>
    <w:rsid w:val="000D7E90"/>
    <w:rsid w:val="000D7EB3"/>
    <w:rsid w:val="000E17D4"/>
    <w:rsid w:val="000E3FCC"/>
    <w:rsid w:val="000F1CC4"/>
    <w:rsid w:val="000F636E"/>
    <w:rsid w:val="000F6585"/>
    <w:rsid w:val="000F7CB4"/>
    <w:rsid w:val="00112D14"/>
    <w:rsid w:val="00114734"/>
    <w:rsid w:val="00116CD3"/>
    <w:rsid w:val="00117D2C"/>
    <w:rsid w:val="001200B9"/>
    <w:rsid w:val="00123A7E"/>
    <w:rsid w:val="00127BCE"/>
    <w:rsid w:val="001312A0"/>
    <w:rsid w:val="00135EE9"/>
    <w:rsid w:val="00135EF0"/>
    <w:rsid w:val="001377FB"/>
    <w:rsid w:val="00140FDD"/>
    <w:rsid w:val="001419EE"/>
    <w:rsid w:val="00146BCC"/>
    <w:rsid w:val="001471D7"/>
    <w:rsid w:val="0014756B"/>
    <w:rsid w:val="001500E9"/>
    <w:rsid w:val="001503E6"/>
    <w:rsid w:val="001527D6"/>
    <w:rsid w:val="001543C2"/>
    <w:rsid w:val="0015448A"/>
    <w:rsid w:val="001556FA"/>
    <w:rsid w:val="0016197A"/>
    <w:rsid w:val="001620EE"/>
    <w:rsid w:val="00163A24"/>
    <w:rsid w:val="00164A57"/>
    <w:rsid w:val="00164FD1"/>
    <w:rsid w:val="0016595D"/>
    <w:rsid w:val="00170D21"/>
    <w:rsid w:val="001711C5"/>
    <w:rsid w:val="00171361"/>
    <w:rsid w:val="00171BB8"/>
    <w:rsid w:val="001746EA"/>
    <w:rsid w:val="0017657C"/>
    <w:rsid w:val="00177B53"/>
    <w:rsid w:val="00180CB6"/>
    <w:rsid w:val="00182006"/>
    <w:rsid w:val="00182C14"/>
    <w:rsid w:val="00183AC9"/>
    <w:rsid w:val="00185231"/>
    <w:rsid w:val="00185893"/>
    <w:rsid w:val="001A12D5"/>
    <w:rsid w:val="001A1857"/>
    <w:rsid w:val="001A1F59"/>
    <w:rsid w:val="001A2D69"/>
    <w:rsid w:val="001A2D99"/>
    <w:rsid w:val="001A3657"/>
    <w:rsid w:val="001A6436"/>
    <w:rsid w:val="001B1315"/>
    <w:rsid w:val="001C4445"/>
    <w:rsid w:val="001C7393"/>
    <w:rsid w:val="001C7F1B"/>
    <w:rsid w:val="001D0E43"/>
    <w:rsid w:val="001D1F12"/>
    <w:rsid w:val="001D36BF"/>
    <w:rsid w:val="001D5169"/>
    <w:rsid w:val="001D6DE1"/>
    <w:rsid w:val="001E2806"/>
    <w:rsid w:val="001E514C"/>
    <w:rsid w:val="001E60C3"/>
    <w:rsid w:val="001E70F2"/>
    <w:rsid w:val="001F06B9"/>
    <w:rsid w:val="001F1282"/>
    <w:rsid w:val="001F1E15"/>
    <w:rsid w:val="001F6375"/>
    <w:rsid w:val="00200F38"/>
    <w:rsid w:val="002066CE"/>
    <w:rsid w:val="00206920"/>
    <w:rsid w:val="00207B93"/>
    <w:rsid w:val="00216543"/>
    <w:rsid w:val="00217306"/>
    <w:rsid w:val="0021799B"/>
    <w:rsid w:val="0022123D"/>
    <w:rsid w:val="00225406"/>
    <w:rsid w:val="00230460"/>
    <w:rsid w:val="0023193A"/>
    <w:rsid w:val="00236837"/>
    <w:rsid w:val="00236BBD"/>
    <w:rsid w:val="0024390F"/>
    <w:rsid w:val="002505F0"/>
    <w:rsid w:val="00252641"/>
    <w:rsid w:val="00255FC7"/>
    <w:rsid w:val="002637FD"/>
    <w:rsid w:val="00264089"/>
    <w:rsid w:val="002646FF"/>
    <w:rsid w:val="00265BE1"/>
    <w:rsid w:val="00271734"/>
    <w:rsid w:val="002739B7"/>
    <w:rsid w:val="0027468F"/>
    <w:rsid w:val="002750D2"/>
    <w:rsid w:val="00280708"/>
    <w:rsid w:val="0028451D"/>
    <w:rsid w:val="00284553"/>
    <w:rsid w:val="002847B8"/>
    <w:rsid w:val="00284A7A"/>
    <w:rsid w:val="00286BC0"/>
    <w:rsid w:val="00286C37"/>
    <w:rsid w:val="00290330"/>
    <w:rsid w:val="002979B8"/>
    <w:rsid w:val="002A0396"/>
    <w:rsid w:val="002A04D8"/>
    <w:rsid w:val="002A2C6E"/>
    <w:rsid w:val="002A30F1"/>
    <w:rsid w:val="002B1391"/>
    <w:rsid w:val="002B5150"/>
    <w:rsid w:val="002B7FCC"/>
    <w:rsid w:val="002C0537"/>
    <w:rsid w:val="002C1326"/>
    <w:rsid w:val="002C1740"/>
    <w:rsid w:val="002C76E9"/>
    <w:rsid w:val="002D1598"/>
    <w:rsid w:val="002D18CC"/>
    <w:rsid w:val="002D1BBC"/>
    <w:rsid w:val="002D431F"/>
    <w:rsid w:val="002D7312"/>
    <w:rsid w:val="002D7A39"/>
    <w:rsid w:val="002D7E68"/>
    <w:rsid w:val="002E408D"/>
    <w:rsid w:val="002E48A8"/>
    <w:rsid w:val="002E56FA"/>
    <w:rsid w:val="002F1541"/>
    <w:rsid w:val="002F1C25"/>
    <w:rsid w:val="00300E7A"/>
    <w:rsid w:val="00301A6C"/>
    <w:rsid w:val="00307B7B"/>
    <w:rsid w:val="0031258B"/>
    <w:rsid w:val="00316303"/>
    <w:rsid w:val="00321257"/>
    <w:rsid w:val="00332530"/>
    <w:rsid w:val="00333236"/>
    <w:rsid w:val="00333CB6"/>
    <w:rsid w:val="00333E99"/>
    <w:rsid w:val="00340C32"/>
    <w:rsid w:val="003433F5"/>
    <w:rsid w:val="00344FAA"/>
    <w:rsid w:val="00345078"/>
    <w:rsid w:val="003471D3"/>
    <w:rsid w:val="0035584E"/>
    <w:rsid w:val="00357080"/>
    <w:rsid w:val="003577FD"/>
    <w:rsid w:val="003601FB"/>
    <w:rsid w:val="00360793"/>
    <w:rsid w:val="003618EC"/>
    <w:rsid w:val="00362727"/>
    <w:rsid w:val="00364D2B"/>
    <w:rsid w:val="0036605D"/>
    <w:rsid w:val="00366982"/>
    <w:rsid w:val="00373EC8"/>
    <w:rsid w:val="00374B9C"/>
    <w:rsid w:val="003752AE"/>
    <w:rsid w:val="00377D01"/>
    <w:rsid w:val="0038296A"/>
    <w:rsid w:val="0038322A"/>
    <w:rsid w:val="003848D1"/>
    <w:rsid w:val="003874BC"/>
    <w:rsid w:val="00394FA3"/>
    <w:rsid w:val="003964F6"/>
    <w:rsid w:val="003979DE"/>
    <w:rsid w:val="003A194B"/>
    <w:rsid w:val="003A2022"/>
    <w:rsid w:val="003C01F2"/>
    <w:rsid w:val="003C4776"/>
    <w:rsid w:val="003D17F1"/>
    <w:rsid w:val="003D6585"/>
    <w:rsid w:val="003D7826"/>
    <w:rsid w:val="003D7B4D"/>
    <w:rsid w:val="003E0637"/>
    <w:rsid w:val="003E0B6B"/>
    <w:rsid w:val="003E1D39"/>
    <w:rsid w:val="003E240C"/>
    <w:rsid w:val="003E3D3F"/>
    <w:rsid w:val="003E4098"/>
    <w:rsid w:val="003E5411"/>
    <w:rsid w:val="003E58A8"/>
    <w:rsid w:val="003E5DD0"/>
    <w:rsid w:val="003E64F4"/>
    <w:rsid w:val="003E6C91"/>
    <w:rsid w:val="003F4BE2"/>
    <w:rsid w:val="003F6CFC"/>
    <w:rsid w:val="00401B86"/>
    <w:rsid w:val="00405141"/>
    <w:rsid w:val="00405B2D"/>
    <w:rsid w:val="00405C4B"/>
    <w:rsid w:val="00405E7C"/>
    <w:rsid w:val="004121BB"/>
    <w:rsid w:val="004171C4"/>
    <w:rsid w:val="0042387B"/>
    <w:rsid w:val="0042477F"/>
    <w:rsid w:val="00426CAB"/>
    <w:rsid w:val="0043057F"/>
    <w:rsid w:val="00431A3E"/>
    <w:rsid w:val="00431B28"/>
    <w:rsid w:val="004337C1"/>
    <w:rsid w:val="004345C6"/>
    <w:rsid w:val="00434853"/>
    <w:rsid w:val="00441E20"/>
    <w:rsid w:val="004440A0"/>
    <w:rsid w:val="00444428"/>
    <w:rsid w:val="00450E94"/>
    <w:rsid w:val="004520FF"/>
    <w:rsid w:val="00453344"/>
    <w:rsid w:val="00460B2C"/>
    <w:rsid w:val="004641D8"/>
    <w:rsid w:val="00465BA1"/>
    <w:rsid w:val="004671E8"/>
    <w:rsid w:val="00471775"/>
    <w:rsid w:val="00476C7F"/>
    <w:rsid w:val="00476D0C"/>
    <w:rsid w:val="00481227"/>
    <w:rsid w:val="00482E81"/>
    <w:rsid w:val="004834FB"/>
    <w:rsid w:val="00483BFA"/>
    <w:rsid w:val="00484053"/>
    <w:rsid w:val="0048727D"/>
    <w:rsid w:val="00487600"/>
    <w:rsid w:val="0049010F"/>
    <w:rsid w:val="0049254A"/>
    <w:rsid w:val="00493A39"/>
    <w:rsid w:val="00494B3B"/>
    <w:rsid w:val="004A031B"/>
    <w:rsid w:val="004A2028"/>
    <w:rsid w:val="004A228E"/>
    <w:rsid w:val="004A25DC"/>
    <w:rsid w:val="004A4EA2"/>
    <w:rsid w:val="004A629D"/>
    <w:rsid w:val="004A6893"/>
    <w:rsid w:val="004B617E"/>
    <w:rsid w:val="004C0F99"/>
    <w:rsid w:val="004C2B63"/>
    <w:rsid w:val="004C5043"/>
    <w:rsid w:val="004C7015"/>
    <w:rsid w:val="004D13E0"/>
    <w:rsid w:val="004D1CEC"/>
    <w:rsid w:val="004D288F"/>
    <w:rsid w:val="004D2CFB"/>
    <w:rsid w:val="004D4847"/>
    <w:rsid w:val="004D5B82"/>
    <w:rsid w:val="004D6A4A"/>
    <w:rsid w:val="004D6AA7"/>
    <w:rsid w:val="004D7895"/>
    <w:rsid w:val="004E25E2"/>
    <w:rsid w:val="004F23A3"/>
    <w:rsid w:val="004F3785"/>
    <w:rsid w:val="004F59B5"/>
    <w:rsid w:val="004F5AA6"/>
    <w:rsid w:val="004F5B2A"/>
    <w:rsid w:val="0050051B"/>
    <w:rsid w:val="00501F2D"/>
    <w:rsid w:val="00502945"/>
    <w:rsid w:val="00503A15"/>
    <w:rsid w:val="005068F3"/>
    <w:rsid w:val="00510AC3"/>
    <w:rsid w:val="00512076"/>
    <w:rsid w:val="00514C5B"/>
    <w:rsid w:val="0051637A"/>
    <w:rsid w:val="00517DC8"/>
    <w:rsid w:val="00521CBC"/>
    <w:rsid w:val="00522FAD"/>
    <w:rsid w:val="00524924"/>
    <w:rsid w:val="00526FB3"/>
    <w:rsid w:val="00527F83"/>
    <w:rsid w:val="00531E56"/>
    <w:rsid w:val="00531EC6"/>
    <w:rsid w:val="00537704"/>
    <w:rsid w:val="00541E0A"/>
    <w:rsid w:val="005429B7"/>
    <w:rsid w:val="00553BFF"/>
    <w:rsid w:val="00553F67"/>
    <w:rsid w:val="0055423E"/>
    <w:rsid w:val="005616DE"/>
    <w:rsid w:val="00562FF8"/>
    <w:rsid w:val="0056311E"/>
    <w:rsid w:val="005635A6"/>
    <w:rsid w:val="00564387"/>
    <w:rsid w:val="00564F55"/>
    <w:rsid w:val="0056570D"/>
    <w:rsid w:val="005668B1"/>
    <w:rsid w:val="00566D51"/>
    <w:rsid w:val="005676B9"/>
    <w:rsid w:val="00572E32"/>
    <w:rsid w:val="005753BC"/>
    <w:rsid w:val="00575714"/>
    <w:rsid w:val="005775CA"/>
    <w:rsid w:val="00580EDD"/>
    <w:rsid w:val="0059066B"/>
    <w:rsid w:val="00592EEF"/>
    <w:rsid w:val="00593461"/>
    <w:rsid w:val="00593A2C"/>
    <w:rsid w:val="005A0911"/>
    <w:rsid w:val="005A3E04"/>
    <w:rsid w:val="005B29A8"/>
    <w:rsid w:val="005B4F07"/>
    <w:rsid w:val="005B5731"/>
    <w:rsid w:val="005C2D1F"/>
    <w:rsid w:val="005C59E8"/>
    <w:rsid w:val="005C5B66"/>
    <w:rsid w:val="005C67CD"/>
    <w:rsid w:val="005D0D55"/>
    <w:rsid w:val="005D27F9"/>
    <w:rsid w:val="005D3695"/>
    <w:rsid w:val="005E1209"/>
    <w:rsid w:val="005E2449"/>
    <w:rsid w:val="005E2FB6"/>
    <w:rsid w:val="005E364E"/>
    <w:rsid w:val="005E48D6"/>
    <w:rsid w:val="005E6E71"/>
    <w:rsid w:val="005E71BB"/>
    <w:rsid w:val="005F38D4"/>
    <w:rsid w:val="005F3AD9"/>
    <w:rsid w:val="005F57F2"/>
    <w:rsid w:val="005F59E2"/>
    <w:rsid w:val="005F66C2"/>
    <w:rsid w:val="005F6D9E"/>
    <w:rsid w:val="005F7A0F"/>
    <w:rsid w:val="00605247"/>
    <w:rsid w:val="006061EC"/>
    <w:rsid w:val="00610DB8"/>
    <w:rsid w:val="00611D7E"/>
    <w:rsid w:val="006121DA"/>
    <w:rsid w:val="00612229"/>
    <w:rsid w:val="006155E9"/>
    <w:rsid w:val="00616423"/>
    <w:rsid w:val="0062172D"/>
    <w:rsid w:val="006234AB"/>
    <w:rsid w:val="00624D21"/>
    <w:rsid w:val="00626DAE"/>
    <w:rsid w:val="00627A38"/>
    <w:rsid w:val="00632DC5"/>
    <w:rsid w:val="006375B2"/>
    <w:rsid w:val="00640046"/>
    <w:rsid w:val="00641FE6"/>
    <w:rsid w:val="00644D56"/>
    <w:rsid w:val="00650DF9"/>
    <w:rsid w:val="00661EF2"/>
    <w:rsid w:val="00665779"/>
    <w:rsid w:val="00665832"/>
    <w:rsid w:val="00665A23"/>
    <w:rsid w:val="00667710"/>
    <w:rsid w:val="00670918"/>
    <w:rsid w:val="00671428"/>
    <w:rsid w:val="006728F0"/>
    <w:rsid w:val="00676879"/>
    <w:rsid w:val="006768CC"/>
    <w:rsid w:val="006917CF"/>
    <w:rsid w:val="00692509"/>
    <w:rsid w:val="006950D7"/>
    <w:rsid w:val="00696060"/>
    <w:rsid w:val="00696C28"/>
    <w:rsid w:val="00697C2A"/>
    <w:rsid w:val="006B5036"/>
    <w:rsid w:val="006B6EA3"/>
    <w:rsid w:val="006B70B7"/>
    <w:rsid w:val="006B7187"/>
    <w:rsid w:val="006C3DFB"/>
    <w:rsid w:val="006C7767"/>
    <w:rsid w:val="006D2C76"/>
    <w:rsid w:val="006D4F9F"/>
    <w:rsid w:val="006D5577"/>
    <w:rsid w:val="006D626B"/>
    <w:rsid w:val="006D71FD"/>
    <w:rsid w:val="006D7526"/>
    <w:rsid w:val="006D7B52"/>
    <w:rsid w:val="006E76C2"/>
    <w:rsid w:val="006E7C54"/>
    <w:rsid w:val="006F0B2E"/>
    <w:rsid w:val="006F132E"/>
    <w:rsid w:val="006F2801"/>
    <w:rsid w:val="006F4BDD"/>
    <w:rsid w:val="006F5B65"/>
    <w:rsid w:val="006F6D60"/>
    <w:rsid w:val="006F6F95"/>
    <w:rsid w:val="006F718E"/>
    <w:rsid w:val="006F744F"/>
    <w:rsid w:val="00700160"/>
    <w:rsid w:val="00700184"/>
    <w:rsid w:val="00700472"/>
    <w:rsid w:val="007037D9"/>
    <w:rsid w:val="00703D07"/>
    <w:rsid w:val="007135C5"/>
    <w:rsid w:val="00715D4B"/>
    <w:rsid w:val="00716E2F"/>
    <w:rsid w:val="00717F30"/>
    <w:rsid w:val="00717FC8"/>
    <w:rsid w:val="0072035B"/>
    <w:rsid w:val="00720928"/>
    <w:rsid w:val="007215FA"/>
    <w:rsid w:val="007314BB"/>
    <w:rsid w:val="00734F32"/>
    <w:rsid w:val="00736DD4"/>
    <w:rsid w:val="00740517"/>
    <w:rsid w:val="00740E22"/>
    <w:rsid w:val="007459A8"/>
    <w:rsid w:val="00752D68"/>
    <w:rsid w:val="007570E1"/>
    <w:rsid w:val="00757BE6"/>
    <w:rsid w:val="00760BC3"/>
    <w:rsid w:val="00764F43"/>
    <w:rsid w:val="00765FDE"/>
    <w:rsid w:val="0076675E"/>
    <w:rsid w:val="0077080E"/>
    <w:rsid w:val="00770E88"/>
    <w:rsid w:val="007764A1"/>
    <w:rsid w:val="00776E47"/>
    <w:rsid w:val="00777FAB"/>
    <w:rsid w:val="007807D2"/>
    <w:rsid w:val="00785E50"/>
    <w:rsid w:val="00786BE7"/>
    <w:rsid w:val="00786E3F"/>
    <w:rsid w:val="0079131A"/>
    <w:rsid w:val="00797D79"/>
    <w:rsid w:val="007A2B46"/>
    <w:rsid w:val="007A6316"/>
    <w:rsid w:val="007A6B0B"/>
    <w:rsid w:val="007B02C0"/>
    <w:rsid w:val="007B6378"/>
    <w:rsid w:val="007C1ED3"/>
    <w:rsid w:val="007C2834"/>
    <w:rsid w:val="007D378E"/>
    <w:rsid w:val="007D47DE"/>
    <w:rsid w:val="007D6630"/>
    <w:rsid w:val="007D6C48"/>
    <w:rsid w:val="007E65ED"/>
    <w:rsid w:val="007E6A02"/>
    <w:rsid w:val="007F0BEE"/>
    <w:rsid w:val="007F12F5"/>
    <w:rsid w:val="007F18B3"/>
    <w:rsid w:val="007F49AC"/>
    <w:rsid w:val="007F4F9E"/>
    <w:rsid w:val="007F56D4"/>
    <w:rsid w:val="00801020"/>
    <w:rsid w:val="0080107E"/>
    <w:rsid w:val="00802161"/>
    <w:rsid w:val="008032C3"/>
    <w:rsid w:val="008032D9"/>
    <w:rsid w:val="008043A0"/>
    <w:rsid w:val="00804616"/>
    <w:rsid w:val="00805CA8"/>
    <w:rsid w:val="008071FB"/>
    <w:rsid w:val="00807285"/>
    <w:rsid w:val="00807766"/>
    <w:rsid w:val="0081216C"/>
    <w:rsid w:val="008132B1"/>
    <w:rsid w:val="008148B9"/>
    <w:rsid w:val="00814914"/>
    <w:rsid w:val="00823408"/>
    <w:rsid w:val="00830F30"/>
    <w:rsid w:val="00831468"/>
    <w:rsid w:val="0083357E"/>
    <w:rsid w:val="008336D7"/>
    <w:rsid w:val="00836084"/>
    <w:rsid w:val="00837F90"/>
    <w:rsid w:val="00840885"/>
    <w:rsid w:val="00843261"/>
    <w:rsid w:val="00847963"/>
    <w:rsid w:val="00847A7E"/>
    <w:rsid w:val="00864FA7"/>
    <w:rsid w:val="00865FA7"/>
    <w:rsid w:val="00866631"/>
    <w:rsid w:val="00870417"/>
    <w:rsid w:val="0087211D"/>
    <w:rsid w:val="008724A4"/>
    <w:rsid w:val="00874A52"/>
    <w:rsid w:val="00875217"/>
    <w:rsid w:val="00875E48"/>
    <w:rsid w:val="00881119"/>
    <w:rsid w:val="008822A5"/>
    <w:rsid w:val="00886C4F"/>
    <w:rsid w:val="00891325"/>
    <w:rsid w:val="008913B0"/>
    <w:rsid w:val="00892FE4"/>
    <w:rsid w:val="008A00D9"/>
    <w:rsid w:val="008A7204"/>
    <w:rsid w:val="008B0829"/>
    <w:rsid w:val="008B13D2"/>
    <w:rsid w:val="008B1B65"/>
    <w:rsid w:val="008B474F"/>
    <w:rsid w:val="008B5CFC"/>
    <w:rsid w:val="008B70D9"/>
    <w:rsid w:val="008C6BE5"/>
    <w:rsid w:val="008C7D2D"/>
    <w:rsid w:val="008D0F07"/>
    <w:rsid w:val="008D112D"/>
    <w:rsid w:val="008D5022"/>
    <w:rsid w:val="008D6497"/>
    <w:rsid w:val="008E3084"/>
    <w:rsid w:val="008E4ADF"/>
    <w:rsid w:val="008E5C5E"/>
    <w:rsid w:val="008E6C9A"/>
    <w:rsid w:val="008E7238"/>
    <w:rsid w:val="008F0244"/>
    <w:rsid w:val="008F2B14"/>
    <w:rsid w:val="008F3C54"/>
    <w:rsid w:val="008F4472"/>
    <w:rsid w:val="008F5117"/>
    <w:rsid w:val="008F6B2A"/>
    <w:rsid w:val="0090270A"/>
    <w:rsid w:val="00903DAD"/>
    <w:rsid w:val="00905C72"/>
    <w:rsid w:val="009066A5"/>
    <w:rsid w:val="00906F05"/>
    <w:rsid w:val="00907E32"/>
    <w:rsid w:val="009156A8"/>
    <w:rsid w:val="009173BA"/>
    <w:rsid w:val="00917F43"/>
    <w:rsid w:val="009221AB"/>
    <w:rsid w:val="00927A6E"/>
    <w:rsid w:val="00927E9E"/>
    <w:rsid w:val="009305FF"/>
    <w:rsid w:val="00930740"/>
    <w:rsid w:val="00930D25"/>
    <w:rsid w:val="00932930"/>
    <w:rsid w:val="00935047"/>
    <w:rsid w:val="00937E60"/>
    <w:rsid w:val="00941B2D"/>
    <w:rsid w:val="00942B88"/>
    <w:rsid w:val="00943CF8"/>
    <w:rsid w:val="0094494C"/>
    <w:rsid w:val="00944CBC"/>
    <w:rsid w:val="009458A0"/>
    <w:rsid w:val="00945B75"/>
    <w:rsid w:val="00950C0F"/>
    <w:rsid w:val="0095126C"/>
    <w:rsid w:val="00951FE9"/>
    <w:rsid w:val="00952D76"/>
    <w:rsid w:val="00962A88"/>
    <w:rsid w:val="0097693C"/>
    <w:rsid w:val="00976DA5"/>
    <w:rsid w:val="00977222"/>
    <w:rsid w:val="0098003D"/>
    <w:rsid w:val="0098163A"/>
    <w:rsid w:val="00984B93"/>
    <w:rsid w:val="00984D18"/>
    <w:rsid w:val="009957D9"/>
    <w:rsid w:val="00996574"/>
    <w:rsid w:val="009977BF"/>
    <w:rsid w:val="009A4B52"/>
    <w:rsid w:val="009B0039"/>
    <w:rsid w:val="009B05BF"/>
    <w:rsid w:val="009B10F9"/>
    <w:rsid w:val="009B21C7"/>
    <w:rsid w:val="009B379F"/>
    <w:rsid w:val="009B4ADE"/>
    <w:rsid w:val="009B4E3A"/>
    <w:rsid w:val="009B6680"/>
    <w:rsid w:val="009B6A4D"/>
    <w:rsid w:val="009B78E5"/>
    <w:rsid w:val="009C1391"/>
    <w:rsid w:val="009C14F8"/>
    <w:rsid w:val="009C260C"/>
    <w:rsid w:val="009C3227"/>
    <w:rsid w:val="009C360B"/>
    <w:rsid w:val="009C6224"/>
    <w:rsid w:val="009C625E"/>
    <w:rsid w:val="009C62B4"/>
    <w:rsid w:val="009C6988"/>
    <w:rsid w:val="009D293E"/>
    <w:rsid w:val="009D478B"/>
    <w:rsid w:val="009D5A47"/>
    <w:rsid w:val="009D6215"/>
    <w:rsid w:val="009D7B8F"/>
    <w:rsid w:val="009E14D1"/>
    <w:rsid w:val="009E2033"/>
    <w:rsid w:val="009E495C"/>
    <w:rsid w:val="009E5775"/>
    <w:rsid w:val="009F1F10"/>
    <w:rsid w:val="009F3452"/>
    <w:rsid w:val="009F40CC"/>
    <w:rsid w:val="009F7F10"/>
    <w:rsid w:val="009F7F60"/>
    <w:rsid w:val="00A0154B"/>
    <w:rsid w:val="00A04E48"/>
    <w:rsid w:val="00A1148A"/>
    <w:rsid w:val="00A20D3A"/>
    <w:rsid w:val="00A227BB"/>
    <w:rsid w:val="00A25077"/>
    <w:rsid w:val="00A25E3B"/>
    <w:rsid w:val="00A274AC"/>
    <w:rsid w:val="00A30EBC"/>
    <w:rsid w:val="00A328C4"/>
    <w:rsid w:val="00A3427C"/>
    <w:rsid w:val="00A36FD5"/>
    <w:rsid w:val="00A40105"/>
    <w:rsid w:val="00A41760"/>
    <w:rsid w:val="00A43917"/>
    <w:rsid w:val="00A453A7"/>
    <w:rsid w:val="00A4712F"/>
    <w:rsid w:val="00A50406"/>
    <w:rsid w:val="00A519CA"/>
    <w:rsid w:val="00A519E6"/>
    <w:rsid w:val="00A52FD3"/>
    <w:rsid w:val="00A55F69"/>
    <w:rsid w:val="00A60AA1"/>
    <w:rsid w:val="00A62086"/>
    <w:rsid w:val="00A62CE2"/>
    <w:rsid w:val="00A630F0"/>
    <w:rsid w:val="00A64EAC"/>
    <w:rsid w:val="00A66E4C"/>
    <w:rsid w:val="00A67DAE"/>
    <w:rsid w:val="00A75FDE"/>
    <w:rsid w:val="00A76C77"/>
    <w:rsid w:val="00A77E73"/>
    <w:rsid w:val="00A819E4"/>
    <w:rsid w:val="00A864DE"/>
    <w:rsid w:val="00A87EBE"/>
    <w:rsid w:val="00A92A24"/>
    <w:rsid w:val="00A92FBD"/>
    <w:rsid w:val="00A946D8"/>
    <w:rsid w:val="00A950C7"/>
    <w:rsid w:val="00A971CD"/>
    <w:rsid w:val="00A977F9"/>
    <w:rsid w:val="00AA558D"/>
    <w:rsid w:val="00AB18A5"/>
    <w:rsid w:val="00AB2585"/>
    <w:rsid w:val="00AB2CFD"/>
    <w:rsid w:val="00AB7392"/>
    <w:rsid w:val="00AC343A"/>
    <w:rsid w:val="00AC7703"/>
    <w:rsid w:val="00AD242C"/>
    <w:rsid w:val="00AD65DD"/>
    <w:rsid w:val="00AE2484"/>
    <w:rsid w:val="00AE3CDF"/>
    <w:rsid w:val="00AE443F"/>
    <w:rsid w:val="00AF08EF"/>
    <w:rsid w:val="00AF2B04"/>
    <w:rsid w:val="00AF3BF9"/>
    <w:rsid w:val="00AF561B"/>
    <w:rsid w:val="00AF7031"/>
    <w:rsid w:val="00B008B4"/>
    <w:rsid w:val="00B05B40"/>
    <w:rsid w:val="00B13B37"/>
    <w:rsid w:val="00B20737"/>
    <w:rsid w:val="00B20C83"/>
    <w:rsid w:val="00B27120"/>
    <w:rsid w:val="00B316E8"/>
    <w:rsid w:val="00B3313F"/>
    <w:rsid w:val="00B33AED"/>
    <w:rsid w:val="00B34CA9"/>
    <w:rsid w:val="00B37D57"/>
    <w:rsid w:val="00B42514"/>
    <w:rsid w:val="00B434DA"/>
    <w:rsid w:val="00B454D5"/>
    <w:rsid w:val="00B462B1"/>
    <w:rsid w:val="00B4641A"/>
    <w:rsid w:val="00B52951"/>
    <w:rsid w:val="00B52AE7"/>
    <w:rsid w:val="00B5415D"/>
    <w:rsid w:val="00B54423"/>
    <w:rsid w:val="00B551EA"/>
    <w:rsid w:val="00B622AE"/>
    <w:rsid w:val="00B62AF7"/>
    <w:rsid w:val="00B65851"/>
    <w:rsid w:val="00B6652B"/>
    <w:rsid w:val="00B7051B"/>
    <w:rsid w:val="00B727D2"/>
    <w:rsid w:val="00B745CA"/>
    <w:rsid w:val="00B7654C"/>
    <w:rsid w:val="00B77428"/>
    <w:rsid w:val="00B814AA"/>
    <w:rsid w:val="00B84287"/>
    <w:rsid w:val="00B857C8"/>
    <w:rsid w:val="00B85C09"/>
    <w:rsid w:val="00B85C70"/>
    <w:rsid w:val="00B87F76"/>
    <w:rsid w:val="00B90084"/>
    <w:rsid w:val="00B93F1F"/>
    <w:rsid w:val="00B956EC"/>
    <w:rsid w:val="00B95EEF"/>
    <w:rsid w:val="00B96A64"/>
    <w:rsid w:val="00BA2E8F"/>
    <w:rsid w:val="00BA361F"/>
    <w:rsid w:val="00BA58FE"/>
    <w:rsid w:val="00BB15C7"/>
    <w:rsid w:val="00BB16C1"/>
    <w:rsid w:val="00BB1FA5"/>
    <w:rsid w:val="00BB378D"/>
    <w:rsid w:val="00BB6129"/>
    <w:rsid w:val="00BB6867"/>
    <w:rsid w:val="00BB6BD7"/>
    <w:rsid w:val="00BB7627"/>
    <w:rsid w:val="00BC0E95"/>
    <w:rsid w:val="00BC12E8"/>
    <w:rsid w:val="00BC184B"/>
    <w:rsid w:val="00BC3BB7"/>
    <w:rsid w:val="00BC43C5"/>
    <w:rsid w:val="00BC67F5"/>
    <w:rsid w:val="00BE0A5A"/>
    <w:rsid w:val="00BE145A"/>
    <w:rsid w:val="00BE37E0"/>
    <w:rsid w:val="00BE7989"/>
    <w:rsid w:val="00BF424A"/>
    <w:rsid w:val="00BF53C3"/>
    <w:rsid w:val="00BF5581"/>
    <w:rsid w:val="00C0469E"/>
    <w:rsid w:val="00C06253"/>
    <w:rsid w:val="00C06FEB"/>
    <w:rsid w:val="00C11B6D"/>
    <w:rsid w:val="00C13352"/>
    <w:rsid w:val="00C1592A"/>
    <w:rsid w:val="00C17C48"/>
    <w:rsid w:val="00C20D42"/>
    <w:rsid w:val="00C20EF4"/>
    <w:rsid w:val="00C2336B"/>
    <w:rsid w:val="00C2368A"/>
    <w:rsid w:val="00C27B4D"/>
    <w:rsid w:val="00C319E2"/>
    <w:rsid w:val="00C31F21"/>
    <w:rsid w:val="00C342A1"/>
    <w:rsid w:val="00C35D9B"/>
    <w:rsid w:val="00C36C3C"/>
    <w:rsid w:val="00C3722D"/>
    <w:rsid w:val="00C404CC"/>
    <w:rsid w:val="00C4052E"/>
    <w:rsid w:val="00C40CD9"/>
    <w:rsid w:val="00C4381A"/>
    <w:rsid w:val="00C47D2E"/>
    <w:rsid w:val="00C50759"/>
    <w:rsid w:val="00C5305A"/>
    <w:rsid w:val="00C53087"/>
    <w:rsid w:val="00C54081"/>
    <w:rsid w:val="00C55DD8"/>
    <w:rsid w:val="00C5674E"/>
    <w:rsid w:val="00C629D3"/>
    <w:rsid w:val="00C63389"/>
    <w:rsid w:val="00C64013"/>
    <w:rsid w:val="00C64387"/>
    <w:rsid w:val="00C64DBE"/>
    <w:rsid w:val="00C65CE3"/>
    <w:rsid w:val="00C65F3B"/>
    <w:rsid w:val="00C70839"/>
    <w:rsid w:val="00C70E8F"/>
    <w:rsid w:val="00C74399"/>
    <w:rsid w:val="00C812AA"/>
    <w:rsid w:val="00C83381"/>
    <w:rsid w:val="00C842DB"/>
    <w:rsid w:val="00C84861"/>
    <w:rsid w:val="00C92E70"/>
    <w:rsid w:val="00CA5D28"/>
    <w:rsid w:val="00CB0021"/>
    <w:rsid w:val="00CB0CD5"/>
    <w:rsid w:val="00CB3CD5"/>
    <w:rsid w:val="00CB5054"/>
    <w:rsid w:val="00CB5E83"/>
    <w:rsid w:val="00CC2B04"/>
    <w:rsid w:val="00CC369A"/>
    <w:rsid w:val="00CC7373"/>
    <w:rsid w:val="00CC7B60"/>
    <w:rsid w:val="00CD2B09"/>
    <w:rsid w:val="00CD3E09"/>
    <w:rsid w:val="00CD4711"/>
    <w:rsid w:val="00CD6D23"/>
    <w:rsid w:val="00CE0D14"/>
    <w:rsid w:val="00CE21FA"/>
    <w:rsid w:val="00CE377E"/>
    <w:rsid w:val="00CE40EF"/>
    <w:rsid w:val="00CE6FBB"/>
    <w:rsid w:val="00CF0E41"/>
    <w:rsid w:val="00CF1811"/>
    <w:rsid w:val="00CF25D3"/>
    <w:rsid w:val="00CF3CFF"/>
    <w:rsid w:val="00CF3D9E"/>
    <w:rsid w:val="00CF467A"/>
    <w:rsid w:val="00CF4A3F"/>
    <w:rsid w:val="00CF4E9E"/>
    <w:rsid w:val="00CF7736"/>
    <w:rsid w:val="00CF79D7"/>
    <w:rsid w:val="00D01C35"/>
    <w:rsid w:val="00D139A8"/>
    <w:rsid w:val="00D14AC9"/>
    <w:rsid w:val="00D1513E"/>
    <w:rsid w:val="00D2388B"/>
    <w:rsid w:val="00D3162C"/>
    <w:rsid w:val="00D328BD"/>
    <w:rsid w:val="00D342DB"/>
    <w:rsid w:val="00D36EDA"/>
    <w:rsid w:val="00D41351"/>
    <w:rsid w:val="00D45B18"/>
    <w:rsid w:val="00D45FA1"/>
    <w:rsid w:val="00D54A81"/>
    <w:rsid w:val="00D553F4"/>
    <w:rsid w:val="00D60F3D"/>
    <w:rsid w:val="00D62E6F"/>
    <w:rsid w:val="00D662F1"/>
    <w:rsid w:val="00D71FD1"/>
    <w:rsid w:val="00D73B59"/>
    <w:rsid w:val="00D74CC9"/>
    <w:rsid w:val="00D75438"/>
    <w:rsid w:val="00D75703"/>
    <w:rsid w:val="00D77F92"/>
    <w:rsid w:val="00D8370D"/>
    <w:rsid w:val="00D83AAB"/>
    <w:rsid w:val="00D84068"/>
    <w:rsid w:val="00D85BAA"/>
    <w:rsid w:val="00D8750D"/>
    <w:rsid w:val="00D94D65"/>
    <w:rsid w:val="00DA0BA6"/>
    <w:rsid w:val="00DA46BE"/>
    <w:rsid w:val="00DA4971"/>
    <w:rsid w:val="00DA59D5"/>
    <w:rsid w:val="00DB0C26"/>
    <w:rsid w:val="00DB17C9"/>
    <w:rsid w:val="00DB4BA2"/>
    <w:rsid w:val="00DB5DA3"/>
    <w:rsid w:val="00DB71A4"/>
    <w:rsid w:val="00DB7223"/>
    <w:rsid w:val="00DB7DDD"/>
    <w:rsid w:val="00DC03DB"/>
    <w:rsid w:val="00DC0EEC"/>
    <w:rsid w:val="00DC5272"/>
    <w:rsid w:val="00DC595B"/>
    <w:rsid w:val="00DC76C1"/>
    <w:rsid w:val="00DD1048"/>
    <w:rsid w:val="00DD1178"/>
    <w:rsid w:val="00DD3958"/>
    <w:rsid w:val="00DD461D"/>
    <w:rsid w:val="00DD599E"/>
    <w:rsid w:val="00DD6510"/>
    <w:rsid w:val="00DD6D6A"/>
    <w:rsid w:val="00DD6FDB"/>
    <w:rsid w:val="00DE0B1E"/>
    <w:rsid w:val="00DE2B7C"/>
    <w:rsid w:val="00DE5E26"/>
    <w:rsid w:val="00DF16EC"/>
    <w:rsid w:val="00DF413B"/>
    <w:rsid w:val="00DF4A59"/>
    <w:rsid w:val="00DF54AF"/>
    <w:rsid w:val="00DF5530"/>
    <w:rsid w:val="00E00127"/>
    <w:rsid w:val="00E01C99"/>
    <w:rsid w:val="00E02137"/>
    <w:rsid w:val="00E06A9D"/>
    <w:rsid w:val="00E07EC2"/>
    <w:rsid w:val="00E11E88"/>
    <w:rsid w:val="00E15B83"/>
    <w:rsid w:val="00E16E7E"/>
    <w:rsid w:val="00E205DB"/>
    <w:rsid w:val="00E20EB3"/>
    <w:rsid w:val="00E22DB1"/>
    <w:rsid w:val="00E30B12"/>
    <w:rsid w:val="00E30F73"/>
    <w:rsid w:val="00E33948"/>
    <w:rsid w:val="00E340F2"/>
    <w:rsid w:val="00E42640"/>
    <w:rsid w:val="00E4529A"/>
    <w:rsid w:val="00E5463D"/>
    <w:rsid w:val="00E55A3C"/>
    <w:rsid w:val="00E564AC"/>
    <w:rsid w:val="00E5759C"/>
    <w:rsid w:val="00E576A0"/>
    <w:rsid w:val="00E57804"/>
    <w:rsid w:val="00E61715"/>
    <w:rsid w:val="00E61FB3"/>
    <w:rsid w:val="00E62765"/>
    <w:rsid w:val="00E62857"/>
    <w:rsid w:val="00E62A0C"/>
    <w:rsid w:val="00E62BB8"/>
    <w:rsid w:val="00E63B75"/>
    <w:rsid w:val="00E6442E"/>
    <w:rsid w:val="00E64E2B"/>
    <w:rsid w:val="00E6748E"/>
    <w:rsid w:val="00E747CA"/>
    <w:rsid w:val="00E75ADF"/>
    <w:rsid w:val="00E83423"/>
    <w:rsid w:val="00E8487A"/>
    <w:rsid w:val="00E865C6"/>
    <w:rsid w:val="00E87B4F"/>
    <w:rsid w:val="00E92CB7"/>
    <w:rsid w:val="00E958C1"/>
    <w:rsid w:val="00E96A26"/>
    <w:rsid w:val="00E978EE"/>
    <w:rsid w:val="00EA1185"/>
    <w:rsid w:val="00EA5972"/>
    <w:rsid w:val="00EA5E28"/>
    <w:rsid w:val="00EA6675"/>
    <w:rsid w:val="00EB32F9"/>
    <w:rsid w:val="00EB6243"/>
    <w:rsid w:val="00EB6DB5"/>
    <w:rsid w:val="00EC304D"/>
    <w:rsid w:val="00EC6DD4"/>
    <w:rsid w:val="00EC6F01"/>
    <w:rsid w:val="00ED02A4"/>
    <w:rsid w:val="00ED05E0"/>
    <w:rsid w:val="00ED09CD"/>
    <w:rsid w:val="00ED0A3F"/>
    <w:rsid w:val="00EE0901"/>
    <w:rsid w:val="00EE0915"/>
    <w:rsid w:val="00EE0A7E"/>
    <w:rsid w:val="00EE0CAF"/>
    <w:rsid w:val="00EE21F7"/>
    <w:rsid w:val="00EE287B"/>
    <w:rsid w:val="00EE554B"/>
    <w:rsid w:val="00EE6619"/>
    <w:rsid w:val="00EE765A"/>
    <w:rsid w:val="00EF0E17"/>
    <w:rsid w:val="00EF7780"/>
    <w:rsid w:val="00EF7FC7"/>
    <w:rsid w:val="00F000FF"/>
    <w:rsid w:val="00F02129"/>
    <w:rsid w:val="00F04EC8"/>
    <w:rsid w:val="00F055AD"/>
    <w:rsid w:val="00F057A5"/>
    <w:rsid w:val="00F1126B"/>
    <w:rsid w:val="00F11554"/>
    <w:rsid w:val="00F136BE"/>
    <w:rsid w:val="00F1509C"/>
    <w:rsid w:val="00F159E6"/>
    <w:rsid w:val="00F234F9"/>
    <w:rsid w:val="00F24EEF"/>
    <w:rsid w:val="00F32665"/>
    <w:rsid w:val="00F32C18"/>
    <w:rsid w:val="00F32E8D"/>
    <w:rsid w:val="00F330B8"/>
    <w:rsid w:val="00F3474B"/>
    <w:rsid w:val="00F40DDA"/>
    <w:rsid w:val="00F477EA"/>
    <w:rsid w:val="00F4784F"/>
    <w:rsid w:val="00F674A8"/>
    <w:rsid w:val="00F67739"/>
    <w:rsid w:val="00F67826"/>
    <w:rsid w:val="00F755BB"/>
    <w:rsid w:val="00F7592F"/>
    <w:rsid w:val="00F75B67"/>
    <w:rsid w:val="00F75BFE"/>
    <w:rsid w:val="00F75F7A"/>
    <w:rsid w:val="00F767C0"/>
    <w:rsid w:val="00F775AC"/>
    <w:rsid w:val="00F873B2"/>
    <w:rsid w:val="00F87FE4"/>
    <w:rsid w:val="00F90DD5"/>
    <w:rsid w:val="00F94B1D"/>
    <w:rsid w:val="00FA6B67"/>
    <w:rsid w:val="00FB213C"/>
    <w:rsid w:val="00FB37C7"/>
    <w:rsid w:val="00FB6174"/>
    <w:rsid w:val="00FC1386"/>
    <w:rsid w:val="00FC5152"/>
    <w:rsid w:val="00FC54EB"/>
    <w:rsid w:val="00FC64E5"/>
    <w:rsid w:val="00FD1F4B"/>
    <w:rsid w:val="00FD20A7"/>
    <w:rsid w:val="00FD6E26"/>
    <w:rsid w:val="00FE1C0D"/>
    <w:rsid w:val="00FE1C70"/>
    <w:rsid w:val="00FE202F"/>
    <w:rsid w:val="00FE30B8"/>
    <w:rsid w:val="00FE5B4D"/>
    <w:rsid w:val="00FF0E7A"/>
    <w:rsid w:val="00FF18FB"/>
    <w:rsid w:val="00FF2964"/>
    <w:rsid w:val="00FF4A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8C4"/>
    <w:pPr>
      <w:ind w:left="720"/>
      <w:contextualSpacing/>
    </w:pPr>
  </w:style>
  <w:style w:type="paragraph" w:customStyle="1" w:styleId="Default">
    <w:name w:val="Default"/>
    <w:rsid w:val="00E62A0C"/>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SteveStyle">
    <w:name w:val="SteveStyle"/>
    <w:basedOn w:val="Normal"/>
    <w:qFormat/>
    <w:rsid w:val="00E62A0C"/>
    <w:pPr>
      <w:spacing w:after="0" w:line="240" w:lineRule="auto"/>
    </w:pPr>
    <w:rPr>
      <w:rFonts w:ascii="Times New Roman" w:eastAsia="Times New Roman" w:hAnsi="Times New Roman" w:cs="Times New Roman"/>
      <w:sz w:val="24"/>
    </w:rPr>
  </w:style>
  <w:style w:type="paragraph" w:styleId="BalloonText">
    <w:name w:val="Balloon Text"/>
    <w:basedOn w:val="Normal"/>
    <w:link w:val="BalloonTextChar"/>
    <w:autoRedefine/>
    <w:uiPriority w:val="99"/>
    <w:semiHidden/>
    <w:unhideWhenUsed/>
    <w:rsid w:val="00E57804"/>
    <w:pPr>
      <w:spacing w:after="0" w:line="240" w:lineRule="auto"/>
    </w:pPr>
    <w:rPr>
      <w:rFonts w:ascii="Calibri" w:hAnsi="Calibri" w:cs="Tahoma"/>
      <w:sz w:val="20"/>
      <w:szCs w:val="16"/>
    </w:rPr>
  </w:style>
  <w:style w:type="character" w:customStyle="1" w:styleId="BalloonTextChar">
    <w:name w:val="Balloon Text Char"/>
    <w:basedOn w:val="DefaultParagraphFont"/>
    <w:link w:val="BalloonText"/>
    <w:uiPriority w:val="99"/>
    <w:semiHidden/>
    <w:rsid w:val="00E57804"/>
    <w:rPr>
      <w:rFonts w:ascii="Calibri" w:hAnsi="Calibri" w:cs="Tahoma"/>
      <w:sz w:val="20"/>
      <w:szCs w:val="16"/>
    </w:rPr>
  </w:style>
  <w:style w:type="character" w:styleId="CommentReference">
    <w:name w:val="annotation reference"/>
    <w:basedOn w:val="DefaultParagraphFont"/>
    <w:uiPriority w:val="99"/>
    <w:unhideWhenUsed/>
    <w:rsid w:val="005668B1"/>
    <w:rPr>
      <w:sz w:val="16"/>
      <w:szCs w:val="16"/>
    </w:rPr>
  </w:style>
  <w:style w:type="paragraph" w:styleId="CommentText">
    <w:name w:val="annotation text"/>
    <w:basedOn w:val="Normal"/>
    <w:link w:val="CommentTextChar"/>
    <w:autoRedefine/>
    <w:uiPriority w:val="99"/>
    <w:unhideWhenUsed/>
    <w:rsid w:val="00E57804"/>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57804"/>
    <w:rPr>
      <w:rFonts w:ascii="Calibri" w:eastAsia="Times New Roman" w:hAnsi="Calibri" w:cs="Times New Roman"/>
      <w:sz w:val="20"/>
      <w:szCs w:val="20"/>
    </w:rPr>
  </w:style>
  <w:style w:type="paragraph" w:styleId="NoSpacing">
    <w:name w:val="No Spacing"/>
    <w:uiPriority w:val="1"/>
    <w:qFormat/>
    <w:rsid w:val="005668B1"/>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rsid w:val="001A18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A1857"/>
    <w:rPr>
      <w:rFonts w:ascii="Times New Roman" w:eastAsia="Times New Roman" w:hAnsi="Times New Roman" w:cs="Times New Roman"/>
      <w:sz w:val="20"/>
      <w:szCs w:val="20"/>
    </w:rPr>
  </w:style>
  <w:style w:type="numbering" w:customStyle="1" w:styleId="RegText">
    <w:name w:val="RegText"/>
    <w:uiPriority w:val="99"/>
    <w:rsid w:val="00E22DB1"/>
    <w:pPr>
      <w:numPr>
        <w:numId w:val="1"/>
      </w:numPr>
    </w:pPr>
  </w:style>
  <w:style w:type="table" w:customStyle="1" w:styleId="MediumShading1-Accent11">
    <w:name w:val="Medium Shading 1 - Accent 11"/>
    <w:basedOn w:val="TableNormal"/>
    <w:uiPriority w:val="63"/>
    <w:rsid w:val="00942B8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4C0F9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semiHidden/>
    <w:unhideWhenUsed/>
    <w:rsid w:val="00EB32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2F9"/>
  </w:style>
  <w:style w:type="paragraph" w:styleId="Footer">
    <w:name w:val="footer"/>
    <w:basedOn w:val="Normal"/>
    <w:link w:val="FooterChar"/>
    <w:uiPriority w:val="99"/>
    <w:unhideWhenUsed/>
    <w:rsid w:val="00EB3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2F9"/>
  </w:style>
  <w:style w:type="paragraph" w:styleId="CommentSubject">
    <w:name w:val="annotation subject"/>
    <w:basedOn w:val="CommentText"/>
    <w:next w:val="CommentText"/>
    <w:link w:val="CommentSubjectChar"/>
    <w:uiPriority w:val="99"/>
    <w:semiHidden/>
    <w:unhideWhenUsed/>
    <w:rsid w:val="0018200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2006"/>
    <w:rPr>
      <w:rFonts w:ascii="Calibri" w:eastAsia="Times New Roman" w:hAnsi="Calibri" w:cs="Times New Roman"/>
      <w:b/>
      <w:bCs/>
      <w:sz w:val="20"/>
      <w:szCs w:val="20"/>
    </w:rPr>
  </w:style>
  <w:style w:type="character" w:styleId="FootnoteReference">
    <w:name w:val="footnote reference"/>
    <w:basedOn w:val="DefaultParagraphFont"/>
    <w:rsid w:val="004A4EA2"/>
    <w:rPr>
      <w:rFonts w:cs="Times New Roman"/>
      <w:vertAlign w:val="superscript"/>
    </w:rPr>
  </w:style>
  <w:style w:type="character" w:styleId="Hyperlink">
    <w:name w:val="Hyperlink"/>
    <w:basedOn w:val="DefaultParagraphFont"/>
    <w:uiPriority w:val="99"/>
    <w:rsid w:val="00B551EA"/>
    <w:rPr>
      <w:rFonts w:cs="Times New Roman"/>
      <w:color w:val="0000FF"/>
      <w:u w:val="single"/>
    </w:rPr>
  </w:style>
  <w:style w:type="paragraph" w:styleId="Revision">
    <w:name w:val="Revision"/>
    <w:hidden/>
    <w:uiPriority w:val="99"/>
    <w:semiHidden/>
    <w:rsid w:val="002640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8C4"/>
    <w:pPr>
      <w:ind w:left="720"/>
      <w:contextualSpacing/>
    </w:pPr>
  </w:style>
  <w:style w:type="paragraph" w:customStyle="1" w:styleId="Default">
    <w:name w:val="Default"/>
    <w:rsid w:val="00E62A0C"/>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SteveStyle">
    <w:name w:val="SteveStyle"/>
    <w:basedOn w:val="Normal"/>
    <w:qFormat/>
    <w:rsid w:val="00E62A0C"/>
    <w:pPr>
      <w:spacing w:after="0" w:line="240" w:lineRule="auto"/>
    </w:pPr>
    <w:rPr>
      <w:rFonts w:ascii="Times New Roman" w:eastAsia="Times New Roman" w:hAnsi="Times New Roman" w:cs="Times New Roman"/>
      <w:sz w:val="24"/>
    </w:rPr>
  </w:style>
  <w:style w:type="paragraph" w:styleId="BalloonText">
    <w:name w:val="Balloon Text"/>
    <w:basedOn w:val="Normal"/>
    <w:link w:val="BalloonTextChar"/>
    <w:autoRedefine/>
    <w:uiPriority w:val="99"/>
    <w:semiHidden/>
    <w:unhideWhenUsed/>
    <w:rsid w:val="00E57804"/>
    <w:pPr>
      <w:spacing w:after="0" w:line="240" w:lineRule="auto"/>
    </w:pPr>
    <w:rPr>
      <w:rFonts w:ascii="Calibri" w:hAnsi="Calibri" w:cs="Tahoma"/>
      <w:sz w:val="20"/>
      <w:szCs w:val="16"/>
    </w:rPr>
  </w:style>
  <w:style w:type="character" w:customStyle="1" w:styleId="BalloonTextChar">
    <w:name w:val="Balloon Text Char"/>
    <w:basedOn w:val="DefaultParagraphFont"/>
    <w:link w:val="BalloonText"/>
    <w:uiPriority w:val="99"/>
    <w:semiHidden/>
    <w:rsid w:val="00E57804"/>
    <w:rPr>
      <w:rFonts w:ascii="Calibri" w:hAnsi="Calibri" w:cs="Tahoma"/>
      <w:sz w:val="20"/>
      <w:szCs w:val="16"/>
    </w:rPr>
  </w:style>
  <w:style w:type="character" w:styleId="CommentReference">
    <w:name w:val="annotation reference"/>
    <w:basedOn w:val="DefaultParagraphFont"/>
    <w:uiPriority w:val="99"/>
    <w:unhideWhenUsed/>
    <w:rsid w:val="005668B1"/>
    <w:rPr>
      <w:sz w:val="16"/>
      <w:szCs w:val="16"/>
    </w:rPr>
  </w:style>
  <w:style w:type="paragraph" w:styleId="CommentText">
    <w:name w:val="annotation text"/>
    <w:basedOn w:val="Normal"/>
    <w:link w:val="CommentTextChar"/>
    <w:autoRedefine/>
    <w:uiPriority w:val="99"/>
    <w:unhideWhenUsed/>
    <w:rsid w:val="00E57804"/>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57804"/>
    <w:rPr>
      <w:rFonts w:ascii="Calibri" w:eastAsia="Times New Roman" w:hAnsi="Calibri" w:cs="Times New Roman"/>
      <w:sz w:val="20"/>
      <w:szCs w:val="20"/>
    </w:rPr>
  </w:style>
  <w:style w:type="paragraph" w:styleId="NoSpacing">
    <w:name w:val="No Spacing"/>
    <w:uiPriority w:val="1"/>
    <w:qFormat/>
    <w:rsid w:val="005668B1"/>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rsid w:val="001A18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A1857"/>
    <w:rPr>
      <w:rFonts w:ascii="Times New Roman" w:eastAsia="Times New Roman" w:hAnsi="Times New Roman" w:cs="Times New Roman"/>
      <w:sz w:val="20"/>
      <w:szCs w:val="20"/>
    </w:rPr>
  </w:style>
  <w:style w:type="numbering" w:customStyle="1" w:styleId="RegText">
    <w:name w:val="RegText"/>
    <w:uiPriority w:val="99"/>
    <w:rsid w:val="00E22DB1"/>
    <w:pPr>
      <w:numPr>
        <w:numId w:val="1"/>
      </w:numPr>
    </w:pPr>
  </w:style>
  <w:style w:type="table" w:customStyle="1" w:styleId="MediumShading1-Accent11">
    <w:name w:val="Medium Shading 1 - Accent 11"/>
    <w:basedOn w:val="TableNormal"/>
    <w:uiPriority w:val="63"/>
    <w:rsid w:val="00942B8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4C0F9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semiHidden/>
    <w:unhideWhenUsed/>
    <w:rsid w:val="00EB32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2F9"/>
  </w:style>
  <w:style w:type="paragraph" w:styleId="Footer">
    <w:name w:val="footer"/>
    <w:basedOn w:val="Normal"/>
    <w:link w:val="FooterChar"/>
    <w:uiPriority w:val="99"/>
    <w:unhideWhenUsed/>
    <w:rsid w:val="00EB3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2F9"/>
  </w:style>
  <w:style w:type="paragraph" w:styleId="CommentSubject">
    <w:name w:val="annotation subject"/>
    <w:basedOn w:val="CommentText"/>
    <w:next w:val="CommentText"/>
    <w:link w:val="CommentSubjectChar"/>
    <w:uiPriority w:val="99"/>
    <w:semiHidden/>
    <w:unhideWhenUsed/>
    <w:rsid w:val="0018200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2006"/>
    <w:rPr>
      <w:rFonts w:ascii="Calibri" w:eastAsia="Times New Roman" w:hAnsi="Calibri" w:cs="Times New Roman"/>
      <w:b/>
      <w:bCs/>
      <w:sz w:val="20"/>
      <w:szCs w:val="20"/>
    </w:rPr>
  </w:style>
  <w:style w:type="character" w:styleId="FootnoteReference">
    <w:name w:val="footnote reference"/>
    <w:basedOn w:val="DefaultParagraphFont"/>
    <w:rsid w:val="004A4EA2"/>
    <w:rPr>
      <w:rFonts w:cs="Times New Roman"/>
      <w:vertAlign w:val="superscript"/>
    </w:rPr>
  </w:style>
  <w:style w:type="character" w:styleId="Hyperlink">
    <w:name w:val="Hyperlink"/>
    <w:basedOn w:val="DefaultParagraphFont"/>
    <w:uiPriority w:val="99"/>
    <w:rsid w:val="00B551E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84126824">
      <w:bodyDiv w:val="1"/>
      <w:marLeft w:val="0"/>
      <w:marRight w:val="0"/>
      <w:marTop w:val="0"/>
      <w:marBottom w:val="0"/>
      <w:divBdr>
        <w:top w:val="none" w:sz="0" w:space="0" w:color="auto"/>
        <w:left w:val="none" w:sz="0" w:space="0" w:color="auto"/>
        <w:bottom w:val="none" w:sz="0" w:space="0" w:color="auto"/>
        <w:right w:val="none" w:sz="0" w:space="0" w:color="auto"/>
      </w:divBdr>
    </w:div>
    <w:div w:id="650670245">
      <w:bodyDiv w:val="1"/>
      <w:marLeft w:val="0"/>
      <w:marRight w:val="0"/>
      <w:marTop w:val="0"/>
      <w:marBottom w:val="0"/>
      <w:divBdr>
        <w:top w:val="none" w:sz="0" w:space="0" w:color="auto"/>
        <w:left w:val="none" w:sz="0" w:space="0" w:color="auto"/>
        <w:bottom w:val="none" w:sz="0" w:space="0" w:color="auto"/>
        <w:right w:val="none" w:sz="0" w:space="0" w:color="auto"/>
      </w:divBdr>
    </w:div>
    <w:div w:id="803229619">
      <w:bodyDiv w:val="1"/>
      <w:marLeft w:val="0"/>
      <w:marRight w:val="0"/>
      <w:marTop w:val="0"/>
      <w:marBottom w:val="0"/>
      <w:divBdr>
        <w:top w:val="none" w:sz="0" w:space="0" w:color="auto"/>
        <w:left w:val="none" w:sz="0" w:space="0" w:color="auto"/>
        <w:bottom w:val="none" w:sz="0" w:space="0" w:color="auto"/>
        <w:right w:val="none" w:sz="0" w:space="0" w:color="auto"/>
      </w:divBdr>
      <w:divsChild>
        <w:div w:id="1677221031">
          <w:marLeft w:val="274"/>
          <w:marRight w:val="0"/>
          <w:marTop w:val="53"/>
          <w:marBottom w:val="0"/>
          <w:divBdr>
            <w:top w:val="none" w:sz="0" w:space="0" w:color="auto"/>
            <w:left w:val="none" w:sz="0" w:space="0" w:color="auto"/>
            <w:bottom w:val="none" w:sz="0" w:space="0" w:color="auto"/>
            <w:right w:val="none" w:sz="0" w:space="0" w:color="auto"/>
          </w:divBdr>
        </w:div>
        <w:div w:id="93481401">
          <w:marLeft w:val="547"/>
          <w:marRight w:val="0"/>
          <w:marTop w:val="53"/>
          <w:marBottom w:val="0"/>
          <w:divBdr>
            <w:top w:val="none" w:sz="0" w:space="0" w:color="auto"/>
            <w:left w:val="none" w:sz="0" w:space="0" w:color="auto"/>
            <w:bottom w:val="none" w:sz="0" w:space="0" w:color="auto"/>
            <w:right w:val="none" w:sz="0" w:space="0" w:color="auto"/>
          </w:divBdr>
        </w:div>
        <w:div w:id="1954438034">
          <w:marLeft w:val="547"/>
          <w:marRight w:val="0"/>
          <w:marTop w:val="53"/>
          <w:marBottom w:val="0"/>
          <w:divBdr>
            <w:top w:val="none" w:sz="0" w:space="0" w:color="auto"/>
            <w:left w:val="none" w:sz="0" w:space="0" w:color="auto"/>
            <w:bottom w:val="none" w:sz="0" w:space="0" w:color="auto"/>
            <w:right w:val="none" w:sz="0" w:space="0" w:color="auto"/>
          </w:divBdr>
        </w:div>
        <w:div w:id="545870425">
          <w:marLeft w:val="274"/>
          <w:marRight w:val="0"/>
          <w:marTop w:val="53"/>
          <w:marBottom w:val="0"/>
          <w:divBdr>
            <w:top w:val="none" w:sz="0" w:space="0" w:color="auto"/>
            <w:left w:val="none" w:sz="0" w:space="0" w:color="auto"/>
            <w:bottom w:val="none" w:sz="0" w:space="0" w:color="auto"/>
            <w:right w:val="none" w:sz="0" w:space="0" w:color="auto"/>
          </w:divBdr>
        </w:div>
      </w:divsChild>
    </w:div>
    <w:div w:id="1127549394">
      <w:bodyDiv w:val="1"/>
      <w:marLeft w:val="0"/>
      <w:marRight w:val="0"/>
      <w:marTop w:val="0"/>
      <w:marBottom w:val="0"/>
      <w:divBdr>
        <w:top w:val="none" w:sz="0" w:space="0" w:color="auto"/>
        <w:left w:val="none" w:sz="0" w:space="0" w:color="auto"/>
        <w:bottom w:val="none" w:sz="0" w:space="0" w:color="auto"/>
        <w:right w:val="none" w:sz="0" w:space="0" w:color="auto"/>
      </w:divBdr>
    </w:div>
    <w:div w:id="1194540483">
      <w:bodyDiv w:val="1"/>
      <w:marLeft w:val="0"/>
      <w:marRight w:val="0"/>
      <w:marTop w:val="0"/>
      <w:marBottom w:val="0"/>
      <w:divBdr>
        <w:top w:val="none" w:sz="0" w:space="0" w:color="auto"/>
        <w:left w:val="none" w:sz="0" w:space="0" w:color="auto"/>
        <w:bottom w:val="none" w:sz="0" w:space="0" w:color="auto"/>
        <w:right w:val="none" w:sz="0" w:space="0" w:color="auto"/>
      </w:divBdr>
    </w:div>
    <w:div w:id="1355886364">
      <w:bodyDiv w:val="1"/>
      <w:marLeft w:val="0"/>
      <w:marRight w:val="0"/>
      <w:marTop w:val="0"/>
      <w:marBottom w:val="0"/>
      <w:divBdr>
        <w:top w:val="none" w:sz="0" w:space="0" w:color="auto"/>
        <w:left w:val="none" w:sz="0" w:space="0" w:color="auto"/>
        <w:bottom w:val="none" w:sz="0" w:space="0" w:color="auto"/>
        <w:right w:val="none" w:sz="0" w:space="0" w:color="auto"/>
      </w:divBdr>
    </w:div>
    <w:div w:id="1401907560">
      <w:bodyDiv w:val="1"/>
      <w:marLeft w:val="0"/>
      <w:marRight w:val="0"/>
      <w:marTop w:val="0"/>
      <w:marBottom w:val="0"/>
      <w:divBdr>
        <w:top w:val="none" w:sz="0" w:space="0" w:color="auto"/>
        <w:left w:val="none" w:sz="0" w:space="0" w:color="auto"/>
        <w:bottom w:val="none" w:sz="0" w:space="0" w:color="auto"/>
        <w:right w:val="none" w:sz="0" w:space="0" w:color="auto"/>
      </w:divBdr>
    </w:div>
    <w:div w:id="1513297632">
      <w:bodyDiv w:val="1"/>
      <w:marLeft w:val="0"/>
      <w:marRight w:val="0"/>
      <w:marTop w:val="0"/>
      <w:marBottom w:val="0"/>
      <w:divBdr>
        <w:top w:val="none" w:sz="0" w:space="0" w:color="auto"/>
        <w:left w:val="none" w:sz="0" w:space="0" w:color="auto"/>
        <w:bottom w:val="none" w:sz="0" w:space="0" w:color="auto"/>
        <w:right w:val="none" w:sz="0" w:space="0" w:color="auto"/>
      </w:divBdr>
    </w:div>
    <w:div w:id="1687754141">
      <w:bodyDiv w:val="1"/>
      <w:marLeft w:val="0"/>
      <w:marRight w:val="0"/>
      <w:marTop w:val="0"/>
      <w:marBottom w:val="0"/>
      <w:divBdr>
        <w:top w:val="none" w:sz="0" w:space="0" w:color="auto"/>
        <w:left w:val="none" w:sz="0" w:space="0" w:color="auto"/>
        <w:bottom w:val="none" w:sz="0" w:space="0" w:color="auto"/>
        <w:right w:val="none" w:sz="0" w:space="0" w:color="auto"/>
      </w:divBdr>
      <w:divsChild>
        <w:div w:id="1612127783">
          <w:marLeft w:val="533"/>
          <w:marRight w:val="0"/>
          <w:marTop w:val="58"/>
          <w:marBottom w:val="0"/>
          <w:divBdr>
            <w:top w:val="none" w:sz="0" w:space="0" w:color="auto"/>
            <w:left w:val="none" w:sz="0" w:space="0" w:color="auto"/>
            <w:bottom w:val="none" w:sz="0" w:space="0" w:color="auto"/>
            <w:right w:val="none" w:sz="0" w:space="0" w:color="auto"/>
          </w:divBdr>
        </w:div>
        <w:div w:id="1139418280">
          <w:marLeft w:val="533"/>
          <w:marRight w:val="0"/>
          <w:marTop w:val="58"/>
          <w:marBottom w:val="0"/>
          <w:divBdr>
            <w:top w:val="none" w:sz="0" w:space="0" w:color="auto"/>
            <w:left w:val="none" w:sz="0" w:space="0" w:color="auto"/>
            <w:bottom w:val="none" w:sz="0" w:space="0" w:color="auto"/>
            <w:right w:val="none" w:sz="0" w:space="0" w:color="auto"/>
          </w:divBdr>
        </w:div>
        <w:div w:id="1097409839">
          <w:marLeft w:val="533"/>
          <w:marRight w:val="0"/>
          <w:marTop w:val="58"/>
          <w:marBottom w:val="0"/>
          <w:divBdr>
            <w:top w:val="none" w:sz="0" w:space="0" w:color="auto"/>
            <w:left w:val="none" w:sz="0" w:space="0" w:color="auto"/>
            <w:bottom w:val="none" w:sz="0" w:space="0" w:color="auto"/>
            <w:right w:val="none" w:sz="0" w:space="0" w:color="auto"/>
          </w:divBdr>
        </w:div>
        <w:div w:id="310641797">
          <w:marLeft w:val="533"/>
          <w:marRight w:val="0"/>
          <w:marTop w:val="58"/>
          <w:marBottom w:val="0"/>
          <w:divBdr>
            <w:top w:val="none" w:sz="0" w:space="0" w:color="auto"/>
            <w:left w:val="none" w:sz="0" w:space="0" w:color="auto"/>
            <w:bottom w:val="none" w:sz="0" w:space="0" w:color="auto"/>
            <w:right w:val="none" w:sz="0" w:space="0" w:color="auto"/>
          </w:divBdr>
        </w:div>
      </w:divsChild>
    </w:div>
    <w:div w:id="1704941931">
      <w:bodyDiv w:val="1"/>
      <w:marLeft w:val="0"/>
      <w:marRight w:val="0"/>
      <w:marTop w:val="0"/>
      <w:marBottom w:val="0"/>
      <w:divBdr>
        <w:top w:val="none" w:sz="0" w:space="0" w:color="auto"/>
        <w:left w:val="none" w:sz="0" w:space="0" w:color="auto"/>
        <w:bottom w:val="none" w:sz="0" w:space="0" w:color="auto"/>
        <w:right w:val="none" w:sz="0" w:space="0" w:color="auto"/>
      </w:divBdr>
    </w:div>
    <w:div w:id="1756903051">
      <w:bodyDiv w:val="1"/>
      <w:marLeft w:val="0"/>
      <w:marRight w:val="0"/>
      <w:marTop w:val="0"/>
      <w:marBottom w:val="0"/>
      <w:divBdr>
        <w:top w:val="none" w:sz="0" w:space="0" w:color="auto"/>
        <w:left w:val="none" w:sz="0" w:space="0" w:color="auto"/>
        <w:bottom w:val="none" w:sz="0" w:space="0" w:color="auto"/>
        <w:right w:val="none" w:sz="0" w:space="0" w:color="auto"/>
      </w:divBdr>
    </w:div>
    <w:div w:id="1766026030">
      <w:bodyDiv w:val="1"/>
      <w:marLeft w:val="0"/>
      <w:marRight w:val="0"/>
      <w:marTop w:val="0"/>
      <w:marBottom w:val="0"/>
      <w:divBdr>
        <w:top w:val="none" w:sz="0" w:space="0" w:color="auto"/>
        <w:left w:val="none" w:sz="0" w:space="0" w:color="auto"/>
        <w:bottom w:val="none" w:sz="0" w:space="0" w:color="auto"/>
        <w:right w:val="none" w:sz="0" w:space="0" w:color="auto"/>
      </w:divBdr>
      <w:divsChild>
        <w:div w:id="135463235">
          <w:marLeft w:val="274"/>
          <w:marRight w:val="0"/>
          <w:marTop w:val="62"/>
          <w:marBottom w:val="0"/>
          <w:divBdr>
            <w:top w:val="none" w:sz="0" w:space="0" w:color="auto"/>
            <w:left w:val="none" w:sz="0" w:space="0" w:color="auto"/>
            <w:bottom w:val="none" w:sz="0" w:space="0" w:color="auto"/>
            <w:right w:val="none" w:sz="0" w:space="0" w:color="auto"/>
          </w:divBdr>
        </w:div>
        <w:div w:id="1994529590">
          <w:marLeft w:val="274"/>
          <w:marRight w:val="0"/>
          <w:marTop w:val="62"/>
          <w:marBottom w:val="0"/>
          <w:divBdr>
            <w:top w:val="none" w:sz="0" w:space="0" w:color="auto"/>
            <w:left w:val="none" w:sz="0" w:space="0" w:color="auto"/>
            <w:bottom w:val="none" w:sz="0" w:space="0" w:color="auto"/>
            <w:right w:val="none" w:sz="0" w:space="0" w:color="auto"/>
          </w:divBdr>
        </w:div>
        <w:div w:id="81419198">
          <w:marLeft w:val="274"/>
          <w:marRight w:val="0"/>
          <w:marTop w:val="62"/>
          <w:marBottom w:val="0"/>
          <w:divBdr>
            <w:top w:val="none" w:sz="0" w:space="0" w:color="auto"/>
            <w:left w:val="none" w:sz="0" w:space="0" w:color="auto"/>
            <w:bottom w:val="none" w:sz="0" w:space="0" w:color="auto"/>
            <w:right w:val="none" w:sz="0" w:space="0" w:color="auto"/>
          </w:divBdr>
        </w:div>
        <w:div w:id="1019354346">
          <w:marLeft w:val="274"/>
          <w:marRight w:val="0"/>
          <w:marTop w:val="62"/>
          <w:marBottom w:val="0"/>
          <w:divBdr>
            <w:top w:val="none" w:sz="0" w:space="0" w:color="auto"/>
            <w:left w:val="none" w:sz="0" w:space="0" w:color="auto"/>
            <w:bottom w:val="none" w:sz="0" w:space="0" w:color="auto"/>
            <w:right w:val="none" w:sz="0" w:space="0" w:color="auto"/>
          </w:divBdr>
        </w:div>
        <w:div w:id="1220942459">
          <w:marLeft w:val="274"/>
          <w:marRight w:val="0"/>
          <w:marTop w:val="62"/>
          <w:marBottom w:val="0"/>
          <w:divBdr>
            <w:top w:val="none" w:sz="0" w:space="0" w:color="auto"/>
            <w:left w:val="none" w:sz="0" w:space="0" w:color="auto"/>
            <w:bottom w:val="none" w:sz="0" w:space="0" w:color="auto"/>
            <w:right w:val="none" w:sz="0" w:space="0" w:color="auto"/>
          </w:divBdr>
        </w:div>
        <w:div w:id="1577402319">
          <w:marLeft w:val="634"/>
          <w:marRight w:val="0"/>
          <w:marTop w:val="62"/>
          <w:marBottom w:val="0"/>
          <w:divBdr>
            <w:top w:val="none" w:sz="0" w:space="0" w:color="auto"/>
            <w:left w:val="none" w:sz="0" w:space="0" w:color="auto"/>
            <w:bottom w:val="none" w:sz="0" w:space="0" w:color="auto"/>
            <w:right w:val="none" w:sz="0" w:space="0" w:color="auto"/>
          </w:divBdr>
        </w:div>
        <w:div w:id="7803604">
          <w:marLeft w:val="634"/>
          <w:marRight w:val="0"/>
          <w:marTop w:val="62"/>
          <w:marBottom w:val="0"/>
          <w:divBdr>
            <w:top w:val="none" w:sz="0" w:space="0" w:color="auto"/>
            <w:left w:val="none" w:sz="0" w:space="0" w:color="auto"/>
            <w:bottom w:val="none" w:sz="0" w:space="0" w:color="auto"/>
            <w:right w:val="none" w:sz="0" w:space="0" w:color="auto"/>
          </w:divBdr>
        </w:div>
        <w:div w:id="1742941286">
          <w:marLeft w:val="634"/>
          <w:marRight w:val="0"/>
          <w:marTop w:val="62"/>
          <w:marBottom w:val="0"/>
          <w:divBdr>
            <w:top w:val="none" w:sz="0" w:space="0" w:color="auto"/>
            <w:left w:val="none" w:sz="0" w:space="0" w:color="auto"/>
            <w:bottom w:val="none" w:sz="0" w:space="0" w:color="auto"/>
            <w:right w:val="none" w:sz="0" w:space="0" w:color="auto"/>
          </w:divBdr>
        </w:div>
      </w:divsChild>
    </w:div>
    <w:div w:id="1891918230">
      <w:bodyDiv w:val="1"/>
      <w:marLeft w:val="0"/>
      <w:marRight w:val="0"/>
      <w:marTop w:val="0"/>
      <w:marBottom w:val="0"/>
      <w:divBdr>
        <w:top w:val="none" w:sz="0" w:space="0" w:color="auto"/>
        <w:left w:val="none" w:sz="0" w:space="0" w:color="auto"/>
        <w:bottom w:val="none" w:sz="0" w:space="0" w:color="auto"/>
        <w:right w:val="none" w:sz="0" w:space="0" w:color="auto"/>
      </w:divBdr>
      <w:divsChild>
        <w:div w:id="1448769130">
          <w:marLeft w:val="274"/>
          <w:marRight w:val="0"/>
          <w:marTop w:val="48"/>
          <w:marBottom w:val="0"/>
          <w:divBdr>
            <w:top w:val="none" w:sz="0" w:space="0" w:color="auto"/>
            <w:left w:val="none" w:sz="0" w:space="0" w:color="auto"/>
            <w:bottom w:val="none" w:sz="0" w:space="0" w:color="auto"/>
            <w:right w:val="none" w:sz="0" w:space="0" w:color="auto"/>
          </w:divBdr>
        </w:div>
        <w:div w:id="1765490125">
          <w:marLeft w:val="274"/>
          <w:marRight w:val="0"/>
          <w:marTop w:val="48"/>
          <w:marBottom w:val="0"/>
          <w:divBdr>
            <w:top w:val="none" w:sz="0" w:space="0" w:color="auto"/>
            <w:left w:val="none" w:sz="0" w:space="0" w:color="auto"/>
            <w:bottom w:val="none" w:sz="0" w:space="0" w:color="auto"/>
            <w:right w:val="none" w:sz="0" w:space="0" w:color="auto"/>
          </w:divBdr>
        </w:div>
        <w:div w:id="2109035668">
          <w:marLeft w:val="274"/>
          <w:marRight w:val="0"/>
          <w:marTop w:val="48"/>
          <w:marBottom w:val="0"/>
          <w:divBdr>
            <w:top w:val="none" w:sz="0" w:space="0" w:color="auto"/>
            <w:left w:val="none" w:sz="0" w:space="0" w:color="auto"/>
            <w:bottom w:val="none" w:sz="0" w:space="0" w:color="auto"/>
            <w:right w:val="none" w:sz="0" w:space="0" w:color="auto"/>
          </w:divBdr>
        </w:div>
        <w:div w:id="1331761072">
          <w:marLeft w:val="274"/>
          <w:marRight w:val="0"/>
          <w:marTop w:val="48"/>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dmanagement.gov/pages.cfm/page/Federal-P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D4AA1-C462-4AB4-AF15-AA2428FA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13033</Words>
  <Characters>74294</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JenFrazier</dc:creator>
  <cp:lastModifiedBy>MacKenzie Robertson</cp:lastModifiedBy>
  <cp:revision>3</cp:revision>
  <cp:lastPrinted>2012-06-11T20:31:00Z</cp:lastPrinted>
  <dcterms:created xsi:type="dcterms:W3CDTF">2012-06-29T17:23:00Z</dcterms:created>
  <dcterms:modified xsi:type="dcterms:W3CDTF">2012-06-29T17:41:00Z</dcterms:modified>
</cp:coreProperties>
</file>