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02B1" w:rsidRPr="00985BD8" w:rsidRDefault="00867FD5" w:rsidP="00867FD5">
      <w:pPr>
        <w:jc w:val="center"/>
        <w:rPr>
          <w:rFonts w:asciiTheme="majorHAnsi" w:hAnsiTheme="majorHAnsi"/>
          <w:b/>
          <w:u w:val="single"/>
        </w:rPr>
      </w:pPr>
      <w:bookmarkStart w:id="0" w:name="_GoBack"/>
      <w:bookmarkEnd w:id="0"/>
      <w:r w:rsidRPr="00985BD8">
        <w:rPr>
          <w:rFonts w:asciiTheme="majorHAnsi" w:hAnsiTheme="majorHAnsi"/>
          <w:b/>
          <w:u w:val="single"/>
        </w:rPr>
        <w:t xml:space="preserve">Consumer Work Group  </w:t>
      </w:r>
    </w:p>
    <w:p w:rsidR="00AB1FCB" w:rsidRDefault="004267AB" w:rsidP="00867FD5">
      <w:pPr>
        <w:jc w:val="center"/>
        <w:rPr>
          <w:rFonts w:asciiTheme="majorHAnsi" w:hAnsiTheme="majorHAnsi"/>
        </w:rPr>
      </w:pPr>
      <w:r>
        <w:rPr>
          <w:rFonts w:asciiTheme="majorHAnsi" w:hAnsiTheme="majorHAnsi"/>
          <w:b/>
          <w:u w:val="single"/>
        </w:rPr>
        <w:t>Strategic Plan Comment Template</w:t>
      </w:r>
    </w:p>
    <w:p w:rsidR="004267AB" w:rsidRDefault="004267AB" w:rsidP="00867FD5">
      <w:pPr>
        <w:jc w:val="center"/>
        <w:rPr>
          <w:rFonts w:asciiTheme="majorHAnsi" w:hAnsiTheme="majorHAnsi"/>
        </w:rPr>
      </w:pPr>
    </w:p>
    <w:p w:rsidR="00524B99" w:rsidRDefault="00095E4E" w:rsidP="00AB1FCB">
      <w:pPr>
        <w:rPr>
          <w:rFonts w:ascii="Calibri" w:hAnsi="Calibri"/>
          <w:color w:val="000000"/>
        </w:rPr>
      </w:pPr>
      <w:r w:rsidRPr="00095E4E">
        <w:rPr>
          <w:rFonts w:ascii="Calibri" w:hAnsi="Calibri"/>
          <w:color w:val="000000"/>
        </w:rPr>
        <w:t>We</w:t>
      </w:r>
      <w:r w:rsidRPr="00BF2C2A">
        <w:rPr>
          <w:rFonts w:ascii="Calibri" w:hAnsi="Calibri"/>
          <w:color w:val="000000"/>
        </w:rPr>
        <w:t xml:space="preserve"> are pleased </w:t>
      </w:r>
      <w:r>
        <w:rPr>
          <w:rFonts w:ascii="Calibri" w:hAnsi="Calibri"/>
          <w:color w:val="000000"/>
        </w:rPr>
        <w:t xml:space="preserve">that </w:t>
      </w:r>
      <w:r w:rsidRPr="00BF2C2A">
        <w:rPr>
          <w:rFonts w:ascii="Calibri" w:hAnsi="Calibri"/>
          <w:color w:val="000000"/>
        </w:rPr>
        <w:t>the HITPC asked the Consumer W</w:t>
      </w:r>
      <w:r>
        <w:rPr>
          <w:rFonts w:ascii="Calibri" w:hAnsi="Calibri"/>
          <w:color w:val="000000"/>
        </w:rPr>
        <w:t xml:space="preserve">ork </w:t>
      </w:r>
      <w:r w:rsidRPr="00BF2C2A">
        <w:rPr>
          <w:rFonts w:ascii="Calibri" w:hAnsi="Calibri"/>
          <w:color w:val="000000"/>
        </w:rPr>
        <w:t>G</w:t>
      </w:r>
      <w:r>
        <w:rPr>
          <w:rFonts w:ascii="Calibri" w:hAnsi="Calibri"/>
          <w:color w:val="000000"/>
        </w:rPr>
        <w:t>roup (CWG)</w:t>
      </w:r>
      <w:r w:rsidRPr="00BF2C2A">
        <w:rPr>
          <w:rFonts w:ascii="Calibri" w:hAnsi="Calibri"/>
          <w:color w:val="000000"/>
        </w:rPr>
        <w:t xml:space="preserve"> specifically to comment on the</w:t>
      </w:r>
      <w:r>
        <w:rPr>
          <w:rFonts w:ascii="Calibri" w:hAnsi="Calibri"/>
          <w:color w:val="000000"/>
        </w:rPr>
        <w:t xml:space="preserve"> Federal Health IT Strategic P</w:t>
      </w:r>
      <w:r w:rsidRPr="00BF2C2A">
        <w:rPr>
          <w:rFonts w:ascii="Calibri" w:hAnsi="Calibri"/>
          <w:color w:val="000000"/>
        </w:rPr>
        <w:t>lan.  This role is essential to elevating consumer voices in shaping the nation’s health IT policy</w:t>
      </w:r>
      <w:r w:rsidR="001233EF">
        <w:rPr>
          <w:rFonts w:ascii="Calibri" w:hAnsi="Calibri"/>
          <w:color w:val="000000"/>
        </w:rPr>
        <w:t xml:space="preserve"> in ways that are patient- and family-centered.  We applaud the significant amount of effort and federal agency coordination put forth in developing the plan; it reflects a multi-faceted approach </w:t>
      </w:r>
      <w:r w:rsidR="00A13827">
        <w:rPr>
          <w:rFonts w:ascii="Calibri" w:hAnsi="Calibri"/>
          <w:color w:val="000000"/>
        </w:rPr>
        <w:t xml:space="preserve">to expanding adoption of health IT; advancing secure and interoperable health information; strengthening health care delivery; advancing the health and well being of individuals and communities; and advancing research, scientific knowledge and innovation. </w:t>
      </w:r>
    </w:p>
    <w:p w:rsidR="00095E4E" w:rsidRDefault="00095E4E" w:rsidP="00AB1FCB">
      <w:pPr>
        <w:rPr>
          <w:rFonts w:ascii="Calibri" w:hAnsi="Calibri"/>
          <w:color w:val="000000"/>
        </w:rPr>
      </w:pPr>
    </w:p>
    <w:p w:rsidR="008D09B0" w:rsidRPr="008D09B0" w:rsidRDefault="00095E4E" w:rsidP="008D09B0">
      <w:pPr>
        <w:rPr>
          <w:rFonts w:ascii="Calibri" w:hAnsi="Calibri"/>
          <w:color w:val="000000"/>
        </w:rPr>
      </w:pPr>
      <w:r>
        <w:rPr>
          <w:rFonts w:ascii="Calibri" w:hAnsi="Calibri"/>
          <w:color w:val="000000"/>
        </w:rPr>
        <w:t>The charge of the Consumer WG</w:t>
      </w:r>
      <w:r w:rsidR="008D09B0">
        <w:rPr>
          <w:rFonts w:ascii="Calibri" w:hAnsi="Calibri"/>
          <w:color w:val="000000"/>
        </w:rPr>
        <w:t xml:space="preserve"> is to </w:t>
      </w:r>
      <w:r w:rsidR="008D09B0" w:rsidRPr="008D09B0">
        <w:rPr>
          <w:rFonts w:ascii="Calibri" w:hAnsi="Calibri"/>
          <w:color w:val="000000"/>
        </w:rPr>
        <w:t>provide input and make recommendations on policy issues or opportunities to use health IT to:</w:t>
      </w:r>
    </w:p>
    <w:p w:rsidR="00095E4E" w:rsidRDefault="00095E4E" w:rsidP="00AB1FCB">
      <w:pPr>
        <w:rPr>
          <w:rFonts w:ascii="Calibri" w:hAnsi="Calibri"/>
          <w:color w:val="000000"/>
        </w:rPr>
      </w:pPr>
      <w:r>
        <w:rPr>
          <w:rFonts w:ascii="Calibri" w:hAnsi="Calibri"/>
          <w:color w:val="000000"/>
        </w:rPr>
        <w:t>1.</w:t>
      </w:r>
      <w:r w:rsidR="00517895">
        <w:rPr>
          <w:rFonts w:ascii="Calibri" w:hAnsi="Calibri"/>
          <w:color w:val="000000"/>
        </w:rPr>
        <w:t xml:space="preserve"> </w:t>
      </w:r>
      <w:r w:rsidR="00322ACF" w:rsidRPr="00517895">
        <w:rPr>
          <w:rFonts w:ascii="Calibri" w:hAnsi="Calibri"/>
          <w:color w:val="000000"/>
        </w:rPr>
        <w:t>Engage consumers and families in their own health and health care</w:t>
      </w:r>
    </w:p>
    <w:p w:rsidR="00095E4E" w:rsidRDefault="00095E4E" w:rsidP="00AB1FCB">
      <w:pPr>
        <w:rPr>
          <w:rFonts w:ascii="Calibri" w:hAnsi="Calibri"/>
          <w:color w:val="000000"/>
        </w:rPr>
      </w:pPr>
      <w:r>
        <w:rPr>
          <w:rFonts w:ascii="Calibri" w:hAnsi="Calibri"/>
          <w:color w:val="000000"/>
        </w:rPr>
        <w:t>2.</w:t>
      </w:r>
      <w:r w:rsidR="00322ACF" w:rsidRPr="00517895">
        <w:rPr>
          <w:rFonts w:ascii="Calibri" w:hAnsi="Calibri"/>
          <w:color w:val="000000"/>
        </w:rPr>
        <w:t>Enable consumer-provider partnerships supported by health IT</w:t>
      </w:r>
    </w:p>
    <w:p w:rsidR="00F501EF" w:rsidRPr="00517895" w:rsidRDefault="00095E4E" w:rsidP="00517895">
      <w:pPr>
        <w:rPr>
          <w:rFonts w:ascii="Calibri" w:hAnsi="Calibri"/>
          <w:color w:val="000000"/>
        </w:rPr>
      </w:pPr>
      <w:r>
        <w:rPr>
          <w:rFonts w:ascii="Calibri" w:hAnsi="Calibri"/>
          <w:color w:val="000000"/>
        </w:rPr>
        <w:t xml:space="preserve">3. </w:t>
      </w:r>
      <w:r w:rsidR="00322ACF" w:rsidRPr="00517895">
        <w:rPr>
          <w:rFonts w:ascii="Calibri" w:hAnsi="Calibri"/>
          <w:color w:val="000000"/>
        </w:rPr>
        <w:t>Elevate consumer voices to shape health system transformation</w:t>
      </w:r>
    </w:p>
    <w:p w:rsidR="00095E4E" w:rsidRDefault="00095E4E" w:rsidP="00AB1FCB">
      <w:pPr>
        <w:rPr>
          <w:rFonts w:asciiTheme="majorHAnsi" w:hAnsiTheme="majorHAnsi"/>
        </w:rPr>
      </w:pPr>
    </w:p>
    <w:p w:rsidR="00095E4E" w:rsidRDefault="008D09B0" w:rsidP="00AB1FCB">
      <w:pPr>
        <w:rPr>
          <w:rFonts w:asciiTheme="majorHAnsi" w:hAnsiTheme="majorHAnsi"/>
        </w:rPr>
      </w:pPr>
      <w:r>
        <w:rPr>
          <w:rFonts w:ascii="Calibri" w:hAnsi="Calibri"/>
          <w:color w:val="000000"/>
        </w:rPr>
        <w:t>These three areas comprise the framework we used to organize our specific comments below.</w:t>
      </w:r>
      <w:r>
        <w:rPr>
          <w:rFonts w:asciiTheme="majorHAnsi" w:hAnsiTheme="majorHAnsi"/>
        </w:rPr>
        <w:t xml:space="preserve"> </w:t>
      </w:r>
      <w:r w:rsidR="00095E4E">
        <w:rPr>
          <w:rFonts w:asciiTheme="majorHAnsi" w:hAnsiTheme="majorHAnsi"/>
        </w:rPr>
        <w:t>We begin by providing comments on the high level components of the strategic plan first (Overview, Principles, etc.) and then follow with specific comments relevant to the Goals, Objectives and Strategies.</w:t>
      </w:r>
    </w:p>
    <w:p w:rsidR="00095E4E" w:rsidRDefault="00095E4E" w:rsidP="00AB1FCB">
      <w:pPr>
        <w:rPr>
          <w:rFonts w:asciiTheme="majorHAnsi" w:hAnsiTheme="majorHAnsi"/>
        </w:rPr>
      </w:pPr>
    </w:p>
    <w:p w:rsidR="00095E4E" w:rsidRPr="00095E4E" w:rsidRDefault="00095E4E" w:rsidP="00AB1FCB">
      <w:pPr>
        <w:rPr>
          <w:rFonts w:asciiTheme="majorHAnsi" w:hAnsiTheme="majorHAnsi"/>
          <w:b/>
          <w:u w:val="single"/>
        </w:rPr>
      </w:pPr>
      <w:r w:rsidRPr="00095E4E">
        <w:rPr>
          <w:rFonts w:asciiTheme="majorHAnsi" w:hAnsiTheme="majorHAnsi"/>
          <w:b/>
          <w:u w:val="single"/>
        </w:rPr>
        <w:t>General Comments:</w:t>
      </w:r>
    </w:p>
    <w:p w:rsidR="00524B99" w:rsidRPr="00976BB5" w:rsidRDefault="00524B99" w:rsidP="00AB1FCB">
      <w:pPr>
        <w:rPr>
          <w:rFonts w:asciiTheme="majorHAnsi" w:hAnsiTheme="majorHAnsi"/>
          <w:u w:val="single"/>
        </w:rPr>
      </w:pPr>
      <w:r w:rsidRPr="00976BB5">
        <w:rPr>
          <w:rFonts w:asciiTheme="majorHAnsi" w:hAnsiTheme="majorHAnsi"/>
          <w:u w:val="single"/>
        </w:rPr>
        <w:t>Overview:</w:t>
      </w:r>
    </w:p>
    <w:p w:rsidR="00C04CF0" w:rsidRDefault="00C04CF0" w:rsidP="00C04CF0">
      <w:pPr>
        <w:pStyle w:val="ListParagraph"/>
        <w:numPr>
          <w:ilvl w:val="0"/>
          <w:numId w:val="14"/>
        </w:numPr>
        <w:rPr>
          <w:rFonts w:asciiTheme="majorHAnsi" w:hAnsiTheme="majorHAnsi"/>
        </w:rPr>
      </w:pPr>
      <w:r w:rsidRPr="00C04CF0">
        <w:rPr>
          <w:rFonts w:asciiTheme="majorHAnsi" w:hAnsiTheme="majorHAnsi"/>
        </w:rPr>
        <w:t xml:space="preserve">How is </w:t>
      </w:r>
      <w:r w:rsidR="001233EF">
        <w:rPr>
          <w:rFonts w:asciiTheme="majorHAnsi" w:hAnsiTheme="majorHAnsi"/>
        </w:rPr>
        <w:t>h</w:t>
      </w:r>
      <w:r w:rsidR="00757E33">
        <w:rPr>
          <w:rFonts w:asciiTheme="majorHAnsi" w:hAnsiTheme="majorHAnsi"/>
        </w:rPr>
        <w:t>ealth IT</w:t>
      </w:r>
      <w:r w:rsidR="003F3EC0">
        <w:rPr>
          <w:rFonts w:asciiTheme="majorHAnsi" w:hAnsiTheme="majorHAnsi"/>
        </w:rPr>
        <w:t xml:space="preserve"> d</w:t>
      </w:r>
      <w:r w:rsidRPr="00C04CF0">
        <w:rPr>
          <w:rFonts w:asciiTheme="majorHAnsi" w:hAnsiTheme="majorHAnsi"/>
        </w:rPr>
        <w:t xml:space="preserve">efined?  </w:t>
      </w:r>
      <w:r w:rsidR="008D09B0">
        <w:rPr>
          <w:rFonts w:asciiTheme="majorHAnsi" w:hAnsiTheme="majorHAnsi"/>
        </w:rPr>
        <w:t xml:space="preserve">The Work Group recommends that the </w:t>
      </w:r>
      <w:r w:rsidR="001233EF">
        <w:rPr>
          <w:rFonts w:asciiTheme="majorHAnsi" w:hAnsiTheme="majorHAnsi"/>
        </w:rPr>
        <w:t xml:space="preserve">definition </w:t>
      </w:r>
      <w:r w:rsidRPr="00C04CF0">
        <w:rPr>
          <w:rFonts w:asciiTheme="majorHAnsi" w:hAnsiTheme="majorHAnsi"/>
        </w:rPr>
        <w:t xml:space="preserve">includes consumer facing </w:t>
      </w:r>
      <w:r w:rsidR="001233EF">
        <w:rPr>
          <w:rFonts w:asciiTheme="majorHAnsi" w:hAnsiTheme="majorHAnsi"/>
        </w:rPr>
        <w:t>h</w:t>
      </w:r>
      <w:r w:rsidR="00757E33">
        <w:rPr>
          <w:rFonts w:asciiTheme="majorHAnsi" w:hAnsiTheme="majorHAnsi"/>
        </w:rPr>
        <w:t xml:space="preserve">ealth </w:t>
      </w:r>
      <w:r w:rsidRPr="00C04CF0">
        <w:rPr>
          <w:rFonts w:asciiTheme="majorHAnsi" w:hAnsiTheme="majorHAnsi"/>
        </w:rPr>
        <w:t xml:space="preserve">IT like </w:t>
      </w:r>
      <w:proofErr w:type="spellStart"/>
      <w:r w:rsidRPr="00C04CF0">
        <w:rPr>
          <w:rFonts w:asciiTheme="majorHAnsi" w:hAnsiTheme="majorHAnsi"/>
        </w:rPr>
        <w:t>mHealth</w:t>
      </w:r>
      <w:proofErr w:type="spellEnd"/>
      <w:r w:rsidRPr="00C04CF0">
        <w:rPr>
          <w:rFonts w:asciiTheme="majorHAnsi" w:hAnsiTheme="majorHAnsi"/>
        </w:rPr>
        <w:t>, etc.</w:t>
      </w:r>
      <w:r w:rsidR="008D09B0">
        <w:rPr>
          <w:rFonts w:asciiTheme="majorHAnsi" w:hAnsiTheme="majorHAnsi"/>
        </w:rPr>
        <w:t xml:space="preserve">, </w:t>
      </w:r>
      <w:r w:rsidRPr="00C04CF0">
        <w:rPr>
          <w:rFonts w:asciiTheme="majorHAnsi" w:hAnsiTheme="majorHAnsi"/>
        </w:rPr>
        <w:t xml:space="preserve">and not just EHRs. </w:t>
      </w:r>
      <w:r w:rsidR="001233EF">
        <w:rPr>
          <w:rFonts w:asciiTheme="majorHAnsi" w:hAnsiTheme="majorHAnsi"/>
        </w:rPr>
        <w:t xml:space="preserve"> We also encourage you to define other terms throughout the plan, such as </w:t>
      </w:r>
      <w:proofErr w:type="spellStart"/>
      <w:r w:rsidR="001233EF">
        <w:rPr>
          <w:rFonts w:asciiTheme="majorHAnsi" w:hAnsiTheme="majorHAnsi"/>
        </w:rPr>
        <w:t>mHealth</w:t>
      </w:r>
      <w:proofErr w:type="spellEnd"/>
      <w:r w:rsidR="001233EF">
        <w:rPr>
          <w:rFonts w:asciiTheme="majorHAnsi" w:hAnsiTheme="majorHAnsi"/>
        </w:rPr>
        <w:t xml:space="preserve"> and precision medicine.  Clarity in terms will help consumers better understand the Plan.</w:t>
      </w:r>
    </w:p>
    <w:p w:rsidR="00F07EEB" w:rsidRPr="00F07EEB" w:rsidRDefault="00F07EEB" w:rsidP="00F07EEB">
      <w:pPr>
        <w:pStyle w:val="ListParagraph"/>
        <w:numPr>
          <w:ilvl w:val="0"/>
          <w:numId w:val="14"/>
        </w:numPr>
        <w:rPr>
          <w:rFonts w:asciiTheme="majorHAnsi" w:hAnsiTheme="majorHAnsi"/>
        </w:rPr>
      </w:pPr>
      <w:r w:rsidRPr="00F07EEB">
        <w:rPr>
          <w:rFonts w:asciiTheme="majorHAnsi" w:hAnsiTheme="majorHAnsi"/>
          <w:b/>
        </w:rPr>
        <w:t>Proposed edit</w:t>
      </w:r>
      <w:r w:rsidRPr="00F07EEB">
        <w:rPr>
          <w:rFonts w:asciiTheme="majorHAnsi" w:hAnsiTheme="majorHAnsi"/>
        </w:rPr>
        <w:t xml:space="preserve">:    </w:t>
      </w:r>
      <w:r>
        <w:rPr>
          <w:rFonts w:asciiTheme="majorHAnsi" w:hAnsiTheme="majorHAnsi"/>
        </w:rPr>
        <w:t>“</w:t>
      </w:r>
      <w:r w:rsidRPr="00F07EEB">
        <w:rPr>
          <w:rFonts w:asciiTheme="majorHAnsi" w:hAnsiTheme="majorHAnsi"/>
        </w:rPr>
        <w:t xml:space="preserve">It strengthens the delivery of health care and long-term services and supports, </w:t>
      </w:r>
      <w:r w:rsidRPr="00F07EEB">
        <w:rPr>
          <w:rFonts w:asciiTheme="majorHAnsi" w:hAnsiTheme="majorHAnsi"/>
          <w:highlight w:val="green"/>
        </w:rPr>
        <w:t>builds a culture of shared care objectives between the delivery of care and individuals that is continuous and collaborative</w:t>
      </w:r>
      <w:r w:rsidRPr="00F07EEB">
        <w:rPr>
          <w:rFonts w:asciiTheme="majorHAnsi" w:hAnsiTheme="majorHAnsi"/>
        </w:rPr>
        <w:t>, and allows public health agencies to detect, track, manage, and prevent disease outbreaks. Information also fuels research and innovation, spurring advancements in scientific discovery.</w:t>
      </w:r>
      <w:r>
        <w:rPr>
          <w:rFonts w:asciiTheme="majorHAnsi" w:hAnsiTheme="majorHAnsi"/>
        </w:rPr>
        <w:t>”</w:t>
      </w:r>
    </w:p>
    <w:p w:rsidR="00F07EEB" w:rsidRPr="00C04CF0" w:rsidRDefault="00F07EEB" w:rsidP="00C04CF0">
      <w:pPr>
        <w:pStyle w:val="ListParagraph"/>
        <w:numPr>
          <w:ilvl w:val="0"/>
          <w:numId w:val="14"/>
        </w:numPr>
        <w:rPr>
          <w:rFonts w:asciiTheme="majorHAnsi" w:hAnsiTheme="majorHAnsi"/>
        </w:rPr>
      </w:pPr>
    </w:p>
    <w:p w:rsidR="00E61135" w:rsidRPr="003F3EC0" w:rsidRDefault="00E61135" w:rsidP="00AB1FCB">
      <w:pPr>
        <w:rPr>
          <w:rFonts w:asciiTheme="majorHAnsi" w:hAnsiTheme="majorHAnsi"/>
          <w:u w:val="single"/>
        </w:rPr>
      </w:pPr>
      <w:r>
        <w:rPr>
          <w:rFonts w:asciiTheme="majorHAnsi" w:hAnsiTheme="majorHAnsi"/>
        </w:rPr>
        <w:br/>
      </w:r>
      <w:r w:rsidRPr="003F3EC0">
        <w:rPr>
          <w:rFonts w:asciiTheme="majorHAnsi" w:hAnsiTheme="majorHAnsi"/>
          <w:u w:val="single"/>
        </w:rPr>
        <w:t>Strategic Goals, Objectives, and Strategies</w:t>
      </w:r>
    </w:p>
    <w:p w:rsidR="00B946AC" w:rsidRPr="00687E91" w:rsidRDefault="008D09B0" w:rsidP="00B946AC">
      <w:pPr>
        <w:pStyle w:val="ListParagraph"/>
        <w:numPr>
          <w:ilvl w:val="0"/>
          <w:numId w:val="14"/>
        </w:numPr>
        <w:rPr>
          <w:rFonts w:asciiTheme="majorHAnsi" w:hAnsiTheme="majorHAnsi"/>
        </w:rPr>
      </w:pPr>
      <w:r>
        <w:rPr>
          <w:rFonts w:asciiTheme="majorHAnsi" w:hAnsiTheme="majorHAnsi"/>
        </w:rPr>
        <w:t xml:space="preserve">The </w:t>
      </w:r>
      <w:r w:rsidR="00503D06">
        <w:rPr>
          <w:rFonts w:asciiTheme="majorHAnsi" w:hAnsiTheme="majorHAnsi"/>
        </w:rPr>
        <w:t xml:space="preserve">“Collect, Share, Use” </w:t>
      </w:r>
      <w:r>
        <w:rPr>
          <w:rFonts w:asciiTheme="majorHAnsi" w:hAnsiTheme="majorHAnsi"/>
        </w:rPr>
        <w:t>framework is</w:t>
      </w:r>
      <w:r w:rsidR="00503D06">
        <w:rPr>
          <w:rFonts w:asciiTheme="majorHAnsi" w:hAnsiTheme="majorHAnsi"/>
        </w:rPr>
        <w:t xml:space="preserve"> focused on data</w:t>
      </w:r>
      <w:r w:rsidR="00105F2A">
        <w:rPr>
          <w:rFonts w:asciiTheme="majorHAnsi" w:hAnsiTheme="majorHAnsi"/>
        </w:rPr>
        <w:t>, and the Work Group is concerned that consumers will not relate to this framework</w:t>
      </w:r>
      <w:r w:rsidR="00503D06">
        <w:rPr>
          <w:rFonts w:asciiTheme="majorHAnsi" w:hAnsiTheme="majorHAnsi"/>
        </w:rPr>
        <w:t xml:space="preserve">.  </w:t>
      </w:r>
      <w:r w:rsidR="007F6A10">
        <w:rPr>
          <w:rFonts w:asciiTheme="majorHAnsi" w:hAnsiTheme="majorHAnsi"/>
        </w:rPr>
        <w:t xml:space="preserve">The ecosystem of health IT should have people at the center, and should reinforce the collaborative relationships needed to improve health and care.  </w:t>
      </w:r>
      <w:r w:rsidR="00B946AC" w:rsidRPr="00687E91">
        <w:rPr>
          <w:rFonts w:asciiTheme="majorHAnsi" w:hAnsiTheme="majorHAnsi"/>
        </w:rPr>
        <w:t>Collect-share-use also might be misinterpreted as reinforcing provider/system ownership and control of data, a position that is contrary to other themes in</w:t>
      </w:r>
      <w:r w:rsidR="00B946AC">
        <w:rPr>
          <w:rFonts w:asciiTheme="majorHAnsi" w:hAnsiTheme="majorHAnsi"/>
        </w:rPr>
        <w:t xml:space="preserve"> the Plan.</w:t>
      </w:r>
    </w:p>
    <w:p w:rsidR="003B4C6B" w:rsidRDefault="00503D06" w:rsidP="00B946AC">
      <w:pPr>
        <w:pStyle w:val="ListParagraph"/>
        <w:numPr>
          <w:ilvl w:val="0"/>
          <w:numId w:val="14"/>
        </w:numPr>
        <w:rPr>
          <w:rFonts w:asciiTheme="majorHAnsi" w:hAnsiTheme="majorHAnsi"/>
        </w:rPr>
      </w:pPr>
      <w:r>
        <w:rPr>
          <w:rFonts w:asciiTheme="majorHAnsi" w:hAnsiTheme="majorHAnsi"/>
        </w:rPr>
        <w:t xml:space="preserve">The Work Group suggests shifting the focus </w:t>
      </w:r>
      <w:r w:rsidR="007F6A10">
        <w:rPr>
          <w:rFonts w:asciiTheme="majorHAnsi" w:hAnsiTheme="majorHAnsi"/>
        </w:rPr>
        <w:t xml:space="preserve">more </w:t>
      </w:r>
      <w:r>
        <w:rPr>
          <w:rFonts w:asciiTheme="majorHAnsi" w:hAnsiTheme="majorHAnsi"/>
        </w:rPr>
        <w:t>to individuals</w:t>
      </w:r>
      <w:r w:rsidR="007F6A10">
        <w:rPr>
          <w:rFonts w:asciiTheme="majorHAnsi" w:hAnsiTheme="majorHAnsi"/>
        </w:rPr>
        <w:t xml:space="preserve"> vs. data</w:t>
      </w:r>
      <w:r>
        <w:rPr>
          <w:rFonts w:asciiTheme="majorHAnsi" w:hAnsiTheme="majorHAnsi"/>
        </w:rPr>
        <w:t xml:space="preserve">, including consideration of </w:t>
      </w:r>
      <w:r w:rsidR="00E61135" w:rsidRPr="00503D06">
        <w:rPr>
          <w:rFonts w:asciiTheme="majorHAnsi" w:hAnsiTheme="majorHAnsi"/>
        </w:rPr>
        <w:t>existing health policy rubrics</w:t>
      </w:r>
      <w:r w:rsidR="00105F2A">
        <w:rPr>
          <w:rFonts w:asciiTheme="majorHAnsi" w:hAnsiTheme="majorHAnsi"/>
        </w:rPr>
        <w:t xml:space="preserve"> that center on improving health and care,</w:t>
      </w:r>
      <w:r w:rsidR="00E61135" w:rsidRPr="00503D06">
        <w:rPr>
          <w:rFonts w:asciiTheme="majorHAnsi" w:hAnsiTheme="majorHAnsi"/>
        </w:rPr>
        <w:t xml:space="preserve"> such as the Triple Aim</w:t>
      </w:r>
      <w:r>
        <w:rPr>
          <w:rFonts w:asciiTheme="majorHAnsi" w:hAnsiTheme="majorHAnsi"/>
        </w:rPr>
        <w:t>.</w:t>
      </w:r>
      <w:r w:rsidR="00687E91">
        <w:rPr>
          <w:rFonts w:asciiTheme="majorHAnsi" w:hAnsiTheme="majorHAnsi"/>
        </w:rPr>
        <w:t xml:space="preserve"> </w:t>
      </w:r>
    </w:p>
    <w:p w:rsidR="00B946AC" w:rsidRDefault="00B946AC" w:rsidP="00B946AC">
      <w:pPr>
        <w:pStyle w:val="ListParagraph"/>
        <w:rPr>
          <w:rFonts w:asciiTheme="majorHAnsi" w:hAnsiTheme="majorHAnsi"/>
        </w:rPr>
      </w:pPr>
    </w:p>
    <w:p w:rsidR="00524B99" w:rsidRDefault="00524B99" w:rsidP="00AB1FCB">
      <w:pPr>
        <w:rPr>
          <w:rFonts w:asciiTheme="majorHAnsi" w:hAnsiTheme="majorHAnsi"/>
          <w:u w:val="single"/>
        </w:rPr>
      </w:pPr>
      <w:r w:rsidRPr="00976BB5">
        <w:rPr>
          <w:rFonts w:asciiTheme="majorHAnsi" w:hAnsiTheme="majorHAnsi"/>
          <w:u w:val="single"/>
        </w:rPr>
        <w:t>Strategic Plan Development &amp; U</w:t>
      </w:r>
      <w:r w:rsidR="002951FB" w:rsidRPr="00976BB5">
        <w:rPr>
          <w:rFonts w:asciiTheme="majorHAnsi" w:hAnsiTheme="majorHAnsi"/>
          <w:u w:val="single"/>
        </w:rPr>
        <w:t>p</w:t>
      </w:r>
      <w:r w:rsidRPr="00976BB5">
        <w:rPr>
          <w:rFonts w:asciiTheme="majorHAnsi" w:hAnsiTheme="majorHAnsi"/>
          <w:u w:val="single"/>
        </w:rPr>
        <w:t>date:</w:t>
      </w:r>
    </w:p>
    <w:p w:rsidR="00976BB5" w:rsidRPr="00976BB5" w:rsidRDefault="00FB3ABE" w:rsidP="00976BB5">
      <w:pPr>
        <w:pStyle w:val="ListParagraph"/>
        <w:numPr>
          <w:ilvl w:val="0"/>
          <w:numId w:val="14"/>
        </w:numPr>
        <w:rPr>
          <w:rFonts w:asciiTheme="majorHAnsi" w:hAnsiTheme="majorHAnsi"/>
        </w:rPr>
      </w:pPr>
      <w:r>
        <w:rPr>
          <w:rFonts w:asciiTheme="majorHAnsi" w:hAnsiTheme="majorHAnsi"/>
        </w:rPr>
        <w:t>We understand that the Plan will be further updated with measures that indicate progress toward the Outcomes.  We fully support that effort and urge you to</w:t>
      </w:r>
      <w:r w:rsidRPr="00FB3ABE">
        <w:rPr>
          <w:rFonts w:asciiTheme="majorHAnsi" w:hAnsiTheme="majorHAnsi"/>
        </w:rPr>
        <w:t xml:space="preserve"> </w:t>
      </w:r>
      <w:r>
        <w:rPr>
          <w:rFonts w:asciiTheme="majorHAnsi" w:hAnsiTheme="majorHAnsi"/>
        </w:rPr>
        <w:t>involve consumers in developing or selecting measures.  We also hope that those measures will include</w:t>
      </w:r>
      <w:r w:rsidRPr="00FB3ABE">
        <w:rPr>
          <w:rFonts w:asciiTheme="majorHAnsi" w:hAnsiTheme="majorHAnsi"/>
        </w:rPr>
        <w:t xml:space="preserve"> </w:t>
      </w:r>
      <w:r>
        <w:rPr>
          <w:rFonts w:asciiTheme="majorHAnsi" w:hAnsiTheme="majorHAnsi"/>
        </w:rPr>
        <w:t>measures</w:t>
      </w:r>
      <w:r w:rsidRPr="00FB3ABE">
        <w:rPr>
          <w:rFonts w:asciiTheme="majorHAnsi" w:hAnsiTheme="majorHAnsi"/>
        </w:rPr>
        <w:t xml:space="preserve"> </w:t>
      </w:r>
      <w:r>
        <w:rPr>
          <w:rFonts w:asciiTheme="majorHAnsi" w:hAnsiTheme="majorHAnsi"/>
        </w:rPr>
        <w:t xml:space="preserve">of </w:t>
      </w:r>
      <w:r w:rsidRPr="00FB3ABE">
        <w:rPr>
          <w:rFonts w:asciiTheme="majorHAnsi" w:hAnsiTheme="majorHAnsi"/>
        </w:rPr>
        <w:t xml:space="preserve">consumer, patient, and caregiver experience with </w:t>
      </w:r>
      <w:r>
        <w:rPr>
          <w:rFonts w:asciiTheme="majorHAnsi" w:hAnsiTheme="majorHAnsi"/>
        </w:rPr>
        <w:t xml:space="preserve">HIT systems and tools. </w:t>
      </w:r>
    </w:p>
    <w:p w:rsidR="00524B99" w:rsidRDefault="00524B99" w:rsidP="00AB1FCB">
      <w:pPr>
        <w:rPr>
          <w:rFonts w:asciiTheme="majorHAnsi" w:hAnsiTheme="majorHAnsi"/>
        </w:rPr>
      </w:pPr>
    </w:p>
    <w:p w:rsidR="00524B99" w:rsidRPr="00B5595E" w:rsidRDefault="00524B99" w:rsidP="00B5595E">
      <w:pPr>
        <w:ind w:left="720" w:hanging="720"/>
        <w:rPr>
          <w:rFonts w:asciiTheme="majorHAnsi" w:hAnsiTheme="majorHAnsi"/>
        </w:rPr>
      </w:pPr>
      <w:r w:rsidRPr="00976BB5">
        <w:rPr>
          <w:rFonts w:asciiTheme="majorHAnsi" w:hAnsiTheme="majorHAnsi"/>
          <w:u w:val="single"/>
        </w:rPr>
        <w:t>Federal Health IT Principles:</w:t>
      </w:r>
      <w:r w:rsidR="002951FB" w:rsidRPr="00976BB5">
        <w:rPr>
          <w:rFonts w:asciiTheme="majorHAnsi" w:hAnsiTheme="majorHAnsi"/>
          <w:u w:val="single"/>
        </w:rPr>
        <w:t xml:space="preserve"> </w:t>
      </w:r>
      <w:r w:rsidR="00B5595E">
        <w:rPr>
          <w:rFonts w:asciiTheme="majorHAnsi" w:hAnsiTheme="majorHAnsi"/>
        </w:rPr>
        <w:t xml:space="preserve">There were a number of core concepts the </w:t>
      </w:r>
      <w:r w:rsidR="008D09B0">
        <w:rPr>
          <w:rFonts w:asciiTheme="majorHAnsi" w:hAnsiTheme="majorHAnsi"/>
        </w:rPr>
        <w:t>Work Group</w:t>
      </w:r>
      <w:r w:rsidR="00B5595E">
        <w:rPr>
          <w:rFonts w:asciiTheme="majorHAnsi" w:hAnsiTheme="majorHAnsi"/>
        </w:rPr>
        <w:t xml:space="preserve"> felt were missing from the principles:</w:t>
      </w:r>
    </w:p>
    <w:p w:rsidR="004267AB" w:rsidRDefault="00B5595E" w:rsidP="004267AB">
      <w:pPr>
        <w:pStyle w:val="ListParagraph"/>
        <w:numPr>
          <w:ilvl w:val="0"/>
          <w:numId w:val="13"/>
        </w:numPr>
        <w:rPr>
          <w:rFonts w:asciiTheme="majorHAnsi" w:hAnsiTheme="majorHAnsi"/>
        </w:rPr>
      </w:pPr>
      <w:r>
        <w:rPr>
          <w:rFonts w:asciiTheme="majorHAnsi" w:hAnsiTheme="majorHAnsi"/>
        </w:rPr>
        <w:t>L</w:t>
      </w:r>
      <w:r w:rsidR="00F25F43">
        <w:rPr>
          <w:rFonts w:asciiTheme="majorHAnsi" w:hAnsiTheme="majorHAnsi"/>
        </w:rPr>
        <w:t>everaging health IT to empower consume</w:t>
      </w:r>
      <w:r>
        <w:rPr>
          <w:rFonts w:asciiTheme="majorHAnsi" w:hAnsiTheme="majorHAnsi"/>
        </w:rPr>
        <w:t xml:space="preserve">rs in their own health and care, and </w:t>
      </w:r>
      <w:r w:rsidRPr="00B5595E">
        <w:rPr>
          <w:rFonts w:ascii="Calibri" w:eastAsia="Times New Roman" w:hAnsi="Calibri" w:cs="Times New Roman"/>
          <w:color w:val="000000"/>
        </w:rPr>
        <w:t>empower family caregivers with information and tools they need to support their loved ones in health care transition, medication management, treatment and recovery</w:t>
      </w:r>
      <w:r>
        <w:rPr>
          <w:rFonts w:ascii="Calibri" w:eastAsia="Times New Roman" w:hAnsi="Calibri" w:cs="Times New Roman"/>
          <w:color w:val="000000"/>
        </w:rPr>
        <w:t>.</w:t>
      </w:r>
    </w:p>
    <w:p w:rsidR="00B5595E" w:rsidRDefault="00976BB5" w:rsidP="00B5595E">
      <w:pPr>
        <w:pStyle w:val="ListParagraph"/>
        <w:numPr>
          <w:ilvl w:val="0"/>
          <w:numId w:val="13"/>
        </w:numPr>
        <w:rPr>
          <w:rFonts w:asciiTheme="majorHAnsi" w:hAnsiTheme="majorHAnsi"/>
        </w:rPr>
      </w:pPr>
      <w:r w:rsidRPr="00112536">
        <w:rPr>
          <w:rFonts w:asciiTheme="majorHAnsi" w:hAnsiTheme="majorHAnsi"/>
        </w:rPr>
        <w:t xml:space="preserve">Equity– for consumers and providers. </w:t>
      </w:r>
      <w:r w:rsidR="00B5595E">
        <w:rPr>
          <w:rFonts w:asciiTheme="majorHAnsi" w:hAnsiTheme="majorHAnsi"/>
        </w:rPr>
        <w:t xml:space="preserve"> How health IT can increase health equity and reduce disparities, and how we must ensure equitable adoption among provider populations that serve our most vulnerable individuals. </w:t>
      </w:r>
    </w:p>
    <w:p w:rsidR="00B5595E" w:rsidRPr="00B5595E" w:rsidRDefault="0009068F" w:rsidP="00B5595E">
      <w:pPr>
        <w:pStyle w:val="ListParagraph"/>
        <w:numPr>
          <w:ilvl w:val="0"/>
          <w:numId w:val="13"/>
        </w:numPr>
        <w:rPr>
          <w:rFonts w:asciiTheme="majorHAnsi" w:hAnsiTheme="majorHAnsi"/>
        </w:rPr>
      </w:pPr>
      <w:r>
        <w:rPr>
          <w:rFonts w:ascii="Calibri" w:eastAsia="Times New Roman" w:hAnsi="Calibri" w:cs="Times New Roman"/>
          <w:color w:val="000000"/>
        </w:rPr>
        <w:t>Using</w:t>
      </w:r>
      <w:r w:rsidR="00B5595E">
        <w:rPr>
          <w:rFonts w:ascii="Calibri" w:eastAsia="Times New Roman" w:hAnsi="Calibri" w:cs="Times New Roman"/>
          <w:color w:val="000000"/>
        </w:rPr>
        <w:t xml:space="preserve"> </w:t>
      </w:r>
      <w:r w:rsidR="00B5595E" w:rsidRPr="00B5595E">
        <w:rPr>
          <w:rFonts w:ascii="Calibri" w:eastAsia="Times New Roman" w:hAnsi="Calibri" w:cs="Times New Roman"/>
          <w:color w:val="000000"/>
        </w:rPr>
        <w:t xml:space="preserve">health IT </w:t>
      </w:r>
      <w:r w:rsidR="00B5595E">
        <w:rPr>
          <w:rFonts w:ascii="Calibri" w:eastAsia="Times New Roman" w:hAnsi="Calibri" w:cs="Times New Roman"/>
          <w:color w:val="000000"/>
        </w:rPr>
        <w:t>to</w:t>
      </w:r>
      <w:r w:rsidR="00B5595E" w:rsidRPr="00B5595E">
        <w:rPr>
          <w:rFonts w:ascii="Calibri" w:eastAsia="Times New Roman" w:hAnsi="Calibri" w:cs="Times New Roman"/>
          <w:color w:val="000000"/>
        </w:rPr>
        <w:t xml:space="preserve"> improve patient </w:t>
      </w:r>
      <w:r w:rsidR="00B5595E">
        <w:rPr>
          <w:rFonts w:ascii="Calibri" w:eastAsia="Times New Roman" w:hAnsi="Calibri" w:cs="Times New Roman"/>
          <w:color w:val="000000"/>
        </w:rPr>
        <w:t xml:space="preserve">and family </w:t>
      </w:r>
      <w:r w:rsidR="00B5595E" w:rsidRPr="00B5595E">
        <w:rPr>
          <w:rFonts w:ascii="Calibri" w:eastAsia="Times New Roman" w:hAnsi="Calibri" w:cs="Times New Roman"/>
          <w:color w:val="000000"/>
        </w:rPr>
        <w:t>experience</w:t>
      </w:r>
      <w:r w:rsidR="00B5595E">
        <w:rPr>
          <w:rFonts w:ascii="Calibri" w:eastAsia="Times New Roman" w:hAnsi="Calibri" w:cs="Times New Roman"/>
          <w:color w:val="000000"/>
        </w:rPr>
        <w:t xml:space="preserve"> of care.</w:t>
      </w:r>
    </w:p>
    <w:p w:rsidR="00524B99" w:rsidRDefault="00524B99" w:rsidP="00524B99">
      <w:pPr>
        <w:rPr>
          <w:rFonts w:asciiTheme="majorHAnsi" w:hAnsiTheme="majorHAnsi"/>
        </w:rPr>
      </w:pPr>
    </w:p>
    <w:p w:rsidR="007F6A10" w:rsidRDefault="007F6A10">
      <w:pPr>
        <w:rPr>
          <w:rFonts w:asciiTheme="majorHAnsi" w:hAnsiTheme="majorHAnsi"/>
          <w:b/>
          <w:u w:val="single"/>
        </w:rPr>
      </w:pPr>
    </w:p>
    <w:p w:rsidR="003F3EC0" w:rsidRDefault="00095E4E" w:rsidP="00524B99">
      <w:pPr>
        <w:rPr>
          <w:rFonts w:asciiTheme="majorHAnsi" w:hAnsiTheme="majorHAnsi"/>
          <w:b/>
          <w:u w:val="single"/>
        </w:rPr>
      </w:pPr>
      <w:r>
        <w:rPr>
          <w:rFonts w:asciiTheme="majorHAnsi" w:hAnsiTheme="majorHAnsi"/>
          <w:b/>
          <w:u w:val="single"/>
        </w:rPr>
        <w:t xml:space="preserve">Comments on Specific Goals, Objectives and Strategies: </w:t>
      </w:r>
    </w:p>
    <w:p w:rsidR="00095E4E" w:rsidRDefault="00095E4E" w:rsidP="00095E4E">
      <w:pPr>
        <w:rPr>
          <w:rFonts w:asciiTheme="majorHAnsi" w:hAnsiTheme="majorHAnsi"/>
          <w:b/>
          <w:u w:val="single"/>
        </w:rPr>
      </w:pPr>
    </w:p>
    <w:p w:rsidR="00095E4E" w:rsidRDefault="00095E4E" w:rsidP="00095E4E">
      <w:pPr>
        <w:rPr>
          <w:rFonts w:asciiTheme="majorHAnsi" w:hAnsiTheme="majorHAnsi"/>
        </w:rPr>
      </w:pPr>
      <w:r>
        <w:rPr>
          <w:rFonts w:asciiTheme="majorHAnsi" w:hAnsiTheme="majorHAnsi"/>
        </w:rPr>
        <w:t>Overall, we are p</w:t>
      </w:r>
      <w:r w:rsidRPr="00095E4E">
        <w:rPr>
          <w:rFonts w:asciiTheme="majorHAnsi" w:hAnsiTheme="majorHAnsi"/>
        </w:rPr>
        <w:t>leased to see an objective focused on consumers</w:t>
      </w:r>
      <w:r w:rsidR="000C64F2">
        <w:rPr>
          <w:rFonts w:asciiTheme="majorHAnsi" w:hAnsiTheme="majorHAnsi"/>
        </w:rPr>
        <w:t xml:space="preserve"> (4A)</w:t>
      </w:r>
      <w:r w:rsidRPr="00095E4E">
        <w:rPr>
          <w:rFonts w:asciiTheme="majorHAnsi" w:hAnsiTheme="majorHAnsi"/>
        </w:rPr>
        <w:t xml:space="preserve">. However, it is also essential that consumers (as partners in care and system design) are reflected in each major area, such as governance mechanisms for information sharing, shaping public health initiatives, advancing precision-medicine, </w:t>
      </w:r>
      <w:r w:rsidR="000C64F2">
        <w:rPr>
          <w:rFonts w:asciiTheme="majorHAnsi" w:hAnsiTheme="majorHAnsi"/>
        </w:rPr>
        <w:t xml:space="preserve">determining research priorities, </w:t>
      </w:r>
      <w:r w:rsidRPr="00095E4E">
        <w:rPr>
          <w:rFonts w:asciiTheme="majorHAnsi" w:hAnsiTheme="majorHAnsi"/>
        </w:rPr>
        <w:t xml:space="preserve">etc. Objective 4A is important, and we offer comments to strengthen it, but </w:t>
      </w:r>
      <w:r w:rsidR="0009068F">
        <w:rPr>
          <w:rFonts w:asciiTheme="majorHAnsi" w:hAnsiTheme="majorHAnsi"/>
        </w:rPr>
        <w:t xml:space="preserve">we </w:t>
      </w:r>
      <w:r w:rsidR="000C64F2">
        <w:rPr>
          <w:rFonts w:asciiTheme="majorHAnsi" w:hAnsiTheme="majorHAnsi"/>
        </w:rPr>
        <w:t xml:space="preserve">encourage ONC to ensure that strategies pertaining to </w:t>
      </w:r>
      <w:r w:rsidRPr="00095E4E">
        <w:rPr>
          <w:rFonts w:asciiTheme="majorHAnsi" w:hAnsiTheme="majorHAnsi"/>
        </w:rPr>
        <w:t xml:space="preserve">consumers are visibly part of each objective. </w:t>
      </w:r>
    </w:p>
    <w:p w:rsidR="00102CC0" w:rsidRDefault="00102CC0" w:rsidP="00095E4E">
      <w:pPr>
        <w:rPr>
          <w:rFonts w:asciiTheme="majorHAnsi" w:hAnsiTheme="majorHAnsi"/>
        </w:rPr>
      </w:pPr>
    </w:p>
    <w:p w:rsidR="00102CC0" w:rsidRDefault="00102CC0" w:rsidP="00095E4E">
      <w:pPr>
        <w:rPr>
          <w:rFonts w:asciiTheme="majorHAnsi" w:hAnsiTheme="majorHAnsi"/>
        </w:rPr>
      </w:pPr>
      <w:r>
        <w:rPr>
          <w:rFonts w:asciiTheme="majorHAnsi" w:hAnsiTheme="majorHAnsi"/>
        </w:rPr>
        <w:t>Our specific comments on Objectives and Strategies are as follows:</w:t>
      </w:r>
    </w:p>
    <w:p w:rsidR="00A36284" w:rsidRDefault="00A36284" w:rsidP="00095E4E">
      <w:pPr>
        <w:rPr>
          <w:rFonts w:asciiTheme="majorHAnsi" w:hAnsiTheme="majorHAnsi"/>
        </w:rPr>
      </w:pPr>
    </w:p>
    <w:p w:rsidR="00A36284" w:rsidRDefault="00A36284" w:rsidP="00095E4E">
      <w:pPr>
        <w:rPr>
          <w:rFonts w:asciiTheme="majorHAnsi" w:hAnsiTheme="majorHAnsi"/>
        </w:rPr>
      </w:pPr>
    </w:p>
    <w:p w:rsidR="00A36284" w:rsidRDefault="00A36284" w:rsidP="00095E4E">
      <w:pPr>
        <w:rPr>
          <w:rFonts w:asciiTheme="majorHAnsi" w:hAnsiTheme="majorHAnsi"/>
        </w:rPr>
      </w:pPr>
    </w:p>
    <w:p w:rsidR="00A36284" w:rsidRDefault="00A36284" w:rsidP="00095E4E">
      <w:pPr>
        <w:rPr>
          <w:rFonts w:asciiTheme="majorHAnsi" w:hAnsiTheme="majorHAnsi"/>
        </w:rPr>
      </w:pPr>
    </w:p>
    <w:p w:rsidR="00A36284" w:rsidRDefault="00A36284" w:rsidP="00095E4E">
      <w:pPr>
        <w:rPr>
          <w:rFonts w:asciiTheme="majorHAnsi" w:hAnsiTheme="majorHAnsi"/>
        </w:rPr>
      </w:pPr>
    </w:p>
    <w:p w:rsidR="00A36284" w:rsidRDefault="00A36284" w:rsidP="00095E4E">
      <w:pPr>
        <w:rPr>
          <w:rFonts w:asciiTheme="majorHAnsi" w:hAnsiTheme="majorHAnsi"/>
        </w:rPr>
      </w:pPr>
    </w:p>
    <w:p w:rsidR="00A36284" w:rsidRDefault="00A36284" w:rsidP="00095E4E">
      <w:pPr>
        <w:rPr>
          <w:rFonts w:asciiTheme="majorHAnsi" w:hAnsiTheme="majorHAnsi"/>
        </w:rPr>
      </w:pPr>
    </w:p>
    <w:p w:rsidR="00A36284" w:rsidRDefault="00A36284" w:rsidP="00095E4E">
      <w:pPr>
        <w:rPr>
          <w:rFonts w:asciiTheme="majorHAnsi" w:hAnsiTheme="majorHAnsi"/>
        </w:rPr>
      </w:pPr>
    </w:p>
    <w:p w:rsidR="00A36284" w:rsidRDefault="00A36284" w:rsidP="00095E4E">
      <w:pPr>
        <w:rPr>
          <w:rFonts w:asciiTheme="majorHAnsi" w:hAnsiTheme="majorHAnsi"/>
        </w:rPr>
      </w:pPr>
    </w:p>
    <w:p w:rsidR="005831D5" w:rsidRPr="00985BD8" w:rsidRDefault="005831D5" w:rsidP="00AB1FCB">
      <w:pPr>
        <w:rPr>
          <w:rFonts w:asciiTheme="majorHAnsi" w:hAnsiTheme="majorHAnsi"/>
        </w:rPr>
      </w:pPr>
    </w:p>
    <w:tbl>
      <w:tblPr>
        <w:tblW w:w="16935" w:type="dxa"/>
        <w:tblInd w:w="93" w:type="dxa"/>
        <w:tblLook w:val="04A0" w:firstRow="1" w:lastRow="0" w:firstColumn="1" w:lastColumn="0" w:noHBand="0" w:noVBand="1"/>
      </w:tblPr>
      <w:tblGrid>
        <w:gridCol w:w="16935"/>
      </w:tblGrid>
      <w:tr w:rsidR="00687E91" w:rsidRPr="00687E91" w:rsidTr="00687E91">
        <w:trPr>
          <w:trHeight w:val="280"/>
        </w:trPr>
        <w:tc>
          <w:tcPr>
            <w:tcW w:w="16935" w:type="dxa"/>
            <w:tcBorders>
              <w:top w:val="single" w:sz="4" w:space="0" w:color="auto"/>
              <w:left w:val="single" w:sz="4" w:space="0" w:color="auto"/>
              <w:bottom w:val="single" w:sz="4" w:space="0" w:color="auto"/>
              <w:right w:val="single" w:sz="4" w:space="0" w:color="auto"/>
            </w:tcBorders>
            <w:shd w:val="clear" w:color="000000" w:fill="C4D79B"/>
            <w:hideMark/>
          </w:tcPr>
          <w:p w:rsidR="00687E91" w:rsidRPr="00687E91" w:rsidRDefault="00687E91" w:rsidP="00687E91">
            <w:pPr>
              <w:rPr>
                <w:rFonts w:ascii="Calibri" w:eastAsia="Times New Roman" w:hAnsi="Calibri" w:cs="Times New Roman"/>
                <w:b/>
                <w:bCs/>
                <w:color w:val="000000"/>
                <w:sz w:val="22"/>
                <w:szCs w:val="22"/>
                <w:u w:val="single"/>
              </w:rPr>
            </w:pPr>
            <w:r w:rsidRPr="00687E91">
              <w:rPr>
                <w:rFonts w:ascii="Calibri" w:eastAsia="Times New Roman" w:hAnsi="Calibri" w:cs="Times New Roman"/>
                <w:b/>
                <w:bCs/>
                <w:color w:val="000000"/>
                <w:sz w:val="22"/>
                <w:szCs w:val="22"/>
                <w:u w:val="single"/>
              </w:rPr>
              <w:lastRenderedPageBreak/>
              <w:t>Engage Consumers and Families in their own health &amp; health care</w:t>
            </w:r>
          </w:p>
        </w:tc>
      </w:tr>
      <w:tr w:rsidR="00687E91" w:rsidRPr="00687E91" w:rsidTr="00687E91">
        <w:trPr>
          <w:trHeight w:val="2870"/>
        </w:trPr>
        <w:tc>
          <w:tcPr>
            <w:tcW w:w="16935" w:type="dxa"/>
            <w:tcBorders>
              <w:top w:val="nil"/>
              <w:left w:val="single" w:sz="4" w:space="0" w:color="auto"/>
              <w:bottom w:val="single" w:sz="4" w:space="0" w:color="auto"/>
              <w:right w:val="single" w:sz="4" w:space="0" w:color="auto"/>
            </w:tcBorders>
            <w:shd w:val="clear" w:color="000000" w:fill="F2F2F2"/>
            <w:hideMark/>
          </w:tcPr>
          <w:p w:rsidR="00687E91" w:rsidRPr="00687E91" w:rsidRDefault="00687E91" w:rsidP="00687E91">
            <w:pPr>
              <w:rPr>
                <w:rFonts w:ascii="Calibri" w:eastAsia="Times New Roman" w:hAnsi="Calibri" w:cs="Times New Roman"/>
                <w:b/>
                <w:bCs/>
                <w:color w:val="000000"/>
                <w:sz w:val="22"/>
                <w:szCs w:val="22"/>
                <w:u w:val="single"/>
              </w:rPr>
            </w:pPr>
            <w:r w:rsidRPr="00687E91">
              <w:rPr>
                <w:rFonts w:ascii="Calibri" w:eastAsia="Times New Roman" w:hAnsi="Calibri" w:cs="Times New Roman"/>
                <w:b/>
                <w:bCs/>
                <w:color w:val="000000"/>
                <w:sz w:val="22"/>
                <w:szCs w:val="22"/>
                <w:u w:val="single"/>
              </w:rPr>
              <w:t xml:space="preserve">Ability for consumers to aggregate data from multiple sources (e.g. different portals, wearables, </w:t>
            </w:r>
            <w:proofErr w:type="spellStart"/>
            <w:r w:rsidRPr="00687E91">
              <w:rPr>
                <w:rFonts w:ascii="Calibri" w:eastAsia="Times New Roman" w:hAnsi="Calibri" w:cs="Times New Roman"/>
                <w:b/>
                <w:bCs/>
                <w:color w:val="000000"/>
                <w:sz w:val="22"/>
                <w:szCs w:val="22"/>
                <w:u w:val="single"/>
              </w:rPr>
              <w:t>eVisits</w:t>
            </w:r>
            <w:proofErr w:type="spellEnd"/>
            <w:r w:rsidRPr="00687E91">
              <w:rPr>
                <w:rFonts w:ascii="Calibri" w:eastAsia="Times New Roman" w:hAnsi="Calibri" w:cs="Times New Roman"/>
                <w:b/>
                <w:bCs/>
                <w:color w:val="000000"/>
                <w:sz w:val="22"/>
                <w:szCs w:val="22"/>
                <w:u w:val="single"/>
              </w:rPr>
              <w:t xml:space="preserve">, etc.): </w:t>
            </w:r>
            <w:r w:rsidRPr="00687E91">
              <w:rPr>
                <w:rFonts w:ascii="Calibri" w:eastAsia="Times New Roman" w:hAnsi="Calibri" w:cs="Times New Roman"/>
                <w:color w:val="000000"/>
                <w:sz w:val="22"/>
                <w:szCs w:val="22"/>
              </w:rPr>
              <w:t>This concept is not clearly reflected in the plan for consumers.  We are concerned that consumers will now have many portals that don’t connect as a result of federal policy. Too many portals with too many passwords to memorize may lead to a lack of consumer engagement around these tools.   In addition, consumers are generating health care data outside their care team that their providers need to deliver safe, high quality care:  consumer-oriented services such as multiple apps, urgent care clinics, retail clinics potentially could increase fragmentation.  Patients and family caregivers need the ability to pull data together in one place and share relevant data seamlessly and efficiently with the care team.  ONC should consider this under Objective 4A and under 2A (page 14) and reference it under Obj</w:t>
            </w:r>
            <w:r w:rsidR="00B45E00">
              <w:rPr>
                <w:rFonts w:ascii="Calibri" w:eastAsia="Times New Roman" w:hAnsi="Calibri" w:cs="Times New Roman"/>
                <w:color w:val="000000"/>
                <w:sz w:val="22"/>
                <w:szCs w:val="22"/>
              </w:rPr>
              <w:t>ective</w:t>
            </w:r>
            <w:r w:rsidRPr="00687E91">
              <w:rPr>
                <w:rFonts w:ascii="Calibri" w:eastAsia="Times New Roman" w:hAnsi="Calibri" w:cs="Times New Roman"/>
                <w:color w:val="000000"/>
                <w:sz w:val="22"/>
                <w:szCs w:val="22"/>
              </w:rPr>
              <w:t xml:space="preserve"> 3A - in other words, expanded use of health IT should not just focus on providers but include consumers as well.  It should in fact </w:t>
            </w:r>
            <w:r w:rsidR="00B45E00" w:rsidRPr="00687E91">
              <w:rPr>
                <w:rFonts w:ascii="Calibri" w:eastAsia="Times New Roman" w:hAnsi="Calibri" w:cs="Times New Roman"/>
                <w:color w:val="000000"/>
                <w:sz w:val="22"/>
                <w:szCs w:val="22"/>
              </w:rPr>
              <w:t>support partnership</w:t>
            </w:r>
            <w:r w:rsidRPr="00687E91">
              <w:rPr>
                <w:rFonts w:ascii="Calibri" w:eastAsia="Times New Roman" w:hAnsi="Calibri" w:cs="Times New Roman"/>
                <w:color w:val="000000"/>
                <w:sz w:val="22"/>
                <w:szCs w:val="22"/>
              </w:rPr>
              <w:t xml:space="preserve"> between consumers and providers, since consumers are the common denominator across all health care encounters and thus have the most knowledge of their data sources.  Further, Objective 2A Strategy 5 should include consumers as well – not just health providers and payers. However, consumer-driven aggregation needs serious consideration in terms of where this </w:t>
            </w:r>
            <w:r w:rsidR="00B45E00" w:rsidRPr="00687E91">
              <w:rPr>
                <w:rFonts w:ascii="Calibri" w:eastAsia="Times New Roman" w:hAnsi="Calibri" w:cs="Times New Roman"/>
                <w:color w:val="000000"/>
                <w:sz w:val="22"/>
                <w:szCs w:val="22"/>
              </w:rPr>
              <w:t>aggregation occurs</w:t>
            </w:r>
            <w:r w:rsidRPr="00687E91">
              <w:rPr>
                <w:rFonts w:ascii="Calibri" w:eastAsia="Times New Roman" w:hAnsi="Calibri" w:cs="Times New Roman"/>
                <w:color w:val="000000"/>
                <w:sz w:val="22"/>
                <w:szCs w:val="22"/>
              </w:rPr>
              <w:t>, e.g., in provider-controlled or consumer-controlled spaces.  Such aggregation also raises the privacy and security issues and, as discussed elsewhere, if the aggregation takes place in private entity/consumer space, it entails a different and less robust regulatory framework.  Please see our comments in the privacy section.</w:t>
            </w:r>
          </w:p>
        </w:tc>
      </w:tr>
      <w:tr w:rsidR="00687E91" w:rsidRPr="00687E91" w:rsidTr="00B45E00">
        <w:trPr>
          <w:trHeight w:val="2240"/>
        </w:trPr>
        <w:tc>
          <w:tcPr>
            <w:tcW w:w="16935" w:type="dxa"/>
            <w:tcBorders>
              <w:top w:val="nil"/>
              <w:left w:val="single" w:sz="4" w:space="0" w:color="auto"/>
              <w:bottom w:val="single" w:sz="4" w:space="0" w:color="auto"/>
              <w:right w:val="single" w:sz="4" w:space="0" w:color="auto"/>
            </w:tcBorders>
            <w:shd w:val="clear" w:color="000000" w:fill="F2F2F2"/>
            <w:hideMark/>
          </w:tcPr>
          <w:p w:rsidR="00687E91" w:rsidRPr="00687E91" w:rsidRDefault="00687E91" w:rsidP="00B45E00">
            <w:pPr>
              <w:rPr>
                <w:rFonts w:ascii="Calibri" w:eastAsia="Times New Roman" w:hAnsi="Calibri" w:cs="Times New Roman"/>
                <w:b/>
                <w:bCs/>
                <w:color w:val="000000"/>
                <w:sz w:val="22"/>
                <w:szCs w:val="22"/>
                <w:u w:val="single"/>
              </w:rPr>
            </w:pPr>
            <w:r w:rsidRPr="00687E91">
              <w:rPr>
                <w:rFonts w:ascii="Calibri" w:eastAsia="Times New Roman" w:hAnsi="Calibri" w:cs="Times New Roman"/>
                <w:b/>
                <w:bCs/>
                <w:color w:val="000000"/>
                <w:sz w:val="22"/>
                <w:szCs w:val="22"/>
                <w:u w:val="single"/>
              </w:rPr>
              <w:t>Portal usability and design for consumers (to advance a wide array of functions consumers care about):</w:t>
            </w:r>
            <w:r w:rsidRPr="00687E91">
              <w:rPr>
                <w:rFonts w:ascii="Calibri" w:eastAsia="Times New Roman" w:hAnsi="Calibri" w:cs="Times New Roman"/>
                <w:color w:val="000000"/>
                <w:sz w:val="22"/>
                <w:szCs w:val="22"/>
              </w:rPr>
              <w:t xml:space="preserve"> Making consumer-facing health IT such as portals more user-friendly for consumers and more functional for both consumers and providers is part of creating person-centered care and belongs in Goal 4 as well as Goal 1, Obj</w:t>
            </w:r>
            <w:r w:rsidR="00B45E00">
              <w:rPr>
                <w:rFonts w:ascii="Calibri" w:eastAsia="Times New Roman" w:hAnsi="Calibri" w:cs="Times New Roman"/>
                <w:color w:val="000000"/>
                <w:sz w:val="22"/>
                <w:szCs w:val="22"/>
              </w:rPr>
              <w:t>ective</w:t>
            </w:r>
            <w:r w:rsidRPr="00687E91">
              <w:rPr>
                <w:rFonts w:ascii="Calibri" w:eastAsia="Times New Roman" w:hAnsi="Calibri" w:cs="Times New Roman"/>
                <w:color w:val="000000"/>
                <w:sz w:val="22"/>
                <w:szCs w:val="22"/>
              </w:rPr>
              <w:t xml:space="preserve"> A  (increasing adoption) and Goal 3, Obj</w:t>
            </w:r>
            <w:r w:rsidR="00B45E00">
              <w:rPr>
                <w:rFonts w:ascii="Calibri" w:eastAsia="Times New Roman" w:hAnsi="Calibri" w:cs="Times New Roman"/>
                <w:color w:val="000000"/>
                <w:sz w:val="22"/>
                <w:szCs w:val="22"/>
              </w:rPr>
              <w:t>ective</w:t>
            </w:r>
            <w:r w:rsidRPr="00687E91">
              <w:rPr>
                <w:rFonts w:ascii="Calibri" w:eastAsia="Times New Roman" w:hAnsi="Calibri" w:cs="Times New Roman"/>
                <w:color w:val="000000"/>
                <w:sz w:val="22"/>
                <w:szCs w:val="22"/>
              </w:rPr>
              <w:t xml:space="preserve"> A (improving access and experience).  ONC should also include an explicit emphasis on consumer-facing products under Objective 1B, Strategy 3 which focuses on user centered design, health literacy and more.  ONC </w:t>
            </w:r>
            <w:r w:rsidR="00B45E00" w:rsidRPr="00687E91">
              <w:rPr>
                <w:rFonts w:ascii="Calibri" w:eastAsia="Times New Roman" w:hAnsi="Calibri" w:cs="Times New Roman"/>
                <w:color w:val="000000"/>
                <w:sz w:val="22"/>
                <w:szCs w:val="22"/>
              </w:rPr>
              <w:t>should consider</w:t>
            </w:r>
            <w:r w:rsidRPr="00687E91">
              <w:rPr>
                <w:rFonts w:ascii="Calibri" w:eastAsia="Times New Roman" w:hAnsi="Calibri" w:cs="Times New Roman"/>
                <w:color w:val="000000"/>
                <w:sz w:val="22"/>
                <w:szCs w:val="22"/>
              </w:rPr>
              <w:t xml:space="preserve"> ways to incentivize the development of needed features for consumers such as use of plain language and languages other than English, accessibility for people with disabilities, health IT literacy, etc.  It may be worth exploring how to incentivize user-centered design, participatory research and potentially certification for consumer-facing health IT so that consumers, patients, and caregivers are involved at every stage, from concept to launch and evaluation.  However</w:t>
            </w:r>
            <w:r w:rsidR="00B45E00" w:rsidRPr="00687E91">
              <w:rPr>
                <w:rFonts w:ascii="Calibri" w:eastAsia="Times New Roman" w:hAnsi="Calibri" w:cs="Times New Roman"/>
                <w:color w:val="000000"/>
                <w:sz w:val="22"/>
                <w:szCs w:val="22"/>
              </w:rPr>
              <w:t>, ONC</w:t>
            </w:r>
            <w:r w:rsidRPr="00687E91">
              <w:rPr>
                <w:rFonts w:ascii="Calibri" w:eastAsia="Times New Roman" w:hAnsi="Calibri" w:cs="Times New Roman"/>
                <w:color w:val="000000"/>
                <w:sz w:val="22"/>
                <w:szCs w:val="22"/>
              </w:rPr>
              <w:t xml:space="preserve"> should carefully explore the intended and unintended consequences of such certification.  In addition, ONC should monitor portal implementation from consumer perspectives, particularly as we hear examples of providers charging patients extra fees for the use of portal features that are more advanced.  </w:t>
            </w:r>
          </w:p>
        </w:tc>
      </w:tr>
      <w:tr w:rsidR="00687E91" w:rsidRPr="00687E91" w:rsidTr="00B45E00">
        <w:trPr>
          <w:trHeight w:val="1439"/>
        </w:trPr>
        <w:tc>
          <w:tcPr>
            <w:tcW w:w="16935" w:type="dxa"/>
            <w:tcBorders>
              <w:top w:val="nil"/>
              <w:left w:val="single" w:sz="4" w:space="0" w:color="auto"/>
              <w:bottom w:val="single" w:sz="4" w:space="0" w:color="auto"/>
              <w:right w:val="single" w:sz="4" w:space="0" w:color="auto"/>
            </w:tcBorders>
            <w:shd w:val="clear" w:color="000000" w:fill="F2F2F2"/>
            <w:hideMark/>
          </w:tcPr>
          <w:p w:rsidR="00687E91" w:rsidRPr="00687E91" w:rsidRDefault="00687E91" w:rsidP="00B45E00">
            <w:pPr>
              <w:rPr>
                <w:rFonts w:ascii="Calibri" w:eastAsia="Times New Roman" w:hAnsi="Calibri" w:cs="Times New Roman"/>
                <w:b/>
                <w:bCs/>
                <w:color w:val="000000"/>
                <w:sz w:val="22"/>
                <w:szCs w:val="22"/>
                <w:u w:val="single"/>
              </w:rPr>
            </w:pPr>
            <w:r w:rsidRPr="00687E91">
              <w:rPr>
                <w:rFonts w:ascii="Calibri" w:eastAsia="Times New Roman" w:hAnsi="Calibri" w:cs="Times New Roman"/>
                <w:b/>
                <w:bCs/>
                <w:color w:val="000000"/>
                <w:sz w:val="22"/>
                <w:szCs w:val="22"/>
                <w:u w:val="single"/>
              </w:rPr>
              <w:t>Access to health information thru mobile devices (</w:t>
            </w:r>
            <w:proofErr w:type="spellStart"/>
            <w:r w:rsidRPr="00687E91">
              <w:rPr>
                <w:rFonts w:ascii="Calibri" w:eastAsia="Times New Roman" w:hAnsi="Calibri" w:cs="Times New Roman"/>
                <w:b/>
                <w:bCs/>
                <w:color w:val="000000"/>
                <w:sz w:val="22"/>
                <w:szCs w:val="22"/>
                <w:u w:val="single"/>
              </w:rPr>
              <w:t>mHealth</w:t>
            </w:r>
            <w:proofErr w:type="spellEnd"/>
            <w:r w:rsidRPr="00687E91">
              <w:rPr>
                <w:rFonts w:ascii="Calibri" w:eastAsia="Times New Roman" w:hAnsi="Calibri" w:cs="Times New Roman"/>
                <w:b/>
                <w:bCs/>
                <w:color w:val="000000"/>
                <w:sz w:val="22"/>
                <w:szCs w:val="22"/>
                <w:u w:val="single"/>
              </w:rPr>
              <w:t xml:space="preserve">): </w:t>
            </w:r>
            <w:r w:rsidRPr="00687E91">
              <w:rPr>
                <w:rFonts w:ascii="Calibri" w:eastAsia="Times New Roman" w:hAnsi="Calibri" w:cs="Times New Roman"/>
                <w:color w:val="000000"/>
                <w:sz w:val="22"/>
                <w:szCs w:val="22"/>
              </w:rPr>
              <w:t>We assume increasing individuals’ ability to access health information (p</w:t>
            </w:r>
            <w:r w:rsidR="00B45E00">
              <w:rPr>
                <w:rFonts w:ascii="Calibri" w:eastAsia="Times New Roman" w:hAnsi="Calibri" w:cs="Times New Roman"/>
                <w:color w:val="000000"/>
                <w:sz w:val="22"/>
                <w:szCs w:val="22"/>
              </w:rPr>
              <w:t>a</w:t>
            </w:r>
            <w:r w:rsidRPr="00687E91">
              <w:rPr>
                <w:rFonts w:ascii="Calibri" w:eastAsia="Times New Roman" w:hAnsi="Calibri" w:cs="Times New Roman"/>
                <w:color w:val="000000"/>
                <w:sz w:val="22"/>
                <w:szCs w:val="22"/>
              </w:rPr>
              <w:t>g</w:t>
            </w:r>
            <w:r w:rsidR="00B45E00">
              <w:rPr>
                <w:rFonts w:ascii="Calibri" w:eastAsia="Times New Roman" w:hAnsi="Calibri" w:cs="Times New Roman"/>
                <w:color w:val="000000"/>
                <w:sz w:val="22"/>
                <w:szCs w:val="22"/>
              </w:rPr>
              <w:t>e</w:t>
            </w:r>
            <w:r w:rsidRPr="00687E91">
              <w:rPr>
                <w:rFonts w:ascii="Calibri" w:eastAsia="Times New Roman" w:hAnsi="Calibri" w:cs="Times New Roman"/>
                <w:color w:val="000000"/>
                <w:sz w:val="22"/>
                <w:szCs w:val="22"/>
              </w:rPr>
              <w:t xml:space="preserve"> 22) would include a clear emphasis on mobile technologies and smart phones but ONC should clarify this under Obj</w:t>
            </w:r>
            <w:r w:rsidR="00B45E00">
              <w:rPr>
                <w:rFonts w:ascii="Calibri" w:eastAsia="Times New Roman" w:hAnsi="Calibri" w:cs="Times New Roman"/>
                <w:color w:val="000000"/>
                <w:sz w:val="22"/>
                <w:szCs w:val="22"/>
              </w:rPr>
              <w:t>ective</w:t>
            </w:r>
            <w:r w:rsidRPr="00687E91">
              <w:rPr>
                <w:rFonts w:ascii="Calibri" w:eastAsia="Times New Roman" w:hAnsi="Calibri" w:cs="Times New Roman"/>
                <w:color w:val="000000"/>
                <w:sz w:val="22"/>
                <w:szCs w:val="22"/>
              </w:rPr>
              <w:t xml:space="preserve"> 4A. It is not specifically mentioned in 4A but it is in Obj</w:t>
            </w:r>
            <w:r w:rsidR="00B45E00">
              <w:rPr>
                <w:rFonts w:ascii="Calibri" w:eastAsia="Times New Roman" w:hAnsi="Calibri" w:cs="Times New Roman"/>
                <w:color w:val="000000"/>
                <w:sz w:val="22"/>
                <w:szCs w:val="22"/>
              </w:rPr>
              <w:t>ective</w:t>
            </w:r>
            <w:r w:rsidRPr="00687E91">
              <w:rPr>
                <w:rFonts w:ascii="Calibri" w:eastAsia="Times New Roman" w:hAnsi="Calibri" w:cs="Times New Roman"/>
                <w:color w:val="000000"/>
                <w:sz w:val="22"/>
                <w:szCs w:val="22"/>
              </w:rPr>
              <w:t xml:space="preserve"> 1A, Strategy 4 (adoption) and in Obj</w:t>
            </w:r>
            <w:r w:rsidR="00B45E00">
              <w:rPr>
                <w:rFonts w:ascii="Calibri" w:eastAsia="Times New Roman" w:hAnsi="Calibri" w:cs="Times New Roman"/>
                <w:color w:val="000000"/>
                <w:sz w:val="22"/>
                <w:szCs w:val="22"/>
              </w:rPr>
              <w:t>ective</w:t>
            </w:r>
            <w:r w:rsidRPr="00687E91">
              <w:rPr>
                <w:rFonts w:ascii="Calibri" w:eastAsia="Times New Roman" w:hAnsi="Calibri" w:cs="Times New Roman"/>
                <w:color w:val="000000"/>
                <w:sz w:val="22"/>
                <w:szCs w:val="22"/>
              </w:rPr>
              <w:t xml:space="preserve"> 3A, Strategy 1 on pag</w:t>
            </w:r>
            <w:r w:rsidRPr="00687E91">
              <w:rPr>
                <w:rFonts w:ascii="Calibri" w:eastAsia="Times New Roman" w:hAnsi="Calibri" w:cs="Times New Roman"/>
                <w:sz w:val="22"/>
                <w:szCs w:val="22"/>
              </w:rPr>
              <w:t xml:space="preserve">e 18 (incorporation into federal programs).  ONC should focus in not only ways it can increase individuals' access to health information via mobile devices, but also increasing their ability to contribute, share and manage their health information on mobile platforms. We support consideration of appropriate payment for </w:t>
            </w:r>
            <w:proofErr w:type="spellStart"/>
            <w:r w:rsidRPr="00687E91">
              <w:rPr>
                <w:rFonts w:ascii="Calibri" w:eastAsia="Times New Roman" w:hAnsi="Calibri" w:cs="Times New Roman"/>
                <w:sz w:val="22"/>
                <w:szCs w:val="22"/>
              </w:rPr>
              <w:t>mHealth</w:t>
            </w:r>
            <w:proofErr w:type="spellEnd"/>
            <w:r w:rsidRPr="00687E91">
              <w:rPr>
                <w:rFonts w:ascii="Calibri" w:eastAsia="Times New Roman" w:hAnsi="Calibri" w:cs="Times New Roman"/>
                <w:sz w:val="22"/>
                <w:szCs w:val="22"/>
              </w:rPr>
              <w:t xml:space="preserve"> and </w:t>
            </w:r>
            <w:proofErr w:type="spellStart"/>
            <w:r w:rsidRPr="00687E91">
              <w:rPr>
                <w:rFonts w:ascii="Calibri" w:eastAsia="Times New Roman" w:hAnsi="Calibri" w:cs="Times New Roman"/>
                <w:sz w:val="22"/>
                <w:szCs w:val="22"/>
              </w:rPr>
              <w:t>telehealth</w:t>
            </w:r>
            <w:proofErr w:type="spellEnd"/>
            <w:r w:rsidRPr="00687E91">
              <w:rPr>
                <w:rFonts w:ascii="Calibri" w:eastAsia="Times New Roman" w:hAnsi="Calibri" w:cs="Times New Roman"/>
                <w:sz w:val="22"/>
                <w:szCs w:val="22"/>
              </w:rPr>
              <w:t xml:space="preserve">.  Overall, the area of </w:t>
            </w:r>
            <w:proofErr w:type="spellStart"/>
            <w:r w:rsidRPr="00687E91">
              <w:rPr>
                <w:rFonts w:ascii="Calibri" w:eastAsia="Times New Roman" w:hAnsi="Calibri" w:cs="Times New Roman"/>
                <w:sz w:val="22"/>
                <w:szCs w:val="22"/>
              </w:rPr>
              <w:t>mHealth</w:t>
            </w:r>
            <w:proofErr w:type="spellEnd"/>
            <w:r w:rsidRPr="00687E91">
              <w:rPr>
                <w:rFonts w:ascii="Calibri" w:eastAsia="Times New Roman" w:hAnsi="Calibri" w:cs="Times New Roman"/>
                <w:sz w:val="22"/>
                <w:szCs w:val="22"/>
              </w:rPr>
              <w:t xml:space="preserve"> should be more clearly defined.  We are glad to see the emphasis on </w:t>
            </w:r>
            <w:proofErr w:type="spellStart"/>
            <w:r w:rsidRPr="00687E91">
              <w:rPr>
                <w:rFonts w:ascii="Calibri" w:eastAsia="Times New Roman" w:hAnsi="Calibri" w:cs="Times New Roman"/>
                <w:sz w:val="22"/>
                <w:szCs w:val="22"/>
              </w:rPr>
              <w:t>mHealth</w:t>
            </w:r>
            <w:proofErr w:type="spellEnd"/>
            <w:r w:rsidRPr="00687E91">
              <w:rPr>
                <w:rFonts w:ascii="Calibri" w:eastAsia="Times New Roman" w:hAnsi="Calibri" w:cs="Times New Roman"/>
                <w:sz w:val="22"/>
                <w:szCs w:val="22"/>
              </w:rPr>
              <w:t xml:space="preserve"> security in Objective 5B Strategy 2.   </w:t>
            </w:r>
          </w:p>
        </w:tc>
      </w:tr>
      <w:tr w:rsidR="00687E91" w:rsidRPr="00687E91" w:rsidTr="00F230AD">
        <w:trPr>
          <w:trHeight w:val="1610"/>
        </w:trPr>
        <w:tc>
          <w:tcPr>
            <w:tcW w:w="16935" w:type="dxa"/>
            <w:tcBorders>
              <w:top w:val="nil"/>
              <w:left w:val="single" w:sz="4" w:space="0" w:color="auto"/>
              <w:bottom w:val="single" w:sz="4" w:space="0" w:color="auto"/>
              <w:right w:val="single" w:sz="4" w:space="0" w:color="auto"/>
            </w:tcBorders>
            <w:shd w:val="clear" w:color="000000" w:fill="F2F2F2"/>
            <w:hideMark/>
          </w:tcPr>
          <w:p w:rsidR="00687E91" w:rsidRPr="00687E91" w:rsidRDefault="00687E91" w:rsidP="00B45E00">
            <w:pPr>
              <w:rPr>
                <w:rFonts w:ascii="Calibri" w:eastAsia="Times New Roman" w:hAnsi="Calibri" w:cs="Times New Roman"/>
                <w:sz w:val="22"/>
                <w:szCs w:val="22"/>
              </w:rPr>
            </w:pPr>
            <w:r w:rsidRPr="00687E91">
              <w:rPr>
                <w:rFonts w:ascii="Calibri" w:eastAsia="Times New Roman" w:hAnsi="Calibri" w:cs="Times New Roman"/>
                <w:b/>
                <w:bCs/>
                <w:sz w:val="22"/>
                <w:szCs w:val="22"/>
                <w:u w:val="single"/>
              </w:rPr>
              <w:t xml:space="preserve">Addressing digital divide at consumer level: </w:t>
            </w:r>
            <w:r w:rsidRPr="00687E91">
              <w:rPr>
                <w:rFonts w:ascii="Calibri" w:eastAsia="Times New Roman" w:hAnsi="Calibri" w:cs="Times New Roman"/>
                <w:sz w:val="22"/>
                <w:szCs w:val="22"/>
              </w:rPr>
              <w:t>We are pleased to see an emphasis on improving broadband.  We also encourage ONC to track rates of Smartphone adoption/use and consider policies that enable vulnerable populations to effectively use their health information as needed on this platform (e.g., considering cost of data, cell plans, etc</w:t>
            </w:r>
            <w:r w:rsidR="00B45E00">
              <w:rPr>
                <w:rFonts w:ascii="Calibri" w:eastAsia="Times New Roman" w:hAnsi="Calibri" w:cs="Times New Roman"/>
                <w:sz w:val="22"/>
                <w:szCs w:val="22"/>
              </w:rPr>
              <w:t>.</w:t>
            </w:r>
            <w:r w:rsidRPr="00687E91">
              <w:rPr>
                <w:rFonts w:ascii="Calibri" w:eastAsia="Times New Roman" w:hAnsi="Calibri" w:cs="Times New Roman"/>
                <w:sz w:val="22"/>
                <w:szCs w:val="22"/>
              </w:rPr>
              <w:t xml:space="preserve"> for financially vulnerable individuals).  Further, ONC should create outcomes that focus on equity and strategies that help address health disparities. Strat</w:t>
            </w:r>
            <w:r w:rsidR="00B45E00">
              <w:rPr>
                <w:rFonts w:ascii="Calibri" w:eastAsia="Times New Roman" w:hAnsi="Calibri" w:cs="Times New Roman"/>
                <w:sz w:val="22"/>
                <w:szCs w:val="22"/>
              </w:rPr>
              <w:t>egy</w:t>
            </w:r>
            <w:r w:rsidRPr="00687E91">
              <w:rPr>
                <w:rFonts w:ascii="Calibri" w:eastAsia="Times New Roman" w:hAnsi="Calibri" w:cs="Times New Roman"/>
                <w:sz w:val="22"/>
                <w:szCs w:val="22"/>
              </w:rPr>
              <w:t xml:space="preserve"> Plan Location: Goal 1C, strategy 1,</w:t>
            </w:r>
            <w:r w:rsidR="00B45E00">
              <w:rPr>
                <w:rFonts w:ascii="Calibri" w:eastAsia="Times New Roman" w:hAnsi="Calibri" w:cs="Times New Roman"/>
                <w:sz w:val="22"/>
                <w:szCs w:val="22"/>
              </w:rPr>
              <w:t xml:space="preserve"> </w:t>
            </w:r>
            <w:r w:rsidRPr="00687E91">
              <w:rPr>
                <w:rFonts w:ascii="Calibri" w:eastAsia="Times New Roman" w:hAnsi="Calibri" w:cs="Times New Roman"/>
                <w:sz w:val="22"/>
                <w:szCs w:val="22"/>
              </w:rPr>
              <w:t>2 and 3. Along with more access to m</w:t>
            </w:r>
            <w:r w:rsidR="00B45E00">
              <w:rPr>
                <w:rFonts w:ascii="Calibri" w:eastAsia="Times New Roman" w:hAnsi="Calibri" w:cs="Times New Roman"/>
                <w:sz w:val="22"/>
                <w:szCs w:val="22"/>
              </w:rPr>
              <w:t>obile devices and to broadband,</w:t>
            </w:r>
            <w:r w:rsidRPr="00687E91">
              <w:rPr>
                <w:rFonts w:ascii="Calibri" w:eastAsia="Times New Roman" w:hAnsi="Calibri" w:cs="Times New Roman"/>
                <w:sz w:val="22"/>
                <w:szCs w:val="22"/>
              </w:rPr>
              <w:t xml:space="preserve"> the strategic plan should also incorporate incentivizing community health practitioners and local leadership to provide access</w:t>
            </w:r>
            <w:r w:rsidR="00B45E00">
              <w:rPr>
                <w:rFonts w:ascii="Calibri" w:eastAsia="Times New Roman" w:hAnsi="Calibri" w:cs="Times New Roman"/>
                <w:sz w:val="22"/>
                <w:szCs w:val="22"/>
              </w:rPr>
              <w:t>,</w:t>
            </w:r>
            <w:r w:rsidRPr="00687E91">
              <w:rPr>
                <w:rFonts w:ascii="Calibri" w:eastAsia="Times New Roman" w:hAnsi="Calibri" w:cs="Times New Roman"/>
                <w:sz w:val="22"/>
                <w:szCs w:val="22"/>
              </w:rPr>
              <w:t xml:space="preserve"> for example, through public space computers in FQHCs, libraries etc. </w:t>
            </w:r>
          </w:p>
        </w:tc>
      </w:tr>
      <w:tr w:rsidR="00687E91" w:rsidRPr="00687E91" w:rsidTr="00B45E00">
        <w:trPr>
          <w:trHeight w:val="1439"/>
        </w:trPr>
        <w:tc>
          <w:tcPr>
            <w:tcW w:w="16935" w:type="dxa"/>
            <w:tcBorders>
              <w:top w:val="nil"/>
              <w:left w:val="single" w:sz="4" w:space="0" w:color="auto"/>
              <w:bottom w:val="single" w:sz="4" w:space="0" w:color="auto"/>
              <w:right w:val="single" w:sz="4" w:space="0" w:color="auto"/>
            </w:tcBorders>
            <w:shd w:val="clear" w:color="000000" w:fill="F2F2F2"/>
            <w:hideMark/>
          </w:tcPr>
          <w:p w:rsidR="00687E91" w:rsidRPr="00687E91" w:rsidRDefault="00687E91" w:rsidP="00687E91">
            <w:pPr>
              <w:rPr>
                <w:rFonts w:ascii="Calibri" w:eastAsia="Times New Roman" w:hAnsi="Calibri" w:cs="Times New Roman"/>
                <w:color w:val="000000"/>
                <w:sz w:val="22"/>
                <w:szCs w:val="22"/>
              </w:rPr>
            </w:pPr>
            <w:r w:rsidRPr="00687E91">
              <w:rPr>
                <w:rFonts w:ascii="Calibri" w:eastAsia="Times New Roman" w:hAnsi="Calibri" w:cs="Times New Roman"/>
                <w:b/>
                <w:bCs/>
                <w:color w:val="000000"/>
                <w:sz w:val="22"/>
                <w:szCs w:val="22"/>
                <w:u w:val="single"/>
              </w:rPr>
              <w:lastRenderedPageBreak/>
              <w:t xml:space="preserve">Health literacy, clear communications: </w:t>
            </w:r>
            <w:r w:rsidRPr="00687E91">
              <w:rPr>
                <w:rFonts w:ascii="Calibri" w:eastAsia="Times New Roman" w:hAnsi="Calibri" w:cs="Times New Roman"/>
                <w:color w:val="000000"/>
                <w:sz w:val="22"/>
                <w:szCs w:val="22"/>
              </w:rPr>
              <w:t xml:space="preserve"> We strongly support Objective 1B, Strategy 3 as well as Objective </w:t>
            </w:r>
            <w:r w:rsidR="00B45E00" w:rsidRPr="00687E91">
              <w:rPr>
                <w:rFonts w:ascii="Calibri" w:eastAsia="Times New Roman" w:hAnsi="Calibri" w:cs="Times New Roman"/>
                <w:color w:val="000000"/>
                <w:sz w:val="22"/>
                <w:szCs w:val="22"/>
              </w:rPr>
              <w:t>3A Strategy</w:t>
            </w:r>
            <w:r w:rsidRPr="00687E91">
              <w:rPr>
                <w:rFonts w:ascii="Calibri" w:eastAsia="Times New Roman" w:hAnsi="Calibri" w:cs="Times New Roman"/>
                <w:color w:val="000000"/>
                <w:sz w:val="22"/>
                <w:szCs w:val="22"/>
              </w:rPr>
              <w:t xml:space="preserve"> 6 on pg. 18.  However, we also strongly believe the federal government should have 3 and 6 year outcomes related to improving health literacy.  Health literacy should also be included in Objective 3A. We also believe that health IT literacy for consumers is an important part of HIT usability and safety (Objective 1B) and a new strategy could be part of Objective 4A: “Education for consumers on Health IT concepts and tools."  As noted elsewhere, this would likely be done by leveraging ONC and CMS relationships with providers.</w:t>
            </w:r>
          </w:p>
        </w:tc>
      </w:tr>
      <w:tr w:rsidR="00687E91" w:rsidRPr="00687E91" w:rsidTr="00687E91">
        <w:trPr>
          <w:trHeight w:val="280"/>
        </w:trPr>
        <w:tc>
          <w:tcPr>
            <w:tcW w:w="16935" w:type="dxa"/>
            <w:tcBorders>
              <w:top w:val="nil"/>
              <w:left w:val="single" w:sz="4" w:space="0" w:color="auto"/>
              <w:bottom w:val="single" w:sz="4" w:space="0" w:color="auto"/>
              <w:right w:val="single" w:sz="4" w:space="0" w:color="auto"/>
            </w:tcBorders>
            <w:shd w:val="clear" w:color="000000" w:fill="C4D79B"/>
            <w:hideMark/>
          </w:tcPr>
          <w:p w:rsidR="00687E91" w:rsidRPr="00687E91" w:rsidRDefault="00687E91" w:rsidP="00A36284">
            <w:pPr>
              <w:rPr>
                <w:rFonts w:ascii="Calibri" w:eastAsia="Times New Roman" w:hAnsi="Calibri" w:cs="Times New Roman"/>
                <w:b/>
                <w:bCs/>
                <w:color w:val="000000"/>
                <w:sz w:val="22"/>
                <w:szCs w:val="22"/>
                <w:u w:val="single"/>
              </w:rPr>
            </w:pPr>
            <w:r w:rsidRPr="00687E91">
              <w:rPr>
                <w:rFonts w:ascii="Calibri" w:eastAsia="Times New Roman" w:hAnsi="Calibri" w:cs="Times New Roman"/>
                <w:b/>
                <w:bCs/>
                <w:color w:val="000000"/>
                <w:sz w:val="22"/>
                <w:szCs w:val="22"/>
                <w:u w:val="single"/>
              </w:rPr>
              <w:t>Enable partnerships supported by health IT</w:t>
            </w:r>
          </w:p>
        </w:tc>
      </w:tr>
      <w:tr w:rsidR="00687E91" w:rsidRPr="00687E91" w:rsidTr="00F230AD">
        <w:trPr>
          <w:trHeight w:val="2600"/>
        </w:trPr>
        <w:tc>
          <w:tcPr>
            <w:tcW w:w="16935" w:type="dxa"/>
            <w:tcBorders>
              <w:top w:val="nil"/>
              <w:left w:val="single" w:sz="4" w:space="0" w:color="auto"/>
              <w:bottom w:val="single" w:sz="4" w:space="0" w:color="auto"/>
              <w:right w:val="single" w:sz="4" w:space="0" w:color="auto"/>
            </w:tcBorders>
            <w:shd w:val="clear" w:color="000000" w:fill="F2F2F2"/>
            <w:hideMark/>
          </w:tcPr>
          <w:p w:rsidR="00687E91" w:rsidRPr="00687E91" w:rsidRDefault="00687E91" w:rsidP="00687E91">
            <w:pPr>
              <w:rPr>
                <w:rFonts w:ascii="Calibri" w:eastAsia="Times New Roman" w:hAnsi="Calibri" w:cs="Times New Roman"/>
                <w:color w:val="000000"/>
                <w:sz w:val="22"/>
                <w:szCs w:val="22"/>
              </w:rPr>
            </w:pPr>
            <w:r w:rsidRPr="00687E91">
              <w:rPr>
                <w:rFonts w:ascii="Calibri" w:eastAsia="Times New Roman" w:hAnsi="Calibri" w:cs="Times New Roman"/>
                <w:b/>
                <w:bCs/>
                <w:color w:val="000000"/>
                <w:sz w:val="22"/>
                <w:szCs w:val="22"/>
                <w:u w:val="single"/>
              </w:rPr>
              <w:t xml:space="preserve">Patient Generated Health Data (PGHD): </w:t>
            </w:r>
            <w:r w:rsidRPr="00687E91">
              <w:rPr>
                <w:rFonts w:ascii="Calibri" w:eastAsia="Times New Roman" w:hAnsi="Calibri" w:cs="Times New Roman"/>
                <w:color w:val="000000"/>
                <w:sz w:val="22"/>
                <w:szCs w:val="22"/>
              </w:rPr>
              <w:t xml:space="preserve"> We strongly support Strategy 5 on pg. 18, as well as </w:t>
            </w:r>
            <w:r w:rsidR="00B45E00">
              <w:rPr>
                <w:rFonts w:ascii="Calibri" w:eastAsia="Times New Roman" w:hAnsi="Calibri" w:cs="Times New Roman"/>
                <w:color w:val="000000"/>
                <w:sz w:val="22"/>
                <w:szCs w:val="22"/>
              </w:rPr>
              <w:t>Objective</w:t>
            </w:r>
            <w:r w:rsidRPr="00687E91">
              <w:rPr>
                <w:rFonts w:ascii="Calibri" w:eastAsia="Times New Roman" w:hAnsi="Calibri" w:cs="Times New Roman"/>
                <w:color w:val="000000"/>
                <w:sz w:val="22"/>
                <w:szCs w:val="22"/>
              </w:rPr>
              <w:t xml:space="preserve"> 4A , Strategy 3 on page 22, although it is unclear how these strategies - both of which relate to PGHD - differ and why they are found in separate places.  Also, we are pleased to see an Outcome related to PHGD, but we suggest that the first 6 year Outcome in this </w:t>
            </w:r>
            <w:r w:rsidR="00B45E00" w:rsidRPr="00687E91">
              <w:rPr>
                <w:rFonts w:ascii="Calibri" w:eastAsia="Times New Roman" w:hAnsi="Calibri" w:cs="Times New Roman"/>
                <w:color w:val="000000"/>
                <w:sz w:val="22"/>
                <w:szCs w:val="22"/>
              </w:rPr>
              <w:t>Objective (</w:t>
            </w:r>
            <w:r w:rsidRPr="00687E91">
              <w:rPr>
                <w:rFonts w:ascii="Calibri" w:eastAsia="Times New Roman" w:hAnsi="Calibri" w:cs="Times New Roman"/>
                <w:color w:val="000000"/>
                <w:sz w:val="22"/>
                <w:szCs w:val="22"/>
              </w:rPr>
              <w:t>“Expand the ability…") should be a 3 year Outcome, not 6 year.  ONC has done previous work on this issue, and PGHD was proposed by the HITPC for MU3, indicating that this timeline can be accelerated</w:t>
            </w:r>
            <w:r w:rsidR="00B45E00">
              <w:rPr>
                <w:rFonts w:ascii="Calibri" w:eastAsia="Times New Roman" w:hAnsi="Calibri" w:cs="Times New Roman"/>
                <w:color w:val="000000"/>
                <w:sz w:val="22"/>
                <w:szCs w:val="22"/>
              </w:rPr>
              <w:t>.</w:t>
            </w:r>
            <w:r w:rsidRPr="00687E91">
              <w:rPr>
                <w:rFonts w:ascii="Calibri" w:eastAsia="Times New Roman" w:hAnsi="Calibri" w:cs="Times New Roman"/>
                <w:color w:val="000000"/>
                <w:sz w:val="22"/>
                <w:szCs w:val="22"/>
              </w:rPr>
              <w:t xml:space="preserve"> </w:t>
            </w:r>
            <w:r w:rsidRPr="00687E91">
              <w:rPr>
                <w:rFonts w:ascii="Calibri" w:eastAsia="Times New Roman" w:hAnsi="Calibri" w:cs="Times New Roman"/>
                <w:color w:val="FF0000"/>
                <w:sz w:val="22"/>
                <w:szCs w:val="22"/>
              </w:rPr>
              <w:t xml:space="preserve"> </w:t>
            </w:r>
            <w:r w:rsidRPr="00687E91">
              <w:rPr>
                <w:rFonts w:ascii="Calibri" w:eastAsia="Times New Roman" w:hAnsi="Calibri" w:cs="Times New Roman"/>
                <w:sz w:val="22"/>
                <w:szCs w:val="22"/>
              </w:rPr>
              <w:t xml:space="preserve">Other avenues for advancing PGHD could include: </w:t>
            </w:r>
            <w:r w:rsidRPr="00687E91">
              <w:rPr>
                <w:rFonts w:ascii="Calibri" w:eastAsia="Times New Roman" w:hAnsi="Calibri" w:cs="Times New Roman"/>
                <w:sz w:val="22"/>
                <w:szCs w:val="22"/>
              </w:rPr>
              <w:br/>
              <w:t>• 2B, 6-year outcome: Improving health IT’s ability to manage unstructured data has positive implications for facilitating collection and use of PGHD</w:t>
            </w:r>
            <w:r w:rsidRPr="00687E91">
              <w:rPr>
                <w:rFonts w:ascii="Calibri" w:eastAsia="Times New Roman" w:hAnsi="Calibri" w:cs="Times New Roman"/>
                <w:sz w:val="22"/>
                <w:szCs w:val="22"/>
              </w:rPr>
              <w:br/>
              <w:t>• 3A, Strategy 5: Collect and integrate PGHD as routine part of care supports and delivery.</w:t>
            </w:r>
            <w:r w:rsidRPr="00687E91">
              <w:rPr>
                <w:rFonts w:ascii="Calibri" w:eastAsia="Times New Roman" w:hAnsi="Calibri" w:cs="Times New Roman"/>
                <w:sz w:val="22"/>
                <w:szCs w:val="22"/>
              </w:rPr>
              <w:br/>
              <w:t>• 4A, Strategy 1: Corrections/amendments important but so are other kinds of PGHD (i.e., patient goals, caregiver status, etc.)</w:t>
            </w:r>
            <w:r w:rsidRPr="00687E91">
              <w:rPr>
                <w:rFonts w:ascii="Calibri" w:eastAsia="Times New Roman" w:hAnsi="Calibri" w:cs="Times New Roman"/>
                <w:sz w:val="22"/>
                <w:szCs w:val="22"/>
              </w:rPr>
              <w:br/>
              <w:t xml:space="preserve">• 4A, Strategy 3: Incorporating PGHD into medical records for use in treatment, other decisions is critical.  </w:t>
            </w:r>
            <w:r w:rsidRPr="00687E91">
              <w:rPr>
                <w:rFonts w:ascii="Calibri" w:eastAsia="Times New Roman" w:hAnsi="Calibri" w:cs="Times New Roman"/>
                <w:sz w:val="22"/>
                <w:szCs w:val="22"/>
              </w:rPr>
              <w:br/>
              <w:t>It may be necessary to define data standards for the transmission of PGHD from mobile devices to electronic health records.</w:t>
            </w:r>
          </w:p>
        </w:tc>
      </w:tr>
      <w:tr w:rsidR="00687E91" w:rsidRPr="00687E91" w:rsidTr="00B45E00">
        <w:trPr>
          <w:trHeight w:val="1439"/>
        </w:trPr>
        <w:tc>
          <w:tcPr>
            <w:tcW w:w="16935" w:type="dxa"/>
            <w:tcBorders>
              <w:top w:val="nil"/>
              <w:left w:val="single" w:sz="4" w:space="0" w:color="auto"/>
              <w:bottom w:val="single" w:sz="4" w:space="0" w:color="auto"/>
              <w:right w:val="single" w:sz="4" w:space="0" w:color="auto"/>
            </w:tcBorders>
            <w:shd w:val="clear" w:color="000000" w:fill="F2F2F2"/>
            <w:hideMark/>
          </w:tcPr>
          <w:p w:rsidR="00687E91" w:rsidRDefault="00687E91" w:rsidP="00687E91">
            <w:pPr>
              <w:rPr>
                <w:rFonts w:ascii="Calibri" w:eastAsia="Times New Roman" w:hAnsi="Calibri" w:cs="Times New Roman"/>
                <w:color w:val="FF0000"/>
                <w:sz w:val="22"/>
                <w:szCs w:val="22"/>
              </w:rPr>
            </w:pPr>
            <w:r w:rsidRPr="00687E91">
              <w:rPr>
                <w:rFonts w:ascii="Calibri" w:eastAsia="Times New Roman" w:hAnsi="Calibri" w:cs="Times New Roman"/>
                <w:b/>
                <w:bCs/>
                <w:color w:val="000000"/>
                <w:sz w:val="22"/>
                <w:szCs w:val="22"/>
                <w:u w:val="single"/>
              </w:rPr>
              <w:t xml:space="preserve">Person-centered (care) </w:t>
            </w:r>
            <w:r w:rsidR="00B45E00" w:rsidRPr="00687E91">
              <w:rPr>
                <w:rFonts w:ascii="Calibri" w:eastAsia="Times New Roman" w:hAnsi="Calibri" w:cs="Times New Roman"/>
                <w:b/>
                <w:bCs/>
                <w:color w:val="000000"/>
                <w:sz w:val="22"/>
                <w:szCs w:val="22"/>
                <w:u w:val="single"/>
              </w:rPr>
              <w:t>planning</w:t>
            </w:r>
            <w:r w:rsidR="00B45E00" w:rsidRPr="00687E91">
              <w:rPr>
                <w:rFonts w:ascii="Calibri" w:eastAsia="Times New Roman" w:hAnsi="Calibri" w:cs="Times New Roman"/>
                <w:color w:val="000000"/>
                <w:sz w:val="22"/>
                <w:szCs w:val="22"/>
              </w:rPr>
              <w:t>:</w:t>
            </w:r>
            <w:r w:rsidRPr="00687E91">
              <w:rPr>
                <w:rFonts w:ascii="Calibri" w:eastAsia="Times New Roman" w:hAnsi="Calibri" w:cs="Times New Roman"/>
                <w:color w:val="000000"/>
                <w:sz w:val="22"/>
                <w:szCs w:val="22"/>
              </w:rPr>
              <w:t xml:space="preserve"> Objective 4A should include a specific strategy to advance person-centered planning</w:t>
            </w:r>
            <w:r w:rsidR="009B66BA">
              <w:rPr>
                <w:rFonts w:ascii="Calibri" w:eastAsia="Times New Roman" w:hAnsi="Calibri" w:cs="Times New Roman"/>
                <w:color w:val="000000"/>
                <w:sz w:val="22"/>
                <w:szCs w:val="22"/>
              </w:rPr>
              <w:t xml:space="preserve"> – e.g., </w:t>
            </w:r>
            <w:r w:rsidR="009B66BA">
              <w:rPr>
                <w:rFonts w:asciiTheme="majorHAnsi" w:hAnsiTheme="majorHAnsi"/>
                <w:color w:val="00B050"/>
              </w:rPr>
              <w:t>a</w:t>
            </w:r>
            <w:r w:rsidR="009B66BA" w:rsidRPr="00F26633">
              <w:rPr>
                <w:rFonts w:asciiTheme="majorHAnsi" w:hAnsiTheme="majorHAnsi"/>
                <w:color w:val="00B050"/>
              </w:rPr>
              <w:t xml:space="preserve"> person centered services and supports plan that integrates general health</w:t>
            </w:r>
            <w:r w:rsidR="009B66BA">
              <w:rPr>
                <w:rFonts w:asciiTheme="majorHAnsi" w:hAnsiTheme="majorHAnsi"/>
                <w:color w:val="00B050"/>
              </w:rPr>
              <w:t xml:space="preserve"> </w:t>
            </w:r>
            <w:r w:rsidR="009B66BA" w:rsidRPr="00F26633">
              <w:rPr>
                <w:rFonts w:asciiTheme="majorHAnsi" w:hAnsiTheme="majorHAnsi"/>
                <w:color w:val="00B050"/>
              </w:rPr>
              <w:t xml:space="preserve">care-behavioral health-and community-based organizations, including CBOs that serve persons with disabilities. </w:t>
            </w:r>
            <w:r w:rsidRPr="00687E91">
              <w:rPr>
                <w:rFonts w:ascii="Calibri" w:eastAsia="Times New Roman" w:hAnsi="Calibri" w:cs="Times New Roman"/>
                <w:color w:val="000000"/>
                <w:sz w:val="22"/>
                <w:szCs w:val="22"/>
              </w:rPr>
              <w:t xml:space="preserve"> It is a process highly desired by consumers and providers.  </w:t>
            </w:r>
            <w:r w:rsidR="0081375A">
              <w:rPr>
                <w:rFonts w:ascii="Calibri" w:eastAsia="Times New Roman" w:hAnsi="Calibri" w:cs="Times New Roman"/>
                <w:color w:val="000000"/>
                <w:sz w:val="22"/>
                <w:szCs w:val="22"/>
              </w:rPr>
              <w:t xml:space="preserve">It is also </w:t>
            </w:r>
            <w:r w:rsidR="0081375A" w:rsidRPr="00F26633">
              <w:rPr>
                <w:rFonts w:asciiTheme="majorHAnsi" w:hAnsiTheme="majorHAnsi"/>
                <w:color w:val="00B050"/>
              </w:rPr>
              <w:t xml:space="preserve">consistent </w:t>
            </w:r>
            <w:r w:rsidR="0081375A" w:rsidRPr="00EB314A">
              <w:rPr>
                <w:rFonts w:asciiTheme="majorHAnsi" w:hAnsiTheme="majorHAnsi"/>
                <w:color w:val="00B050"/>
              </w:rPr>
              <w:t xml:space="preserve">the statutorily required and evolving CMS CARE - continuity assessment record and evaluation. </w:t>
            </w:r>
            <w:r w:rsidR="0081375A">
              <w:rPr>
                <w:rFonts w:asciiTheme="majorHAnsi" w:hAnsiTheme="majorHAnsi"/>
                <w:color w:val="00B050"/>
              </w:rPr>
              <w:t>It is also</w:t>
            </w:r>
            <w:r w:rsidR="0081375A" w:rsidRPr="00EB314A">
              <w:rPr>
                <w:rFonts w:asciiTheme="majorHAnsi" w:hAnsiTheme="majorHAnsi"/>
                <w:color w:val="00B050"/>
              </w:rPr>
              <w:t xml:space="preserve"> consistent with recent CM</w:t>
            </w:r>
            <w:r w:rsidR="0081375A">
              <w:rPr>
                <w:rFonts w:asciiTheme="majorHAnsi" w:hAnsiTheme="majorHAnsi"/>
                <w:color w:val="00B050"/>
              </w:rPr>
              <w:t>S person-</w:t>
            </w:r>
            <w:r w:rsidR="0081375A" w:rsidRPr="00EB314A">
              <w:rPr>
                <w:rFonts w:asciiTheme="majorHAnsi" w:hAnsiTheme="majorHAnsi"/>
                <w:color w:val="00B050"/>
              </w:rPr>
              <w:t>centered planning in home and community-based waiver programs and Medicaid managed care programs</w:t>
            </w:r>
            <w:r w:rsidR="0081375A">
              <w:rPr>
                <w:rFonts w:asciiTheme="majorHAnsi" w:hAnsiTheme="majorHAnsi"/>
                <w:color w:val="00B050"/>
              </w:rPr>
              <w:t>.  This objective should be clarified and</w:t>
            </w:r>
            <w:r w:rsidRPr="00687E91">
              <w:rPr>
                <w:rFonts w:ascii="Calibri" w:eastAsia="Times New Roman" w:hAnsi="Calibri" w:cs="Times New Roman"/>
                <w:color w:val="000000"/>
                <w:sz w:val="22"/>
                <w:szCs w:val="22"/>
              </w:rPr>
              <w:t xml:space="preserve"> placed under the consumer-oriented Objective 4A to reflect the fact that it should be a person-centered process, not a provider-centered one. Re-thinking the future of care plans should be driven by what patients, families, and providers need. Today’s EHRs do not effectively have the functionality both providers and consumers want in this area.  It is an essential role for government and, under Objective </w:t>
            </w:r>
            <w:r w:rsidR="00B45E00" w:rsidRPr="00687E91">
              <w:rPr>
                <w:rFonts w:ascii="Calibri" w:eastAsia="Times New Roman" w:hAnsi="Calibri" w:cs="Times New Roman"/>
                <w:color w:val="000000"/>
                <w:sz w:val="22"/>
                <w:szCs w:val="22"/>
              </w:rPr>
              <w:t>2B;</w:t>
            </w:r>
            <w:r w:rsidRPr="00687E91">
              <w:rPr>
                <w:rFonts w:ascii="Calibri" w:eastAsia="Times New Roman" w:hAnsi="Calibri" w:cs="Times New Roman"/>
                <w:color w:val="000000"/>
                <w:sz w:val="22"/>
                <w:szCs w:val="22"/>
              </w:rPr>
              <w:t xml:space="preserve"> the certification program should specifically accelerate creation of this functionality. It will be important however to outline the planning process and the role technology can plan.  Once identified, federal payment policies by CMS, HRSA and others should incentivize the use of this process. </w:t>
            </w:r>
            <w:r w:rsidRPr="00687E91">
              <w:rPr>
                <w:rFonts w:ascii="Calibri" w:eastAsia="Times New Roman" w:hAnsi="Calibri" w:cs="Times New Roman"/>
                <w:color w:val="FF0000"/>
                <w:sz w:val="22"/>
                <w:szCs w:val="22"/>
              </w:rPr>
              <w:t xml:space="preserve"> </w:t>
            </w:r>
          </w:p>
          <w:p w:rsidR="009B66BA" w:rsidRPr="00687E91" w:rsidRDefault="009B66BA" w:rsidP="0081375A">
            <w:pPr>
              <w:rPr>
                <w:rFonts w:ascii="Calibri" w:eastAsia="Times New Roman" w:hAnsi="Calibri" w:cs="Times New Roman"/>
                <w:b/>
                <w:bCs/>
                <w:color w:val="000000"/>
                <w:sz w:val="22"/>
                <w:szCs w:val="22"/>
                <w:u w:val="single"/>
              </w:rPr>
            </w:pPr>
          </w:p>
        </w:tc>
      </w:tr>
      <w:tr w:rsidR="00687E91" w:rsidRPr="00687E91" w:rsidTr="00B45E00">
        <w:trPr>
          <w:trHeight w:val="899"/>
        </w:trPr>
        <w:tc>
          <w:tcPr>
            <w:tcW w:w="16935" w:type="dxa"/>
            <w:tcBorders>
              <w:top w:val="nil"/>
              <w:left w:val="single" w:sz="4" w:space="0" w:color="auto"/>
              <w:bottom w:val="single" w:sz="4" w:space="0" w:color="auto"/>
              <w:right w:val="single" w:sz="4" w:space="0" w:color="auto"/>
            </w:tcBorders>
            <w:shd w:val="clear" w:color="000000" w:fill="F2F2F2"/>
            <w:hideMark/>
          </w:tcPr>
          <w:p w:rsidR="00687E91" w:rsidRPr="00687E91" w:rsidRDefault="00687E91" w:rsidP="00B45E00">
            <w:pPr>
              <w:rPr>
                <w:rFonts w:ascii="Calibri" w:eastAsia="Times New Roman" w:hAnsi="Calibri" w:cs="Times New Roman"/>
                <w:color w:val="000000"/>
                <w:sz w:val="22"/>
                <w:szCs w:val="22"/>
              </w:rPr>
            </w:pPr>
            <w:r w:rsidRPr="00687E91">
              <w:rPr>
                <w:rFonts w:ascii="Calibri" w:eastAsia="Times New Roman" w:hAnsi="Calibri" w:cs="Times New Roman"/>
                <w:b/>
                <w:bCs/>
                <w:color w:val="000000"/>
                <w:sz w:val="22"/>
                <w:szCs w:val="22"/>
                <w:u w:val="single"/>
              </w:rPr>
              <w:t>Ability to identify and support family caregivers</w:t>
            </w:r>
            <w:r w:rsidRPr="00687E91">
              <w:rPr>
                <w:rFonts w:ascii="Calibri" w:eastAsia="Times New Roman" w:hAnsi="Calibri" w:cs="Times New Roman"/>
                <w:color w:val="000000"/>
                <w:sz w:val="22"/>
                <w:szCs w:val="22"/>
              </w:rPr>
              <w:t>: Under Obj</w:t>
            </w:r>
            <w:r w:rsidR="00B45E00">
              <w:rPr>
                <w:rFonts w:ascii="Calibri" w:eastAsia="Times New Roman" w:hAnsi="Calibri" w:cs="Times New Roman"/>
                <w:color w:val="000000"/>
                <w:sz w:val="22"/>
                <w:szCs w:val="22"/>
              </w:rPr>
              <w:t>ective</w:t>
            </w:r>
            <w:r w:rsidRPr="00687E91">
              <w:rPr>
                <w:rFonts w:ascii="Calibri" w:eastAsia="Times New Roman" w:hAnsi="Calibri" w:cs="Times New Roman"/>
                <w:color w:val="000000"/>
                <w:sz w:val="22"/>
                <w:szCs w:val="22"/>
              </w:rPr>
              <w:t xml:space="preserve"> 4A – page 22, Strategy 1 should (at a minimum) include family caregivers.   In addition, under Objective 2B, the certification program should specifically accelerate development </w:t>
            </w:r>
            <w:r w:rsidR="00B45E00" w:rsidRPr="00687E91">
              <w:rPr>
                <w:rFonts w:ascii="Calibri" w:eastAsia="Times New Roman" w:hAnsi="Calibri" w:cs="Times New Roman"/>
                <w:color w:val="000000"/>
                <w:sz w:val="22"/>
                <w:szCs w:val="22"/>
              </w:rPr>
              <w:t>of functionalities</w:t>
            </w:r>
            <w:r w:rsidRPr="00687E91">
              <w:rPr>
                <w:rFonts w:ascii="Calibri" w:eastAsia="Times New Roman" w:hAnsi="Calibri" w:cs="Times New Roman"/>
                <w:color w:val="000000"/>
                <w:sz w:val="22"/>
                <w:szCs w:val="22"/>
              </w:rPr>
              <w:t xml:space="preserve"> that both identify (name, role and contact information) and support family caregivers; these functions are not well addressed by the market today.</w:t>
            </w:r>
          </w:p>
        </w:tc>
      </w:tr>
      <w:tr w:rsidR="00687E91" w:rsidRPr="00687E91" w:rsidTr="00687E91">
        <w:trPr>
          <w:trHeight w:val="1610"/>
        </w:trPr>
        <w:tc>
          <w:tcPr>
            <w:tcW w:w="16935" w:type="dxa"/>
            <w:tcBorders>
              <w:top w:val="nil"/>
              <w:left w:val="single" w:sz="4" w:space="0" w:color="auto"/>
              <w:bottom w:val="single" w:sz="4" w:space="0" w:color="auto"/>
              <w:right w:val="single" w:sz="4" w:space="0" w:color="auto"/>
            </w:tcBorders>
            <w:shd w:val="clear" w:color="auto" w:fill="auto"/>
            <w:hideMark/>
          </w:tcPr>
          <w:p w:rsidR="00687E91" w:rsidRPr="00687E91" w:rsidRDefault="00687E91" w:rsidP="00687E91">
            <w:pPr>
              <w:rPr>
                <w:rFonts w:ascii="Calibri" w:eastAsia="Times New Roman" w:hAnsi="Calibri" w:cs="Times New Roman"/>
                <w:b/>
                <w:bCs/>
                <w:color w:val="000000"/>
                <w:sz w:val="22"/>
                <w:szCs w:val="22"/>
                <w:u w:val="single"/>
              </w:rPr>
            </w:pPr>
            <w:r w:rsidRPr="00687E91">
              <w:rPr>
                <w:rFonts w:ascii="Calibri" w:eastAsia="Times New Roman" w:hAnsi="Calibri" w:cs="Times New Roman"/>
                <w:b/>
                <w:bCs/>
                <w:color w:val="000000"/>
                <w:sz w:val="22"/>
                <w:szCs w:val="22"/>
                <w:u w:val="single"/>
              </w:rPr>
              <w:lastRenderedPageBreak/>
              <w:t xml:space="preserve">Address “hassle factor” in health care (for patients and family caregivers) in ways that create efficiencies for clinicians too: </w:t>
            </w:r>
            <w:r w:rsidRPr="00687E91">
              <w:rPr>
                <w:rFonts w:ascii="Calibri" w:eastAsia="Times New Roman" w:hAnsi="Calibri" w:cs="Times New Roman"/>
                <w:color w:val="000000"/>
                <w:sz w:val="22"/>
                <w:szCs w:val="22"/>
              </w:rPr>
              <w:t>Health IT functions that improve the accessibility of health care are a major strategy for engaging consumers in health IT use and improving patient experience.  Goals 3 and 4 should consider additional strategies that advance the use of functions (many of which have been developed in the market but not universally deployed) through education and technical assistance. Features such as scheduling, bill paying, paperwork/forms, etc.  are key to increasing value for consumers as well as use of electronic health information (Strategy 1). •3B, 3-year Outcome: Identify &amp; increase administrative efficiencies that reduce cost and improve provider and patient experiences</w:t>
            </w:r>
            <w:r w:rsidR="00B946AC">
              <w:rPr>
                <w:rFonts w:ascii="Calibri" w:eastAsia="Times New Roman" w:hAnsi="Calibri" w:cs="Times New Roman"/>
                <w:color w:val="000000"/>
                <w:sz w:val="22"/>
                <w:szCs w:val="22"/>
              </w:rPr>
              <w:t>.</w:t>
            </w:r>
            <w:r w:rsidRPr="00687E91">
              <w:rPr>
                <w:rFonts w:ascii="Calibri" w:eastAsia="Times New Roman" w:hAnsi="Calibri" w:cs="Times New Roman"/>
                <w:color w:val="000000"/>
                <w:sz w:val="22"/>
                <w:szCs w:val="22"/>
              </w:rPr>
              <w:t xml:space="preserve">  </w:t>
            </w:r>
            <w:r w:rsidRPr="00687E91">
              <w:rPr>
                <w:rFonts w:ascii="Calibri" w:eastAsia="Times New Roman" w:hAnsi="Calibri" w:cs="Times New Roman"/>
                <w:b/>
                <w:bCs/>
                <w:color w:val="FF0000"/>
                <w:sz w:val="22"/>
                <w:szCs w:val="22"/>
              </w:rPr>
              <w:t>PROPOSE REMOVAL BECAUSE FEW WG MEMBERS FELT STRONGLY ABOUT THIS...</w:t>
            </w:r>
          </w:p>
        </w:tc>
      </w:tr>
      <w:tr w:rsidR="00687E91" w:rsidRPr="00687E91" w:rsidTr="00B946AC">
        <w:trPr>
          <w:trHeight w:val="989"/>
        </w:trPr>
        <w:tc>
          <w:tcPr>
            <w:tcW w:w="16935" w:type="dxa"/>
            <w:tcBorders>
              <w:top w:val="nil"/>
              <w:left w:val="single" w:sz="4" w:space="0" w:color="auto"/>
              <w:bottom w:val="single" w:sz="4" w:space="0" w:color="auto"/>
              <w:right w:val="single" w:sz="4" w:space="0" w:color="auto"/>
            </w:tcBorders>
            <w:shd w:val="clear" w:color="000000" w:fill="F2F2F2"/>
            <w:hideMark/>
          </w:tcPr>
          <w:p w:rsidR="00687E91" w:rsidRPr="00687E91" w:rsidRDefault="00687E91" w:rsidP="00B45E00">
            <w:pPr>
              <w:rPr>
                <w:rFonts w:ascii="Calibri" w:eastAsia="Times New Roman" w:hAnsi="Calibri" w:cs="Times New Roman"/>
                <w:color w:val="000000"/>
                <w:sz w:val="22"/>
                <w:szCs w:val="22"/>
              </w:rPr>
            </w:pPr>
            <w:r w:rsidRPr="00687E91">
              <w:rPr>
                <w:rFonts w:ascii="Calibri" w:eastAsia="Times New Roman" w:hAnsi="Calibri" w:cs="Times New Roman"/>
                <w:b/>
                <w:bCs/>
                <w:color w:val="000000"/>
                <w:sz w:val="22"/>
                <w:szCs w:val="22"/>
                <w:u w:val="single"/>
              </w:rPr>
              <w:t xml:space="preserve">Capacity for shared decision making: </w:t>
            </w:r>
            <w:r w:rsidR="00B45E00">
              <w:rPr>
                <w:rFonts w:ascii="Calibri" w:eastAsia="Times New Roman" w:hAnsi="Calibri" w:cs="Times New Roman"/>
                <w:bCs/>
                <w:color w:val="000000"/>
                <w:sz w:val="22"/>
                <w:szCs w:val="22"/>
              </w:rPr>
              <w:t>Strategic Plan location: Objective 4A (page 22) -</w:t>
            </w:r>
            <w:r w:rsidRPr="00687E91">
              <w:rPr>
                <w:rFonts w:ascii="Calibri" w:eastAsia="Times New Roman" w:hAnsi="Calibri" w:cs="Times New Roman"/>
                <w:color w:val="000000"/>
                <w:sz w:val="22"/>
                <w:szCs w:val="22"/>
              </w:rPr>
              <w:t xml:space="preserve"> We strongly support advancing shared decision making for consumers and providers.  First, we believe it should be a 3 year outcome, instead of a 6 year outcome.  ONC should assess progress in the field and identify ways to accelerate its presence in the market, through certification, payment policy, etc.   </w:t>
            </w:r>
          </w:p>
        </w:tc>
      </w:tr>
      <w:tr w:rsidR="00687E91" w:rsidRPr="00687E91" w:rsidTr="00B946AC">
        <w:trPr>
          <w:trHeight w:val="1970"/>
        </w:trPr>
        <w:tc>
          <w:tcPr>
            <w:tcW w:w="16935" w:type="dxa"/>
            <w:tcBorders>
              <w:top w:val="nil"/>
              <w:left w:val="single" w:sz="4" w:space="0" w:color="auto"/>
              <w:bottom w:val="single" w:sz="4" w:space="0" w:color="auto"/>
              <w:right w:val="single" w:sz="4" w:space="0" w:color="auto"/>
            </w:tcBorders>
            <w:shd w:val="clear" w:color="000000" w:fill="F2F2F2"/>
            <w:hideMark/>
          </w:tcPr>
          <w:p w:rsidR="00687E91" w:rsidRDefault="00687E91" w:rsidP="00687E91">
            <w:pPr>
              <w:rPr>
                <w:rFonts w:ascii="Calibri" w:eastAsia="Times New Roman" w:hAnsi="Calibri" w:cs="Times New Roman"/>
                <w:color w:val="000000"/>
                <w:sz w:val="22"/>
                <w:szCs w:val="22"/>
              </w:rPr>
            </w:pPr>
            <w:r w:rsidRPr="00687E91">
              <w:rPr>
                <w:rFonts w:ascii="Calibri" w:eastAsia="Times New Roman" w:hAnsi="Calibri" w:cs="Times New Roman"/>
                <w:b/>
                <w:bCs/>
                <w:color w:val="000000"/>
                <w:sz w:val="22"/>
                <w:szCs w:val="22"/>
                <w:u w:val="single"/>
              </w:rPr>
              <w:t xml:space="preserve">Connecting clinicians and patients and families to community resources:  </w:t>
            </w:r>
            <w:r w:rsidRPr="00687E91">
              <w:rPr>
                <w:rFonts w:ascii="Calibri" w:eastAsia="Times New Roman" w:hAnsi="Calibri" w:cs="Times New Roman"/>
                <w:color w:val="000000"/>
                <w:sz w:val="22"/>
                <w:szCs w:val="22"/>
              </w:rPr>
              <w:t>Strategy 4 under Objective 3C (p. 20) – ONC should clarify.  Does this include helping providers and others to connect patients and families to community resources and social services?  We believe it should be clearly reflected in the strategies - and those strategies should also include helping patients and families connect to these resources on their own via technology.  Also, community resources should be part of the person-centered planning process we are recommending become a new strategy under Obj. 4A, above</w:t>
            </w:r>
            <w:r w:rsidR="00B45E00">
              <w:rPr>
                <w:rFonts w:ascii="Calibri" w:eastAsia="Times New Roman" w:hAnsi="Calibri" w:cs="Times New Roman"/>
                <w:color w:val="000000"/>
                <w:sz w:val="22"/>
                <w:szCs w:val="22"/>
              </w:rPr>
              <w:t>.</w:t>
            </w:r>
            <w:r w:rsidRPr="00687E91">
              <w:rPr>
                <w:rFonts w:ascii="Calibri" w:eastAsia="Times New Roman" w:hAnsi="Calibri" w:cs="Times New Roman"/>
                <w:color w:val="000000"/>
                <w:sz w:val="22"/>
                <w:szCs w:val="22"/>
              </w:rPr>
              <w:t xml:space="preserve">  Finally, the 6 year outcome to "identify" innovative uses of health IT to connect to community resources should be more robust.  We believe ONC and other federal partners can </w:t>
            </w:r>
            <w:r w:rsidRPr="00687E91">
              <w:rPr>
                <w:rFonts w:ascii="Calibri" w:eastAsia="Times New Roman" w:hAnsi="Calibri" w:cs="Times New Roman"/>
                <w:color w:val="000000"/>
                <w:sz w:val="22"/>
                <w:szCs w:val="22"/>
                <w:u w:val="single"/>
              </w:rPr>
              <w:t>identify</w:t>
            </w:r>
            <w:r w:rsidRPr="00687E91">
              <w:rPr>
                <w:rFonts w:ascii="Calibri" w:eastAsia="Times New Roman" w:hAnsi="Calibri" w:cs="Times New Roman"/>
                <w:i/>
                <w:iCs/>
                <w:color w:val="000000"/>
                <w:sz w:val="22"/>
                <w:szCs w:val="22"/>
              </w:rPr>
              <w:t xml:space="preserve"> </w:t>
            </w:r>
            <w:r w:rsidRPr="00687E91">
              <w:rPr>
                <w:rFonts w:ascii="Calibri" w:eastAsia="Times New Roman" w:hAnsi="Calibri" w:cs="Times New Roman"/>
                <w:color w:val="000000"/>
                <w:sz w:val="22"/>
                <w:szCs w:val="22"/>
              </w:rPr>
              <w:t xml:space="preserve">innovative uses in a far shorter timeline, such that the six year outcome could be focus on actually </w:t>
            </w:r>
            <w:r w:rsidRPr="00687E91">
              <w:rPr>
                <w:rFonts w:ascii="Calibri" w:eastAsia="Times New Roman" w:hAnsi="Calibri" w:cs="Times New Roman"/>
                <w:color w:val="000000"/>
                <w:sz w:val="22"/>
                <w:szCs w:val="22"/>
                <w:u w:val="single"/>
              </w:rPr>
              <w:t>using</w:t>
            </w:r>
            <w:r w:rsidRPr="00687E91">
              <w:rPr>
                <w:rFonts w:ascii="Calibri" w:eastAsia="Times New Roman" w:hAnsi="Calibri" w:cs="Times New Roman"/>
                <w:color w:val="000000"/>
                <w:sz w:val="22"/>
                <w:szCs w:val="22"/>
              </w:rPr>
              <w:t xml:space="preserve"> health IT to connect to community resources and social services.  </w:t>
            </w:r>
          </w:p>
          <w:p w:rsidR="00A36284" w:rsidRDefault="00A36284" w:rsidP="00687E91">
            <w:pPr>
              <w:rPr>
                <w:rFonts w:ascii="Calibri" w:eastAsia="Times New Roman" w:hAnsi="Calibri" w:cs="Times New Roman"/>
                <w:color w:val="000000"/>
                <w:sz w:val="22"/>
                <w:szCs w:val="22"/>
              </w:rPr>
            </w:pPr>
          </w:p>
          <w:p w:rsidR="00A36284" w:rsidRPr="00A36284" w:rsidRDefault="00A36284" w:rsidP="00A36284">
            <w:pPr>
              <w:rPr>
                <w:rFonts w:asciiTheme="majorHAnsi" w:hAnsiTheme="majorHAnsi"/>
                <w:color w:val="00B050"/>
              </w:rPr>
            </w:pPr>
            <w:r w:rsidRPr="00A36284">
              <w:rPr>
                <w:rFonts w:ascii="Calibri" w:eastAsia="Times New Roman" w:hAnsi="Calibri" w:cs="Times New Roman"/>
                <w:color w:val="000000"/>
                <w:sz w:val="22"/>
                <w:szCs w:val="22"/>
              </w:rPr>
              <w:t xml:space="preserve">In addition, </w:t>
            </w:r>
            <w:r w:rsidRPr="00A36284">
              <w:rPr>
                <w:rFonts w:asciiTheme="majorHAnsi" w:hAnsiTheme="majorHAnsi"/>
                <w:color w:val="00B050"/>
              </w:rPr>
              <w:t>with respect to Goal 1, we recommend that the Plan more explicitly state the goal of full integration of general health care-behavioral health-and community-based organizations (CBOs), including CBOs that serve persons with disabilities.</w:t>
            </w:r>
          </w:p>
          <w:p w:rsidR="00A36284" w:rsidRPr="00687E91" w:rsidRDefault="00A36284" w:rsidP="00687E91">
            <w:pPr>
              <w:rPr>
                <w:rFonts w:ascii="Calibri" w:eastAsia="Times New Roman" w:hAnsi="Calibri" w:cs="Times New Roman"/>
                <w:b/>
                <w:bCs/>
                <w:color w:val="000000"/>
                <w:sz w:val="22"/>
                <w:szCs w:val="22"/>
              </w:rPr>
            </w:pPr>
          </w:p>
        </w:tc>
      </w:tr>
      <w:tr w:rsidR="00687E91" w:rsidRPr="00687E91" w:rsidTr="00B946AC">
        <w:trPr>
          <w:trHeight w:val="1160"/>
        </w:trPr>
        <w:tc>
          <w:tcPr>
            <w:tcW w:w="16935" w:type="dxa"/>
            <w:tcBorders>
              <w:top w:val="nil"/>
              <w:left w:val="single" w:sz="4" w:space="0" w:color="auto"/>
              <w:bottom w:val="single" w:sz="4" w:space="0" w:color="auto"/>
              <w:right w:val="single" w:sz="4" w:space="0" w:color="auto"/>
            </w:tcBorders>
            <w:shd w:val="clear" w:color="000000" w:fill="F2F2F2"/>
            <w:hideMark/>
          </w:tcPr>
          <w:p w:rsidR="00687E91" w:rsidRPr="00687E91" w:rsidRDefault="00687E91" w:rsidP="00687E91">
            <w:pPr>
              <w:rPr>
                <w:rFonts w:ascii="Calibri" w:eastAsia="Times New Roman" w:hAnsi="Calibri" w:cs="Times New Roman"/>
                <w:b/>
                <w:bCs/>
                <w:color w:val="000000"/>
                <w:sz w:val="22"/>
                <w:szCs w:val="22"/>
              </w:rPr>
            </w:pPr>
            <w:r w:rsidRPr="00687E91">
              <w:rPr>
                <w:rFonts w:ascii="Calibri" w:eastAsia="Times New Roman" w:hAnsi="Calibri" w:cs="Times New Roman"/>
                <w:b/>
                <w:bCs/>
                <w:color w:val="000000"/>
                <w:sz w:val="22"/>
                <w:szCs w:val="22"/>
                <w:u w:val="single"/>
              </w:rPr>
              <w:t>Privacy:</w:t>
            </w:r>
            <w:r w:rsidRPr="00687E91">
              <w:rPr>
                <w:rFonts w:ascii="Calibri" w:eastAsia="Times New Roman" w:hAnsi="Calibri" w:cs="Times New Roman"/>
                <w:b/>
                <w:bCs/>
                <w:color w:val="000000"/>
                <w:sz w:val="22"/>
                <w:szCs w:val="22"/>
              </w:rPr>
              <w:t xml:space="preserve"> </w:t>
            </w:r>
            <w:r w:rsidRPr="00687E91">
              <w:rPr>
                <w:rFonts w:ascii="Calibri" w:eastAsia="Times New Roman" w:hAnsi="Calibri" w:cs="Times New Roman"/>
                <w:color w:val="000000"/>
                <w:sz w:val="22"/>
                <w:szCs w:val="22"/>
              </w:rPr>
              <w:t xml:space="preserve"> We are pleased to se several strategies related to privacy and security throughout the Plan, including in Objective 2C.  Given the increasing use of patient portals, apps, and devices that are not covered by HIPAA, what are the policy gaps that ONC and OCR should consider?  It is important for the federal government to identify the policy options for those technologies and situations where current privacy and security policies leave consumers/patients/caregivers unprotected.</w:t>
            </w:r>
          </w:p>
        </w:tc>
      </w:tr>
      <w:tr w:rsidR="00687E91" w:rsidRPr="00687E91" w:rsidTr="00B946AC">
        <w:trPr>
          <w:trHeight w:val="800"/>
        </w:trPr>
        <w:tc>
          <w:tcPr>
            <w:tcW w:w="16935" w:type="dxa"/>
            <w:tcBorders>
              <w:top w:val="nil"/>
              <w:left w:val="single" w:sz="4" w:space="0" w:color="auto"/>
              <w:bottom w:val="single" w:sz="4" w:space="0" w:color="auto"/>
              <w:right w:val="single" w:sz="4" w:space="0" w:color="auto"/>
            </w:tcBorders>
            <w:shd w:val="clear" w:color="000000" w:fill="F2F2F2"/>
            <w:hideMark/>
          </w:tcPr>
          <w:p w:rsidR="00687E91" w:rsidRPr="00687E91" w:rsidRDefault="00687E91" w:rsidP="00687E91">
            <w:pPr>
              <w:rPr>
                <w:rFonts w:ascii="Calibri" w:eastAsia="Times New Roman" w:hAnsi="Calibri" w:cs="Times New Roman"/>
                <w:b/>
                <w:bCs/>
                <w:color w:val="000000"/>
                <w:sz w:val="22"/>
                <w:szCs w:val="22"/>
              </w:rPr>
            </w:pPr>
            <w:r w:rsidRPr="00687E91">
              <w:rPr>
                <w:rFonts w:ascii="Calibri" w:eastAsia="Times New Roman" w:hAnsi="Calibri" w:cs="Times New Roman"/>
                <w:b/>
                <w:bCs/>
                <w:color w:val="000000"/>
                <w:sz w:val="22"/>
                <w:szCs w:val="22"/>
                <w:u w:val="single"/>
              </w:rPr>
              <w:t>Social Determinants of Health</w:t>
            </w:r>
            <w:r w:rsidRPr="00687E91">
              <w:rPr>
                <w:rFonts w:ascii="Calibri" w:eastAsia="Times New Roman" w:hAnsi="Calibri" w:cs="Times New Roman"/>
                <w:color w:val="000000"/>
                <w:sz w:val="22"/>
                <w:szCs w:val="22"/>
              </w:rPr>
              <w:t xml:space="preserve">:  There should be a broader focus on this in policy in general, given the recent IOM report and its presentation to the HITPC. In addition, under Objective 2B, the certification program should foster and accelerate the development of relevant functions.  </w:t>
            </w:r>
          </w:p>
        </w:tc>
      </w:tr>
      <w:tr w:rsidR="00687E91" w:rsidRPr="00687E91" w:rsidTr="00B946AC">
        <w:trPr>
          <w:trHeight w:val="1160"/>
        </w:trPr>
        <w:tc>
          <w:tcPr>
            <w:tcW w:w="16935" w:type="dxa"/>
            <w:tcBorders>
              <w:top w:val="nil"/>
              <w:left w:val="single" w:sz="4" w:space="0" w:color="auto"/>
              <w:bottom w:val="single" w:sz="4" w:space="0" w:color="auto"/>
              <w:right w:val="single" w:sz="4" w:space="0" w:color="auto"/>
            </w:tcBorders>
            <w:shd w:val="clear" w:color="000000" w:fill="F2F2F2"/>
            <w:hideMark/>
          </w:tcPr>
          <w:p w:rsidR="00687E91" w:rsidRPr="00687E91" w:rsidRDefault="00687E91" w:rsidP="00687E91">
            <w:pPr>
              <w:rPr>
                <w:rFonts w:ascii="Calibri" w:eastAsia="Times New Roman" w:hAnsi="Calibri" w:cs="Times New Roman"/>
                <w:b/>
                <w:bCs/>
                <w:color w:val="000000"/>
                <w:sz w:val="22"/>
                <w:szCs w:val="22"/>
              </w:rPr>
            </w:pPr>
            <w:r w:rsidRPr="00687E91">
              <w:rPr>
                <w:rFonts w:ascii="Calibri" w:eastAsia="Times New Roman" w:hAnsi="Calibri" w:cs="Times New Roman"/>
                <w:b/>
                <w:bCs/>
                <w:color w:val="000000"/>
                <w:sz w:val="22"/>
                <w:szCs w:val="22"/>
                <w:u w:val="single"/>
              </w:rPr>
              <w:t>Telemedicine:</w:t>
            </w:r>
            <w:r w:rsidRPr="00687E91">
              <w:rPr>
                <w:rFonts w:ascii="Calibri" w:eastAsia="Times New Roman" w:hAnsi="Calibri" w:cs="Times New Roman"/>
                <w:color w:val="000000"/>
                <w:sz w:val="22"/>
                <w:szCs w:val="22"/>
              </w:rPr>
              <w:t xml:space="preserve"> We are pleased to see federal priorities for advancing telemedicine.  However, we do not specifically see </w:t>
            </w:r>
            <w:proofErr w:type="spellStart"/>
            <w:r w:rsidRPr="00687E91">
              <w:rPr>
                <w:rFonts w:ascii="Calibri" w:eastAsia="Times New Roman" w:hAnsi="Calibri" w:cs="Times New Roman"/>
                <w:color w:val="000000"/>
                <w:sz w:val="22"/>
                <w:szCs w:val="22"/>
              </w:rPr>
              <w:t>eVisits</w:t>
            </w:r>
            <w:proofErr w:type="spellEnd"/>
            <w:r w:rsidRPr="00687E91">
              <w:rPr>
                <w:rFonts w:ascii="Calibri" w:eastAsia="Times New Roman" w:hAnsi="Calibri" w:cs="Times New Roman"/>
                <w:color w:val="000000"/>
                <w:sz w:val="22"/>
                <w:szCs w:val="22"/>
              </w:rPr>
              <w:t xml:space="preserve"> and other forms of access (such as remote monitoring) called out. Care is increasingly moving outside physical institutions. Under Objective 2B, these functions </w:t>
            </w:r>
            <w:r w:rsidR="00B45E00" w:rsidRPr="00687E91">
              <w:rPr>
                <w:rFonts w:ascii="Calibri" w:eastAsia="Times New Roman" w:hAnsi="Calibri" w:cs="Times New Roman"/>
                <w:color w:val="000000"/>
                <w:sz w:val="22"/>
                <w:szCs w:val="22"/>
              </w:rPr>
              <w:t>should be</w:t>
            </w:r>
            <w:r w:rsidRPr="00687E91">
              <w:rPr>
                <w:rFonts w:ascii="Calibri" w:eastAsia="Times New Roman" w:hAnsi="Calibri" w:cs="Times New Roman"/>
                <w:color w:val="000000"/>
                <w:sz w:val="22"/>
                <w:szCs w:val="22"/>
              </w:rPr>
              <w:t xml:space="preserve"> part of certification in order to make more EHRs connect with or have these functions.  </w:t>
            </w:r>
            <w:proofErr w:type="spellStart"/>
            <w:r w:rsidRPr="00687E91">
              <w:rPr>
                <w:rFonts w:ascii="Calibri" w:eastAsia="Times New Roman" w:hAnsi="Calibri" w:cs="Times New Roman"/>
                <w:color w:val="000000"/>
                <w:sz w:val="22"/>
                <w:szCs w:val="22"/>
              </w:rPr>
              <w:t>eVisits</w:t>
            </w:r>
            <w:proofErr w:type="spellEnd"/>
            <w:r w:rsidRPr="00687E91">
              <w:rPr>
                <w:rFonts w:ascii="Calibri" w:eastAsia="Times New Roman" w:hAnsi="Calibri" w:cs="Times New Roman"/>
                <w:color w:val="000000"/>
                <w:sz w:val="22"/>
                <w:szCs w:val="22"/>
              </w:rPr>
              <w:t xml:space="preserve"> also will need consideration of other federal policies to support them (payment, etc.)</w:t>
            </w:r>
          </w:p>
        </w:tc>
      </w:tr>
      <w:tr w:rsidR="00687E91" w:rsidRPr="00687E91" w:rsidTr="00B946AC">
        <w:trPr>
          <w:trHeight w:val="2159"/>
        </w:trPr>
        <w:tc>
          <w:tcPr>
            <w:tcW w:w="16935" w:type="dxa"/>
            <w:tcBorders>
              <w:top w:val="nil"/>
              <w:left w:val="single" w:sz="4" w:space="0" w:color="auto"/>
              <w:bottom w:val="single" w:sz="4" w:space="0" w:color="auto"/>
              <w:right w:val="single" w:sz="4" w:space="0" w:color="auto"/>
            </w:tcBorders>
            <w:shd w:val="clear" w:color="000000" w:fill="F2F2F2"/>
            <w:hideMark/>
          </w:tcPr>
          <w:p w:rsidR="00687E91" w:rsidRPr="00687E91" w:rsidRDefault="00687E91" w:rsidP="00687E91">
            <w:pPr>
              <w:rPr>
                <w:rFonts w:ascii="Calibri" w:eastAsia="Times New Roman" w:hAnsi="Calibri" w:cs="Times New Roman"/>
                <w:color w:val="000000"/>
                <w:sz w:val="22"/>
                <w:szCs w:val="22"/>
                <w:u w:val="single"/>
              </w:rPr>
            </w:pPr>
            <w:r w:rsidRPr="00687E91">
              <w:rPr>
                <w:rFonts w:ascii="Calibri" w:eastAsia="Times New Roman" w:hAnsi="Calibri" w:cs="Times New Roman"/>
                <w:b/>
                <w:bCs/>
                <w:color w:val="000000"/>
                <w:sz w:val="22"/>
                <w:szCs w:val="22"/>
                <w:u w:val="single"/>
              </w:rPr>
              <w:lastRenderedPageBreak/>
              <w:t>How consumers can drive interoperabili</w:t>
            </w:r>
            <w:r w:rsidRPr="00687E91">
              <w:rPr>
                <w:rFonts w:ascii="Calibri" w:eastAsia="Times New Roman" w:hAnsi="Calibri" w:cs="Times New Roman"/>
                <w:color w:val="000000"/>
                <w:sz w:val="22"/>
                <w:szCs w:val="22"/>
                <w:u w:val="single"/>
              </w:rPr>
              <w:t>t</w:t>
            </w:r>
            <w:r w:rsidRPr="00687E91">
              <w:rPr>
                <w:rFonts w:ascii="Calibri" w:eastAsia="Times New Roman" w:hAnsi="Calibri" w:cs="Times New Roman"/>
                <w:b/>
                <w:bCs/>
                <w:color w:val="000000"/>
                <w:sz w:val="22"/>
                <w:szCs w:val="22"/>
                <w:u w:val="single"/>
              </w:rPr>
              <w:t>y</w:t>
            </w:r>
            <w:r w:rsidRPr="00687E91">
              <w:rPr>
                <w:rFonts w:ascii="Calibri" w:eastAsia="Times New Roman" w:hAnsi="Calibri" w:cs="Times New Roman"/>
                <w:color w:val="000000"/>
                <w:sz w:val="22"/>
                <w:szCs w:val="22"/>
                <w:u w:val="single"/>
              </w:rPr>
              <w:t xml:space="preserve">: </w:t>
            </w:r>
            <w:r w:rsidRPr="00687E91">
              <w:rPr>
                <w:rFonts w:ascii="Calibri" w:eastAsia="Times New Roman" w:hAnsi="Calibri" w:cs="Times New Roman"/>
                <w:color w:val="000000"/>
                <w:sz w:val="22"/>
                <w:szCs w:val="22"/>
              </w:rPr>
              <w:t xml:space="preserve">Objective 2A Strategy 5 should include consumers – not just health providers and payers.   The Strategies under this Objective seem overall to be weak on consumer interests and patient-centricity. While the narrative introduction references consumers, overall this objective appears to focus mostly on how to advance institutional and provider interests rather than patient interests. These interests are not mutually exclusive but the strategy should at least have ONC outlining specific ways that consumers can advance interoperability and data sharing, and cataloguing barriers that may stand in the way.  For example, Interoperability combined with PGHD </w:t>
            </w:r>
            <w:r w:rsidR="00B45E00" w:rsidRPr="00687E91">
              <w:rPr>
                <w:rFonts w:ascii="Calibri" w:eastAsia="Times New Roman" w:hAnsi="Calibri" w:cs="Times New Roman"/>
                <w:color w:val="000000"/>
                <w:sz w:val="22"/>
                <w:szCs w:val="22"/>
              </w:rPr>
              <w:t>and data</w:t>
            </w:r>
            <w:r w:rsidRPr="00687E91">
              <w:rPr>
                <w:rFonts w:ascii="Calibri" w:eastAsia="Times New Roman" w:hAnsi="Calibri" w:cs="Times New Roman"/>
                <w:color w:val="000000"/>
                <w:sz w:val="22"/>
                <w:szCs w:val="22"/>
              </w:rPr>
              <w:t xml:space="preserve"> aggregation will be crucial to ensuring the health record and data is up to date and accurate for an individual.  Portal fatigue will detract from consumers' ability to drive interoperability. Language access and health literacy are also key factors.  Further, ONC should get consumer input on what a "basic set of essential health information" as well as the "expanded set</w:t>
            </w:r>
            <w:r w:rsidR="00B45E00" w:rsidRPr="00687E91">
              <w:rPr>
                <w:rFonts w:ascii="Calibri" w:eastAsia="Times New Roman" w:hAnsi="Calibri" w:cs="Times New Roman"/>
                <w:color w:val="000000"/>
                <w:sz w:val="22"/>
                <w:szCs w:val="22"/>
              </w:rPr>
              <w:t>” referenced</w:t>
            </w:r>
            <w:r w:rsidRPr="00687E91">
              <w:rPr>
                <w:rFonts w:ascii="Calibri" w:eastAsia="Times New Roman" w:hAnsi="Calibri" w:cs="Times New Roman"/>
                <w:color w:val="000000"/>
                <w:sz w:val="22"/>
                <w:szCs w:val="22"/>
              </w:rPr>
              <w:t xml:space="preserve"> in the Outcomes for this Objective. </w:t>
            </w:r>
          </w:p>
        </w:tc>
      </w:tr>
      <w:tr w:rsidR="00687E91" w:rsidRPr="00687E91" w:rsidTr="00687E91">
        <w:trPr>
          <w:trHeight w:val="300"/>
        </w:trPr>
        <w:tc>
          <w:tcPr>
            <w:tcW w:w="16935" w:type="dxa"/>
            <w:tcBorders>
              <w:top w:val="nil"/>
              <w:left w:val="single" w:sz="4" w:space="0" w:color="auto"/>
              <w:bottom w:val="single" w:sz="4" w:space="0" w:color="auto"/>
              <w:right w:val="single" w:sz="4" w:space="0" w:color="auto"/>
            </w:tcBorders>
            <w:shd w:val="clear" w:color="000000" w:fill="C4D79B"/>
            <w:hideMark/>
          </w:tcPr>
          <w:p w:rsidR="00687E91" w:rsidRPr="00687E91" w:rsidRDefault="00687E91" w:rsidP="00687E91">
            <w:pPr>
              <w:rPr>
                <w:rFonts w:ascii="Calibri" w:eastAsia="Times New Roman" w:hAnsi="Calibri" w:cs="Times New Roman"/>
                <w:b/>
                <w:bCs/>
                <w:color w:val="000000"/>
                <w:sz w:val="22"/>
                <w:szCs w:val="22"/>
                <w:u w:val="single"/>
              </w:rPr>
            </w:pPr>
            <w:r w:rsidRPr="00687E91">
              <w:rPr>
                <w:rFonts w:ascii="Calibri" w:eastAsia="Times New Roman" w:hAnsi="Calibri" w:cs="Times New Roman"/>
                <w:b/>
                <w:bCs/>
                <w:color w:val="000000"/>
                <w:sz w:val="22"/>
                <w:szCs w:val="22"/>
                <w:u w:val="single"/>
              </w:rPr>
              <w:t>Elevate consumer voices to shape health system transformation</w:t>
            </w:r>
          </w:p>
        </w:tc>
      </w:tr>
      <w:tr w:rsidR="00687E91" w:rsidRPr="00687E91" w:rsidTr="00B946AC">
        <w:trPr>
          <w:trHeight w:val="1610"/>
        </w:trPr>
        <w:tc>
          <w:tcPr>
            <w:tcW w:w="16935" w:type="dxa"/>
            <w:tcBorders>
              <w:top w:val="nil"/>
              <w:left w:val="single" w:sz="4" w:space="0" w:color="auto"/>
              <w:bottom w:val="single" w:sz="4" w:space="0" w:color="auto"/>
              <w:right w:val="single" w:sz="4" w:space="0" w:color="auto"/>
            </w:tcBorders>
            <w:shd w:val="clear" w:color="000000" w:fill="F2F2F2"/>
            <w:hideMark/>
          </w:tcPr>
          <w:p w:rsidR="00687E91" w:rsidRPr="00687E91" w:rsidRDefault="00687E91" w:rsidP="00687E91">
            <w:pPr>
              <w:spacing w:after="240"/>
              <w:rPr>
                <w:rFonts w:ascii="Calibri" w:eastAsia="Times New Roman" w:hAnsi="Calibri" w:cs="Times New Roman"/>
                <w:color w:val="000000"/>
                <w:sz w:val="22"/>
                <w:szCs w:val="22"/>
              </w:rPr>
            </w:pPr>
            <w:r w:rsidRPr="00687E91">
              <w:rPr>
                <w:rFonts w:ascii="Calibri" w:eastAsia="Times New Roman" w:hAnsi="Calibri" w:cs="Times New Roman"/>
                <w:b/>
                <w:bCs/>
                <w:color w:val="000000"/>
                <w:sz w:val="22"/>
                <w:szCs w:val="22"/>
                <w:u w:val="single"/>
              </w:rPr>
              <w:t>Implementation support provided includes how to partner with consumers, especially in key areas like PGHD design and implementation:</w:t>
            </w:r>
            <w:r w:rsidRPr="00687E91">
              <w:rPr>
                <w:rFonts w:ascii="Calibri" w:eastAsia="Times New Roman" w:hAnsi="Calibri" w:cs="Times New Roman"/>
                <w:color w:val="000000"/>
                <w:sz w:val="22"/>
                <w:szCs w:val="22"/>
              </w:rPr>
              <w:t xml:space="preserve"> Under Objective 3B, Strategy </w:t>
            </w:r>
            <w:r w:rsidR="00B45E00" w:rsidRPr="00687E91">
              <w:rPr>
                <w:rFonts w:ascii="Calibri" w:eastAsia="Times New Roman" w:hAnsi="Calibri" w:cs="Times New Roman"/>
                <w:color w:val="000000"/>
                <w:sz w:val="22"/>
                <w:szCs w:val="22"/>
              </w:rPr>
              <w:t>4 support</w:t>
            </w:r>
            <w:r w:rsidRPr="00687E91">
              <w:rPr>
                <w:rFonts w:ascii="Calibri" w:eastAsia="Times New Roman" w:hAnsi="Calibri" w:cs="Times New Roman"/>
                <w:color w:val="000000"/>
                <w:sz w:val="22"/>
                <w:szCs w:val="22"/>
              </w:rPr>
              <w:t xml:space="preserve"> for implementation and usability should include how and when to partner with patients and families in implementation - e.g., working together to design and use a portal, determining how computers are used in exam rooms, selecting and implementing PGHD priorities, etc. This partnership and collaboration is essential to shifting the culture of health care to be patient- and family-centered and ensuring federal health IT investments are benefitting consumers.  This should be a core strategy, and Federal incentive programs such as ACOs and PCMH should have partnering with patients in these ways as requirements.</w:t>
            </w:r>
          </w:p>
        </w:tc>
      </w:tr>
      <w:tr w:rsidR="00687E91" w:rsidRPr="00687E91" w:rsidTr="00B946AC">
        <w:trPr>
          <w:trHeight w:val="800"/>
        </w:trPr>
        <w:tc>
          <w:tcPr>
            <w:tcW w:w="16935" w:type="dxa"/>
            <w:tcBorders>
              <w:top w:val="nil"/>
              <w:left w:val="single" w:sz="4" w:space="0" w:color="auto"/>
              <w:bottom w:val="single" w:sz="4" w:space="0" w:color="auto"/>
              <w:right w:val="single" w:sz="4" w:space="0" w:color="auto"/>
            </w:tcBorders>
            <w:shd w:val="clear" w:color="000000" w:fill="F2F2F2"/>
            <w:hideMark/>
          </w:tcPr>
          <w:p w:rsidR="00687E91" w:rsidRPr="00687E91" w:rsidRDefault="00687E91" w:rsidP="00687E91">
            <w:pPr>
              <w:rPr>
                <w:rFonts w:ascii="Calibri" w:eastAsia="Times New Roman" w:hAnsi="Calibri" w:cs="Times New Roman"/>
                <w:color w:val="000000"/>
                <w:sz w:val="22"/>
                <w:szCs w:val="22"/>
              </w:rPr>
            </w:pPr>
            <w:r w:rsidRPr="00687E91">
              <w:rPr>
                <w:rFonts w:ascii="Calibri" w:eastAsia="Times New Roman" w:hAnsi="Calibri" w:cs="Times New Roman"/>
                <w:b/>
                <w:bCs/>
                <w:color w:val="000000"/>
                <w:sz w:val="22"/>
                <w:szCs w:val="22"/>
                <w:u w:val="single"/>
              </w:rPr>
              <w:t xml:space="preserve">Consumer role in governance of HIE and interoperability initiatives:  </w:t>
            </w:r>
            <w:r w:rsidRPr="00687E91">
              <w:rPr>
                <w:rFonts w:ascii="Calibri" w:eastAsia="Times New Roman" w:hAnsi="Calibri" w:cs="Times New Roman"/>
                <w:color w:val="000000"/>
                <w:sz w:val="22"/>
                <w:szCs w:val="22"/>
              </w:rPr>
              <w:t>It is essential for government to accelerate and advance governance mechanisms.  The governance mechanism must include robust representation from consumers, from its inc</w:t>
            </w:r>
            <w:r w:rsidRPr="00687E91">
              <w:rPr>
                <w:rFonts w:ascii="Calibri" w:eastAsia="Times New Roman" w:hAnsi="Calibri" w:cs="Times New Roman"/>
                <w:sz w:val="22"/>
                <w:szCs w:val="22"/>
              </w:rPr>
              <w:t>eption, throughout the process, including developing the rules of engagement. (Objective 2A.)</w:t>
            </w:r>
          </w:p>
        </w:tc>
      </w:tr>
      <w:tr w:rsidR="00687E91" w:rsidRPr="00687E91" w:rsidTr="00B946AC">
        <w:trPr>
          <w:trHeight w:val="1349"/>
        </w:trPr>
        <w:tc>
          <w:tcPr>
            <w:tcW w:w="16935" w:type="dxa"/>
            <w:tcBorders>
              <w:top w:val="nil"/>
              <w:left w:val="single" w:sz="4" w:space="0" w:color="auto"/>
              <w:bottom w:val="single" w:sz="4" w:space="0" w:color="auto"/>
              <w:right w:val="single" w:sz="4" w:space="0" w:color="auto"/>
            </w:tcBorders>
            <w:shd w:val="clear" w:color="000000" w:fill="F2F2F2"/>
            <w:hideMark/>
          </w:tcPr>
          <w:p w:rsidR="00687E91" w:rsidRPr="00687E91" w:rsidRDefault="00687E91" w:rsidP="00B45E00">
            <w:pPr>
              <w:rPr>
                <w:rFonts w:ascii="Calibri" w:eastAsia="Times New Roman" w:hAnsi="Calibri" w:cs="Times New Roman"/>
                <w:color w:val="000000"/>
                <w:sz w:val="22"/>
                <w:szCs w:val="22"/>
              </w:rPr>
            </w:pPr>
            <w:r w:rsidRPr="00687E91">
              <w:rPr>
                <w:rFonts w:ascii="Calibri" w:eastAsia="Times New Roman" w:hAnsi="Calibri" w:cs="Times New Roman"/>
                <w:b/>
                <w:bCs/>
                <w:color w:val="000000"/>
                <w:sz w:val="22"/>
                <w:szCs w:val="22"/>
                <w:u w:val="single"/>
              </w:rPr>
              <w:t xml:space="preserve">Training and Education </w:t>
            </w:r>
            <w:r w:rsidRPr="00687E91">
              <w:rPr>
                <w:rFonts w:ascii="Calibri" w:eastAsia="Times New Roman" w:hAnsi="Calibri" w:cs="Times New Roman"/>
                <w:color w:val="000000"/>
                <w:sz w:val="22"/>
                <w:szCs w:val="22"/>
              </w:rPr>
              <w:t xml:space="preserve">: A) For consumers, in terms of how to access and use electronic health information, its value and benefits, as well as privacy issues and B) training and workforce development for providers - specifically in how to leverage HIT to partner with patients in their care, as well as how to partner with patients to develop and implement new features of technology (such as PGHD).   It may be difficult and resource intensive for ONC to directly educate consumers, but ONC and CMS should leverage their reach with providers and </w:t>
            </w:r>
            <w:r w:rsidR="00B45E00" w:rsidRPr="00687E91">
              <w:rPr>
                <w:rFonts w:ascii="Calibri" w:eastAsia="Times New Roman" w:hAnsi="Calibri" w:cs="Times New Roman"/>
                <w:color w:val="000000"/>
                <w:sz w:val="22"/>
                <w:szCs w:val="22"/>
              </w:rPr>
              <w:t>facilities</w:t>
            </w:r>
            <w:r w:rsidRPr="00687E91">
              <w:rPr>
                <w:rFonts w:ascii="Calibri" w:eastAsia="Times New Roman" w:hAnsi="Calibri" w:cs="Times New Roman"/>
                <w:color w:val="000000"/>
                <w:sz w:val="22"/>
                <w:szCs w:val="22"/>
              </w:rPr>
              <w:t xml:space="preserve"> to help them educate their own patients and families, as well as to make the case for partnering with patients mak</w:t>
            </w:r>
            <w:r w:rsidR="00B45E00">
              <w:rPr>
                <w:rFonts w:ascii="Calibri" w:eastAsia="Times New Roman" w:hAnsi="Calibri" w:cs="Times New Roman"/>
                <w:color w:val="000000"/>
                <w:sz w:val="22"/>
                <w:szCs w:val="22"/>
              </w:rPr>
              <w:t>ing</w:t>
            </w:r>
            <w:r w:rsidRPr="00687E91">
              <w:rPr>
                <w:rFonts w:ascii="Calibri" w:eastAsia="Times New Roman" w:hAnsi="Calibri" w:cs="Times New Roman"/>
                <w:color w:val="000000"/>
                <w:sz w:val="22"/>
                <w:szCs w:val="22"/>
              </w:rPr>
              <w:t xml:space="preserve"> them more successful in the long run. </w:t>
            </w:r>
          </w:p>
        </w:tc>
      </w:tr>
      <w:tr w:rsidR="00687E91" w:rsidRPr="00687E91" w:rsidTr="00B45E00">
        <w:trPr>
          <w:trHeight w:val="980"/>
        </w:trPr>
        <w:tc>
          <w:tcPr>
            <w:tcW w:w="16935" w:type="dxa"/>
            <w:tcBorders>
              <w:top w:val="nil"/>
              <w:left w:val="single" w:sz="4" w:space="0" w:color="auto"/>
              <w:bottom w:val="single" w:sz="4" w:space="0" w:color="auto"/>
              <w:right w:val="single" w:sz="4" w:space="0" w:color="auto"/>
            </w:tcBorders>
            <w:shd w:val="clear" w:color="000000" w:fill="F2F2F2"/>
            <w:hideMark/>
          </w:tcPr>
          <w:p w:rsidR="00687E91" w:rsidRPr="00687E91" w:rsidRDefault="00687E91" w:rsidP="00687E91">
            <w:pPr>
              <w:rPr>
                <w:rFonts w:ascii="Calibri" w:eastAsia="Times New Roman" w:hAnsi="Calibri" w:cs="Times New Roman"/>
                <w:b/>
                <w:bCs/>
                <w:color w:val="000000"/>
                <w:sz w:val="22"/>
                <w:szCs w:val="22"/>
                <w:u w:val="single"/>
              </w:rPr>
            </w:pPr>
            <w:r w:rsidRPr="00687E91">
              <w:rPr>
                <w:rFonts w:ascii="Calibri" w:eastAsia="Times New Roman" w:hAnsi="Calibri" w:cs="Times New Roman"/>
                <w:b/>
                <w:bCs/>
                <w:color w:val="000000"/>
                <w:sz w:val="22"/>
                <w:szCs w:val="22"/>
                <w:u w:val="single"/>
              </w:rPr>
              <w:t xml:space="preserve">Participating in Research: </w:t>
            </w:r>
            <w:r w:rsidRPr="00687E91">
              <w:rPr>
                <w:rFonts w:ascii="Calibri" w:eastAsia="Times New Roman" w:hAnsi="Calibri" w:cs="Times New Roman"/>
                <w:color w:val="000000"/>
                <w:sz w:val="22"/>
                <w:szCs w:val="22"/>
              </w:rPr>
              <w:t xml:space="preserve">  Under Objective 5A and 5B - research and innovation are important areas for consumers.  They can also be areas of great risk to whether or not consumers trust the system.  To address this</w:t>
            </w:r>
            <w:r w:rsidR="00B45E00" w:rsidRPr="00687E91">
              <w:rPr>
                <w:rFonts w:ascii="Calibri" w:eastAsia="Times New Roman" w:hAnsi="Calibri" w:cs="Times New Roman"/>
                <w:color w:val="000000"/>
                <w:sz w:val="22"/>
                <w:szCs w:val="22"/>
              </w:rPr>
              <w:t>, the</w:t>
            </w:r>
            <w:r w:rsidRPr="00687E91">
              <w:rPr>
                <w:rFonts w:ascii="Calibri" w:eastAsia="Times New Roman" w:hAnsi="Calibri" w:cs="Times New Roman"/>
                <w:color w:val="000000"/>
                <w:sz w:val="22"/>
                <w:szCs w:val="22"/>
              </w:rPr>
              <w:t xml:space="preserve"> federal government must identify ways to ensure that consumers </w:t>
            </w:r>
            <w:r w:rsidR="00B45E00" w:rsidRPr="00687E91">
              <w:rPr>
                <w:rFonts w:ascii="Calibri" w:eastAsia="Times New Roman" w:hAnsi="Calibri" w:cs="Times New Roman"/>
                <w:color w:val="000000"/>
                <w:sz w:val="22"/>
                <w:szCs w:val="22"/>
              </w:rPr>
              <w:t>participate</w:t>
            </w:r>
            <w:r w:rsidRPr="00687E91">
              <w:rPr>
                <w:rFonts w:ascii="Calibri" w:eastAsia="Times New Roman" w:hAnsi="Calibri" w:cs="Times New Roman"/>
                <w:color w:val="000000"/>
                <w:sz w:val="22"/>
                <w:szCs w:val="22"/>
              </w:rPr>
              <w:t xml:space="preserve"> in shaping and governing these initiatives. We also recommend clarifying the definition of "precision medicine." </w:t>
            </w:r>
          </w:p>
        </w:tc>
      </w:tr>
    </w:tbl>
    <w:p w:rsidR="002951FB" w:rsidRPr="002951FB" w:rsidRDefault="002951FB">
      <w:pPr>
        <w:rPr>
          <w:rFonts w:asciiTheme="majorHAnsi" w:hAnsiTheme="majorHAnsi"/>
          <w:u w:val="single"/>
        </w:rPr>
      </w:pPr>
    </w:p>
    <w:p w:rsidR="00F07EEB" w:rsidRDefault="00F07EEB" w:rsidP="00F07EEB">
      <w:pPr>
        <w:rPr>
          <w:rFonts w:asciiTheme="majorHAnsi" w:hAnsiTheme="majorHAnsi"/>
        </w:rPr>
      </w:pPr>
      <w:r w:rsidRPr="005908BC">
        <w:rPr>
          <w:rFonts w:asciiTheme="majorHAnsi" w:hAnsiTheme="majorHAnsi"/>
          <w:highlight w:val="green"/>
        </w:rPr>
        <w:t>New Goal X (between 3 and 4):  This is proposed as a new goal area between care delivery and individuals</w:t>
      </w:r>
    </w:p>
    <w:p w:rsidR="00F07EEB" w:rsidRDefault="00F07EEB" w:rsidP="00F07EEB">
      <w:pPr>
        <w:rPr>
          <w:rFonts w:asciiTheme="majorHAnsi" w:hAnsiTheme="majorHAnsi"/>
        </w:rPr>
      </w:pPr>
    </w:p>
    <w:p w:rsidR="00F07EEB" w:rsidRDefault="00F07EEB" w:rsidP="00F07EEB">
      <w:pPr>
        <w:pStyle w:val="ListParagraph"/>
        <w:numPr>
          <w:ilvl w:val="0"/>
          <w:numId w:val="20"/>
        </w:numPr>
        <w:rPr>
          <w:rFonts w:asciiTheme="majorHAnsi" w:hAnsiTheme="majorHAnsi"/>
        </w:rPr>
      </w:pPr>
      <w:r w:rsidRPr="005908BC">
        <w:rPr>
          <w:rFonts w:asciiTheme="majorHAnsi" w:hAnsiTheme="majorHAnsi"/>
          <w:b/>
          <w:highlight w:val="green"/>
        </w:rPr>
        <w:t>Goal</w:t>
      </w:r>
      <w:r w:rsidRPr="000B6A39">
        <w:rPr>
          <w:rFonts w:asciiTheme="majorHAnsi" w:hAnsiTheme="majorHAnsi"/>
        </w:rPr>
        <w:t>:</w:t>
      </w:r>
      <w:r>
        <w:rPr>
          <w:rFonts w:asciiTheme="majorHAnsi" w:hAnsiTheme="majorHAnsi"/>
        </w:rPr>
        <w:t xml:space="preserve"> Build a culture of shared care objectives between care delivery and individuals</w:t>
      </w:r>
    </w:p>
    <w:p w:rsidR="00F07EEB" w:rsidRDefault="00F07EEB" w:rsidP="00F07EEB">
      <w:pPr>
        <w:pStyle w:val="ListParagraph"/>
        <w:numPr>
          <w:ilvl w:val="1"/>
          <w:numId w:val="20"/>
        </w:numPr>
        <w:rPr>
          <w:rFonts w:asciiTheme="majorHAnsi" w:hAnsiTheme="majorHAnsi"/>
        </w:rPr>
      </w:pPr>
      <w:r w:rsidRPr="000B6A39">
        <w:rPr>
          <w:rFonts w:asciiTheme="majorHAnsi" w:hAnsiTheme="majorHAnsi"/>
        </w:rPr>
        <w:t xml:space="preserve">Objective: </w:t>
      </w:r>
      <w:r>
        <w:rPr>
          <w:rFonts w:asciiTheme="majorHAnsi" w:hAnsiTheme="majorHAnsi"/>
        </w:rPr>
        <w:t xml:space="preserve"> Support care providers and individuals in establishing and meeting shared care objectives/goals</w:t>
      </w:r>
    </w:p>
    <w:p w:rsidR="00F07EEB" w:rsidRDefault="00F07EEB" w:rsidP="00F07EEB">
      <w:pPr>
        <w:pStyle w:val="ListParagraph"/>
        <w:numPr>
          <w:ilvl w:val="1"/>
          <w:numId w:val="20"/>
        </w:numPr>
        <w:rPr>
          <w:rFonts w:asciiTheme="majorHAnsi" w:hAnsiTheme="majorHAnsi"/>
        </w:rPr>
      </w:pPr>
      <w:r>
        <w:rPr>
          <w:rFonts w:asciiTheme="majorHAnsi" w:hAnsiTheme="majorHAnsi"/>
        </w:rPr>
        <w:t xml:space="preserve">Description: Historically, incentives have encouraged the use of Health IT in measuring and reporting clinical quality measures, and separately in engaging patients and families.  Long-term, Health IT </w:t>
      </w:r>
      <w:r w:rsidRPr="004D3574">
        <w:rPr>
          <w:rFonts w:asciiTheme="majorHAnsi" w:hAnsiTheme="majorHAnsi"/>
        </w:rPr>
        <w:t>will play a crucial role in supporting</w:t>
      </w:r>
      <w:r>
        <w:rPr>
          <w:rFonts w:asciiTheme="majorHAnsi" w:hAnsiTheme="majorHAnsi"/>
        </w:rPr>
        <w:t xml:space="preserve"> care delivery systems and individuals coming together around shared objectives or goals </w:t>
      </w:r>
      <w:r>
        <w:rPr>
          <w:rFonts w:asciiTheme="majorHAnsi" w:hAnsiTheme="majorHAnsi"/>
        </w:rPr>
        <w:lastRenderedPageBreak/>
        <w:t xml:space="preserve">for their care, and aligning patient engagement efforts as well as quality measurement and reporting efforts around those objectives.  </w:t>
      </w:r>
      <w:r w:rsidRPr="004D3574">
        <w:rPr>
          <w:rFonts w:asciiTheme="majorHAnsi" w:hAnsiTheme="majorHAnsi"/>
        </w:rPr>
        <w:t xml:space="preserve"> </w:t>
      </w:r>
      <w:r>
        <w:rPr>
          <w:rFonts w:asciiTheme="majorHAnsi" w:hAnsiTheme="majorHAnsi"/>
        </w:rPr>
        <w:t xml:space="preserve">Payment reform can help align health care provider incentives with beneficiary incentives, where providers are incentivized to document and support these mutually agreed-upon objectives and patients are incentivized to engage in doing their part to meet them as well.  The end result will be a health care system that consistently, continuously and collaboratively works with individuals to document, measure and refine the objectives that are both achievable by the delivery system and meaningful to the patient. </w:t>
      </w:r>
    </w:p>
    <w:p w:rsidR="00F07EEB" w:rsidRDefault="00F07EEB" w:rsidP="00F07EEB">
      <w:pPr>
        <w:pStyle w:val="ListParagraph"/>
        <w:numPr>
          <w:ilvl w:val="2"/>
          <w:numId w:val="20"/>
        </w:numPr>
        <w:rPr>
          <w:rFonts w:asciiTheme="majorHAnsi" w:hAnsiTheme="majorHAnsi"/>
        </w:rPr>
      </w:pPr>
      <w:r>
        <w:rPr>
          <w:rFonts w:asciiTheme="majorHAnsi" w:hAnsiTheme="majorHAnsi"/>
        </w:rPr>
        <w:t>3 year outcome – Patient engagement efforts, including patient-generated health data, are aligned with the established care and quality objectives of the health care system, including around chronic care and acute (post-discharge) management</w:t>
      </w:r>
    </w:p>
    <w:p w:rsidR="00F07EEB" w:rsidRDefault="00F07EEB" w:rsidP="00F07EEB">
      <w:pPr>
        <w:pStyle w:val="ListParagraph"/>
        <w:numPr>
          <w:ilvl w:val="2"/>
          <w:numId w:val="20"/>
        </w:numPr>
        <w:rPr>
          <w:rFonts w:asciiTheme="majorHAnsi" w:hAnsiTheme="majorHAnsi"/>
        </w:rPr>
      </w:pPr>
      <w:r>
        <w:rPr>
          <w:rFonts w:asciiTheme="majorHAnsi" w:hAnsiTheme="majorHAnsi"/>
        </w:rPr>
        <w:t xml:space="preserve">6 year outcome – Alignment of patient engagement and clinical quality measurement efforts such that patients and care providers are measuring, reporting, and engaging patients around the care objectives that are achievable by the delivery system and meaningful to the patient.  </w:t>
      </w:r>
    </w:p>
    <w:p w:rsidR="00F07EEB" w:rsidRDefault="00F07EEB" w:rsidP="00F07EEB">
      <w:pPr>
        <w:pStyle w:val="ListParagraph"/>
        <w:numPr>
          <w:ilvl w:val="2"/>
          <w:numId w:val="20"/>
        </w:numPr>
        <w:rPr>
          <w:rFonts w:asciiTheme="majorHAnsi" w:hAnsiTheme="majorHAnsi"/>
        </w:rPr>
      </w:pPr>
      <w:r>
        <w:rPr>
          <w:rFonts w:asciiTheme="majorHAnsi" w:hAnsiTheme="majorHAnsi"/>
        </w:rPr>
        <w:t>6 year outcome – Alignment of incentives for care providers and beneficiaries (Medicare, MA, etc) to document and meet mutually agreed-upon care objectives.</w:t>
      </w:r>
    </w:p>
    <w:p w:rsidR="00F07EEB" w:rsidRDefault="00F07EEB" w:rsidP="00F07EEB">
      <w:pPr>
        <w:pStyle w:val="ListParagraph"/>
        <w:numPr>
          <w:ilvl w:val="2"/>
          <w:numId w:val="20"/>
        </w:numPr>
        <w:rPr>
          <w:rFonts w:asciiTheme="majorHAnsi" w:hAnsiTheme="majorHAnsi"/>
        </w:rPr>
      </w:pPr>
      <w:r>
        <w:rPr>
          <w:rFonts w:asciiTheme="majorHAnsi" w:hAnsiTheme="majorHAnsi"/>
        </w:rPr>
        <w:t xml:space="preserve">Strategies:  </w:t>
      </w:r>
    </w:p>
    <w:p w:rsidR="00F07EEB" w:rsidRDefault="00F07EEB" w:rsidP="00F07EEB">
      <w:pPr>
        <w:pStyle w:val="ListParagraph"/>
        <w:numPr>
          <w:ilvl w:val="3"/>
          <w:numId w:val="20"/>
        </w:numPr>
        <w:rPr>
          <w:rFonts w:asciiTheme="majorHAnsi" w:hAnsiTheme="majorHAnsi"/>
        </w:rPr>
      </w:pPr>
      <w:r w:rsidRPr="000B6A39">
        <w:rPr>
          <w:rFonts w:asciiTheme="majorHAnsi" w:hAnsiTheme="majorHAnsi"/>
        </w:rPr>
        <w:t>Care planning</w:t>
      </w:r>
      <w:r>
        <w:rPr>
          <w:rFonts w:asciiTheme="majorHAnsi" w:hAnsiTheme="majorHAnsi"/>
        </w:rPr>
        <w:t xml:space="preserve"> (MOVED HERE)</w:t>
      </w:r>
      <w:r w:rsidRPr="000B6A39">
        <w:rPr>
          <w:rFonts w:asciiTheme="majorHAnsi" w:hAnsiTheme="majorHAnsi"/>
        </w:rPr>
        <w:t xml:space="preserve"> </w:t>
      </w:r>
      <w:r>
        <w:rPr>
          <w:rFonts w:asciiTheme="majorHAnsi" w:hAnsiTheme="majorHAnsi"/>
        </w:rPr>
        <w:t>–</w:t>
      </w:r>
      <w:r w:rsidRPr="000B6A39">
        <w:rPr>
          <w:rFonts w:asciiTheme="majorHAnsi" w:hAnsiTheme="majorHAnsi"/>
        </w:rPr>
        <w:t xml:space="preserve"> </w:t>
      </w:r>
      <w:r>
        <w:rPr>
          <w:rFonts w:asciiTheme="majorHAnsi" w:hAnsiTheme="majorHAnsi"/>
        </w:rPr>
        <w:t xml:space="preserve">Solidify the definition of care plans to include the shared objectives between care delivery and patient, including but not limited to ongoing monitoring of biometrics with target levels, post-acute/post-surgical recovery criteria, medication compliance, etc. </w:t>
      </w:r>
    </w:p>
    <w:p w:rsidR="00F07EEB" w:rsidRDefault="00F07EEB" w:rsidP="00F07EEB">
      <w:pPr>
        <w:pStyle w:val="ListParagraph"/>
        <w:numPr>
          <w:ilvl w:val="3"/>
          <w:numId w:val="20"/>
        </w:numPr>
        <w:rPr>
          <w:rFonts w:asciiTheme="majorHAnsi" w:hAnsiTheme="majorHAnsi"/>
        </w:rPr>
      </w:pPr>
      <w:r>
        <w:rPr>
          <w:rFonts w:asciiTheme="majorHAnsi" w:hAnsiTheme="majorHAnsi"/>
        </w:rPr>
        <w:t>Patient-generated health data (MOVE HERE) – Support patient-generated health data as a method by which the measurement of the shared care objectives/goals is conducted</w:t>
      </w:r>
    </w:p>
    <w:p w:rsidR="00F07EEB" w:rsidRDefault="00F07EEB" w:rsidP="00F07EEB">
      <w:pPr>
        <w:pStyle w:val="ListParagraph"/>
        <w:numPr>
          <w:ilvl w:val="3"/>
          <w:numId w:val="20"/>
        </w:numPr>
        <w:rPr>
          <w:rFonts w:asciiTheme="majorHAnsi" w:hAnsiTheme="majorHAnsi"/>
        </w:rPr>
      </w:pPr>
      <w:r w:rsidRPr="000B6A39">
        <w:rPr>
          <w:rFonts w:asciiTheme="majorHAnsi" w:hAnsiTheme="majorHAnsi"/>
        </w:rPr>
        <w:t xml:space="preserve">Quality measurement – </w:t>
      </w:r>
      <w:r>
        <w:rPr>
          <w:rFonts w:asciiTheme="majorHAnsi" w:hAnsiTheme="majorHAnsi"/>
        </w:rPr>
        <w:t>Evolve q</w:t>
      </w:r>
      <w:r w:rsidRPr="000B6A39">
        <w:rPr>
          <w:rFonts w:asciiTheme="majorHAnsi" w:hAnsiTheme="majorHAnsi"/>
        </w:rPr>
        <w:t xml:space="preserve">uality measurement </w:t>
      </w:r>
      <w:r>
        <w:rPr>
          <w:rFonts w:asciiTheme="majorHAnsi" w:hAnsiTheme="majorHAnsi"/>
        </w:rPr>
        <w:t>toward the</w:t>
      </w:r>
      <w:r w:rsidRPr="000B6A39">
        <w:rPr>
          <w:rFonts w:asciiTheme="majorHAnsi" w:hAnsiTheme="majorHAnsi"/>
        </w:rPr>
        <w:t xml:space="preserve"> patient progress, process and outcomes measures that are shared between the individual and their care providers.  </w:t>
      </w:r>
    </w:p>
    <w:p w:rsidR="00F07EEB" w:rsidRDefault="00F07EEB" w:rsidP="00F07EEB">
      <w:pPr>
        <w:rPr>
          <w:rFonts w:asciiTheme="majorHAnsi" w:hAnsiTheme="majorHAnsi"/>
        </w:rPr>
      </w:pPr>
    </w:p>
    <w:p w:rsidR="00F07EEB" w:rsidRPr="006F6FA8" w:rsidRDefault="00F07EEB" w:rsidP="00F07EEB">
      <w:pPr>
        <w:rPr>
          <w:rFonts w:asciiTheme="majorHAnsi" w:hAnsiTheme="majorHAnsi"/>
        </w:rPr>
      </w:pPr>
    </w:p>
    <w:p w:rsidR="00524B99" w:rsidRPr="00985BD8" w:rsidRDefault="00524B99">
      <w:pPr>
        <w:rPr>
          <w:rFonts w:asciiTheme="majorHAnsi" w:hAnsiTheme="majorHAnsi"/>
        </w:rPr>
      </w:pPr>
    </w:p>
    <w:sectPr w:rsidR="00524B99" w:rsidRPr="00985BD8" w:rsidSect="00C95560">
      <w:headerReference w:type="even" r:id="rId8"/>
      <w:headerReference w:type="default" r:id="rId9"/>
      <w:footerReference w:type="even" r:id="rId10"/>
      <w:footerReference w:type="default" r:id="rId11"/>
      <w:headerReference w:type="first" r:id="rId12"/>
      <w:footerReference w:type="first" r:id="rId13"/>
      <w:pgSz w:w="2016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7F6A" w:rsidRDefault="00A37F6A" w:rsidP="006641EF">
      <w:r>
        <w:separator/>
      </w:r>
    </w:p>
  </w:endnote>
  <w:endnote w:type="continuationSeparator" w:id="0">
    <w:p w:rsidR="00A37F6A" w:rsidRDefault="00A37F6A" w:rsidP="006641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3827" w:rsidRDefault="00A1382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36856280"/>
      <w:docPartObj>
        <w:docPartGallery w:val="Page Numbers (Bottom of Page)"/>
        <w:docPartUnique/>
      </w:docPartObj>
    </w:sdtPr>
    <w:sdtEndPr>
      <w:rPr>
        <w:noProof/>
      </w:rPr>
    </w:sdtEndPr>
    <w:sdtContent>
      <w:p w:rsidR="00A13827" w:rsidRDefault="00035336">
        <w:pPr>
          <w:pStyle w:val="Footer"/>
        </w:pPr>
        <w:r>
          <w:fldChar w:fldCharType="begin"/>
        </w:r>
        <w:r w:rsidR="00A13827">
          <w:instrText xml:space="preserve"> PAGE   \* MERGEFORMAT </w:instrText>
        </w:r>
        <w:r>
          <w:fldChar w:fldCharType="separate"/>
        </w:r>
        <w:r w:rsidR="00ED457C">
          <w:rPr>
            <w:noProof/>
          </w:rPr>
          <w:t>1</w:t>
        </w:r>
        <w:r>
          <w:rPr>
            <w:noProof/>
          </w:rPr>
          <w:fldChar w:fldCharType="end"/>
        </w:r>
      </w:p>
    </w:sdtContent>
  </w:sdt>
  <w:p w:rsidR="00A13827" w:rsidRDefault="00A1382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3827" w:rsidRDefault="00A1382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7F6A" w:rsidRDefault="00A37F6A" w:rsidP="006641EF">
      <w:r>
        <w:separator/>
      </w:r>
    </w:p>
  </w:footnote>
  <w:footnote w:type="continuationSeparator" w:id="0">
    <w:p w:rsidR="00A37F6A" w:rsidRDefault="00A37F6A" w:rsidP="006641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3827" w:rsidRDefault="00A1382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3827" w:rsidRDefault="00A13827">
    <w:pPr>
      <w:pStyle w:val="Header"/>
    </w:pPr>
    <w:r>
      <w:t>1/19/2015</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3827" w:rsidRDefault="00A1382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36CEF"/>
    <w:multiLevelType w:val="hybridMultilevel"/>
    <w:tmpl w:val="BEC4F1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64C530D"/>
    <w:multiLevelType w:val="hybridMultilevel"/>
    <w:tmpl w:val="806AE56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D8E36CE"/>
    <w:multiLevelType w:val="hybridMultilevel"/>
    <w:tmpl w:val="09A093A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03D37EA"/>
    <w:multiLevelType w:val="hybridMultilevel"/>
    <w:tmpl w:val="72FCB3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15162DC9"/>
    <w:multiLevelType w:val="hybridMultilevel"/>
    <w:tmpl w:val="49D852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1B3C0668"/>
    <w:multiLevelType w:val="hybridMultilevel"/>
    <w:tmpl w:val="0B8C3B6E"/>
    <w:lvl w:ilvl="0" w:tplc="5CFC87AE">
      <w:start w:val="1"/>
      <w:numFmt w:val="bullet"/>
      <w:lvlText w:val="–"/>
      <w:lvlJc w:val="left"/>
      <w:pPr>
        <w:tabs>
          <w:tab w:val="num" w:pos="360"/>
        </w:tabs>
        <w:ind w:left="360" w:hanging="360"/>
      </w:pPr>
      <w:rPr>
        <w:rFonts w:ascii="Arial" w:hAnsi="Arial" w:hint="default"/>
      </w:rPr>
    </w:lvl>
    <w:lvl w:ilvl="1" w:tplc="0409000F">
      <w:start w:val="1"/>
      <w:numFmt w:val="decimal"/>
      <w:lvlText w:val="%2."/>
      <w:lvlJc w:val="left"/>
      <w:pPr>
        <w:ind w:left="1080" w:hanging="360"/>
      </w:pPr>
      <w:rPr>
        <w:rFonts w:hint="default"/>
      </w:rPr>
    </w:lvl>
    <w:lvl w:ilvl="2" w:tplc="3612D544" w:tentative="1">
      <w:start w:val="1"/>
      <w:numFmt w:val="bullet"/>
      <w:lvlText w:val="–"/>
      <w:lvlJc w:val="left"/>
      <w:pPr>
        <w:tabs>
          <w:tab w:val="num" w:pos="1800"/>
        </w:tabs>
        <w:ind w:left="1800" w:hanging="360"/>
      </w:pPr>
      <w:rPr>
        <w:rFonts w:ascii="Arial" w:hAnsi="Arial" w:hint="default"/>
      </w:rPr>
    </w:lvl>
    <w:lvl w:ilvl="3" w:tplc="532EA65A" w:tentative="1">
      <w:start w:val="1"/>
      <w:numFmt w:val="bullet"/>
      <w:lvlText w:val="–"/>
      <w:lvlJc w:val="left"/>
      <w:pPr>
        <w:tabs>
          <w:tab w:val="num" w:pos="2520"/>
        </w:tabs>
        <w:ind w:left="2520" w:hanging="360"/>
      </w:pPr>
      <w:rPr>
        <w:rFonts w:ascii="Arial" w:hAnsi="Arial" w:hint="default"/>
      </w:rPr>
    </w:lvl>
    <w:lvl w:ilvl="4" w:tplc="718A5094" w:tentative="1">
      <w:start w:val="1"/>
      <w:numFmt w:val="bullet"/>
      <w:lvlText w:val="–"/>
      <w:lvlJc w:val="left"/>
      <w:pPr>
        <w:tabs>
          <w:tab w:val="num" w:pos="3240"/>
        </w:tabs>
        <w:ind w:left="3240" w:hanging="360"/>
      </w:pPr>
      <w:rPr>
        <w:rFonts w:ascii="Arial" w:hAnsi="Arial" w:hint="default"/>
      </w:rPr>
    </w:lvl>
    <w:lvl w:ilvl="5" w:tplc="D41CC490" w:tentative="1">
      <w:start w:val="1"/>
      <w:numFmt w:val="bullet"/>
      <w:lvlText w:val="–"/>
      <w:lvlJc w:val="left"/>
      <w:pPr>
        <w:tabs>
          <w:tab w:val="num" w:pos="3960"/>
        </w:tabs>
        <w:ind w:left="3960" w:hanging="360"/>
      </w:pPr>
      <w:rPr>
        <w:rFonts w:ascii="Arial" w:hAnsi="Arial" w:hint="default"/>
      </w:rPr>
    </w:lvl>
    <w:lvl w:ilvl="6" w:tplc="6ED44658" w:tentative="1">
      <w:start w:val="1"/>
      <w:numFmt w:val="bullet"/>
      <w:lvlText w:val="–"/>
      <w:lvlJc w:val="left"/>
      <w:pPr>
        <w:tabs>
          <w:tab w:val="num" w:pos="4680"/>
        </w:tabs>
        <w:ind w:left="4680" w:hanging="360"/>
      </w:pPr>
      <w:rPr>
        <w:rFonts w:ascii="Arial" w:hAnsi="Arial" w:hint="default"/>
      </w:rPr>
    </w:lvl>
    <w:lvl w:ilvl="7" w:tplc="F86E2334" w:tentative="1">
      <w:start w:val="1"/>
      <w:numFmt w:val="bullet"/>
      <w:lvlText w:val="–"/>
      <w:lvlJc w:val="left"/>
      <w:pPr>
        <w:tabs>
          <w:tab w:val="num" w:pos="5400"/>
        </w:tabs>
        <w:ind w:left="5400" w:hanging="360"/>
      </w:pPr>
      <w:rPr>
        <w:rFonts w:ascii="Arial" w:hAnsi="Arial" w:hint="default"/>
      </w:rPr>
    </w:lvl>
    <w:lvl w:ilvl="8" w:tplc="EDB61F28" w:tentative="1">
      <w:start w:val="1"/>
      <w:numFmt w:val="bullet"/>
      <w:lvlText w:val="–"/>
      <w:lvlJc w:val="left"/>
      <w:pPr>
        <w:tabs>
          <w:tab w:val="num" w:pos="6120"/>
        </w:tabs>
        <w:ind w:left="6120" w:hanging="360"/>
      </w:pPr>
      <w:rPr>
        <w:rFonts w:ascii="Arial" w:hAnsi="Arial" w:hint="default"/>
      </w:rPr>
    </w:lvl>
  </w:abstractNum>
  <w:abstractNum w:abstractNumId="6">
    <w:nsid w:val="20964C89"/>
    <w:multiLevelType w:val="hybridMultilevel"/>
    <w:tmpl w:val="AC1E8FA6"/>
    <w:lvl w:ilvl="0" w:tplc="7F5A2E1E">
      <w:start w:val="1"/>
      <w:numFmt w:val="bullet"/>
      <w:lvlText w:val="–"/>
      <w:lvlJc w:val="left"/>
      <w:pPr>
        <w:tabs>
          <w:tab w:val="num" w:pos="720"/>
        </w:tabs>
        <w:ind w:left="720" w:hanging="360"/>
      </w:pPr>
      <w:rPr>
        <w:rFonts w:ascii="Arial" w:hAnsi="Arial" w:hint="default"/>
      </w:rPr>
    </w:lvl>
    <w:lvl w:ilvl="1" w:tplc="B99C0C66">
      <w:start w:val="1"/>
      <w:numFmt w:val="bullet"/>
      <w:lvlText w:val="–"/>
      <w:lvlJc w:val="left"/>
      <w:pPr>
        <w:tabs>
          <w:tab w:val="num" w:pos="1440"/>
        </w:tabs>
        <w:ind w:left="1440" w:hanging="360"/>
      </w:pPr>
      <w:rPr>
        <w:rFonts w:ascii="Arial" w:hAnsi="Arial" w:hint="default"/>
      </w:rPr>
    </w:lvl>
    <w:lvl w:ilvl="2" w:tplc="106AF0C6" w:tentative="1">
      <w:start w:val="1"/>
      <w:numFmt w:val="bullet"/>
      <w:lvlText w:val="–"/>
      <w:lvlJc w:val="left"/>
      <w:pPr>
        <w:tabs>
          <w:tab w:val="num" w:pos="2160"/>
        </w:tabs>
        <w:ind w:left="2160" w:hanging="360"/>
      </w:pPr>
      <w:rPr>
        <w:rFonts w:ascii="Arial" w:hAnsi="Arial" w:hint="default"/>
      </w:rPr>
    </w:lvl>
    <w:lvl w:ilvl="3" w:tplc="8A66F6B0" w:tentative="1">
      <w:start w:val="1"/>
      <w:numFmt w:val="bullet"/>
      <w:lvlText w:val="–"/>
      <w:lvlJc w:val="left"/>
      <w:pPr>
        <w:tabs>
          <w:tab w:val="num" w:pos="2880"/>
        </w:tabs>
        <w:ind w:left="2880" w:hanging="360"/>
      </w:pPr>
      <w:rPr>
        <w:rFonts w:ascii="Arial" w:hAnsi="Arial" w:hint="default"/>
      </w:rPr>
    </w:lvl>
    <w:lvl w:ilvl="4" w:tplc="562C4272" w:tentative="1">
      <w:start w:val="1"/>
      <w:numFmt w:val="bullet"/>
      <w:lvlText w:val="–"/>
      <w:lvlJc w:val="left"/>
      <w:pPr>
        <w:tabs>
          <w:tab w:val="num" w:pos="3600"/>
        </w:tabs>
        <w:ind w:left="3600" w:hanging="360"/>
      </w:pPr>
      <w:rPr>
        <w:rFonts w:ascii="Arial" w:hAnsi="Arial" w:hint="default"/>
      </w:rPr>
    </w:lvl>
    <w:lvl w:ilvl="5" w:tplc="5B9850A6" w:tentative="1">
      <w:start w:val="1"/>
      <w:numFmt w:val="bullet"/>
      <w:lvlText w:val="–"/>
      <w:lvlJc w:val="left"/>
      <w:pPr>
        <w:tabs>
          <w:tab w:val="num" w:pos="4320"/>
        </w:tabs>
        <w:ind w:left="4320" w:hanging="360"/>
      </w:pPr>
      <w:rPr>
        <w:rFonts w:ascii="Arial" w:hAnsi="Arial" w:hint="default"/>
      </w:rPr>
    </w:lvl>
    <w:lvl w:ilvl="6" w:tplc="893652C8" w:tentative="1">
      <w:start w:val="1"/>
      <w:numFmt w:val="bullet"/>
      <w:lvlText w:val="–"/>
      <w:lvlJc w:val="left"/>
      <w:pPr>
        <w:tabs>
          <w:tab w:val="num" w:pos="5040"/>
        </w:tabs>
        <w:ind w:left="5040" w:hanging="360"/>
      </w:pPr>
      <w:rPr>
        <w:rFonts w:ascii="Arial" w:hAnsi="Arial" w:hint="default"/>
      </w:rPr>
    </w:lvl>
    <w:lvl w:ilvl="7" w:tplc="4FBEC196" w:tentative="1">
      <w:start w:val="1"/>
      <w:numFmt w:val="bullet"/>
      <w:lvlText w:val="–"/>
      <w:lvlJc w:val="left"/>
      <w:pPr>
        <w:tabs>
          <w:tab w:val="num" w:pos="5760"/>
        </w:tabs>
        <w:ind w:left="5760" w:hanging="360"/>
      </w:pPr>
      <w:rPr>
        <w:rFonts w:ascii="Arial" w:hAnsi="Arial" w:hint="default"/>
      </w:rPr>
    </w:lvl>
    <w:lvl w:ilvl="8" w:tplc="48FE8D12" w:tentative="1">
      <w:start w:val="1"/>
      <w:numFmt w:val="bullet"/>
      <w:lvlText w:val="–"/>
      <w:lvlJc w:val="left"/>
      <w:pPr>
        <w:tabs>
          <w:tab w:val="num" w:pos="6480"/>
        </w:tabs>
        <w:ind w:left="6480" w:hanging="360"/>
      </w:pPr>
      <w:rPr>
        <w:rFonts w:ascii="Arial" w:hAnsi="Arial" w:hint="default"/>
      </w:rPr>
    </w:lvl>
  </w:abstractNum>
  <w:abstractNum w:abstractNumId="7">
    <w:nsid w:val="23D153D3"/>
    <w:multiLevelType w:val="hybridMultilevel"/>
    <w:tmpl w:val="D174E5E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069689A"/>
    <w:multiLevelType w:val="hybridMultilevel"/>
    <w:tmpl w:val="3C665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6BA0500"/>
    <w:multiLevelType w:val="hybridMultilevel"/>
    <w:tmpl w:val="1820E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81A5E27"/>
    <w:multiLevelType w:val="hybridMultilevel"/>
    <w:tmpl w:val="E14E0A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59D1F22"/>
    <w:multiLevelType w:val="hybridMultilevel"/>
    <w:tmpl w:val="0360C992"/>
    <w:lvl w:ilvl="0" w:tplc="99B07BD0">
      <w:start w:val="1"/>
      <w:numFmt w:val="bullet"/>
      <w:lvlText w:val="•"/>
      <w:lvlJc w:val="left"/>
      <w:pPr>
        <w:tabs>
          <w:tab w:val="num" w:pos="720"/>
        </w:tabs>
        <w:ind w:left="720" w:hanging="360"/>
      </w:pPr>
      <w:rPr>
        <w:rFonts w:ascii="Arial" w:hAnsi="Arial" w:hint="default"/>
      </w:rPr>
    </w:lvl>
    <w:lvl w:ilvl="1" w:tplc="5502B14A" w:tentative="1">
      <w:start w:val="1"/>
      <w:numFmt w:val="bullet"/>
      <w:lvlText w:val="•"/>
      <w:lvlJc w:val="left"/>
      <w:pPr>
        <w:tabs>
          <w:tab w:val="num" w:pos="1440"/>
        </w:tabs>
        <w:ind w:left="1440" w:hanging="360"/>
      </w:pPr>
      <w:rPr>
        <w:rFonts w:ascii="Arial" w:hAnsi="Arial" w:hint="default"/>
      </w:rPr>
    </w:lvl>
    <w:lvl w:ilvl="2" w:tplc="0C28BAE4" w:tentative="1">
      <w:start w:val="1"/>
      <w:numFmt w:val="bullet"/>
      <w:lvlText w:val="•"/>
      <w:lvlJc w:val="left"/>
      <w:pPr>
        <w:tabs>
          <w:tab w:val="num" w:pos="2160"/>
        </w:tabs>
        <w:ind w:left="2160" w:hanging="360"/>
      </w:pPr>
      <w:rPr>
        <w:rFonts w:ascii="Arial" w:hAnsi="Arial" w:hint="default"/>
      </w:rPr>
    </w:lvl>
    <w:lvl w:ilvl="3" w:tplc="59DA7A7C" w:tentative="1">
      <w:start w:val="1"/>
      <w:numFmt w:val="bullet"/>
      <w:lvlText w:val="•"/>
      <w:lvlJc w:val="left"/>
      <w:pPr>
        <w:tabs>
          <w:tab w:val="num" w:pos="2880"/>
        </w:tabs>
        <w:ind w:left="2880" w:hanging="360"/>
      </w:pPr>
      <w:rPr>
        <w:rFonts w:ascii="Arial" w:hAnsi="Arial" w:hint="default"/>
      </w:rPr>
    </w:lvl>
    <w:lvl w:ilvl="4" w:tplc="6562D04A" w:tentative="1">
      <w:start w:val="1"/>
      <w:numFmt w:val="bullet"/>
      <w:lvlText w:val="•"/>
      <w:lvlJc w:val="left"/>
      <w:pPr>
        <w:tabs>
          <w:tab w:val="num" w:pos="3600"/>
        </w:tabs>
        <w:ind w:left="3600" w:hanging="360"/>
      </w:pPr>
      <w:rPr>
        <w:rFonts w:ascii="Arial" w:hAnsi="Arial" w:hint="default"/>
      </w:rPr>
    </w:lvl>
    <w:lvl w:ilvl="5" w:tplc="5AC6B836" w:tentative="1">
      <w:start w:val="1"/>
      <w:numFmt w:val="bullet"/>
      <w:lvlText w:val="•"/>
      <w:lvlJc w:val="left"/>
      <w:pPr>
        <w:tabs>
          <w:tab w:val="num" w:pos="4320"/>
        </w:tabs>
        <w:ind w:left="4320" w:hanging="360"/>
      </w:pPr>
      <w:rPr>
        <w:rFonts w:ascii="Arial" w:hAnsi="Arial" w:hint="default"/>
      </w:rPr>
    </w:lvl>
    <w:lvl w:ilvl="6" w:tplc="7FBA98DA" w:tentative="1">
      <w:start w:val="1"/>
      <w:numFmt w:val="bullet"/>
      <w:lvlText w:val="•"/>
      <w:lvlJc w:val="left"/>
      <w:pPr>
        <w:tabs>
          <w:tab w:val="num" w:pos="5040"/>
        </w:tabs>
        <w:ind w:left="5040" w:hanging="360"/>
      </w:pPr>
      <w:rPr>
        <w:rFonts w:ascii="Arial" w:hAnsi="Arial" w:hint="default"/>
      </w:rPr>
    </w:lvl>
    <w:lvl w:ilvl="7" w:tplc="49CC63B8" w:tentative="1">
      <w:start w:val="1"/>
      <w:numFmt w:val="bullet"/>
      <w:lvlText w:val="•"/>
      <w:lvlJc w:val="left"/>
      <w:pPr>
        <w:tabs>
          <w:tab w:val="num" w:pos="5760"/>
        </w:tabs>
        <w:ind w:left="5760" w:hanging="360"/>
      </w:pPr>
      <w:rPr>
        <w:rFonts w:ascii="Arial" w:hAnsi="Arial" w:hint="default"/>
      </w:rPr>
    </w:lvl>
    <w:lvl w:ilvl="8" w:tplc="20085E12" w:tentative="1">
      <w:start w:val="1"/>
      <w:numFmt w:val="bullet"/>
      <w:lvlText w:val="•"/>
      <w:lvlJc w:val="left"/>
      <w:pPr>
        <w:tabs>
          <w:tab w:val="num" w:pos="6480"/>
        </w:tabs>
        <w:ind w:left="6480" w:hanging="360"/>
      </w:pPr>
      <w:rPr>
        <w:rFonts w:ascii="Arial" w:hAnsi="Arial" w:hint="default"/>
      </w:rPr>
    </w:lvl>
  </w:abstractNum>
  <w:abstractNum w:abstractNumId="12">
    <w:nsid w:val="5937566F"/>
    <w:multiLevelType w:val="hybridMultilevel"/>
    <w:tmpl w:val="001C6A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C1A1CC1"/>
    <w:multiLevelType w:val="hybridMultilevel"/>
    <w:tmpl w:val="BB9608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C392F46"/>
    <w:multiLevelType w:val="hybridMultilevel"/>
    <w:tmpl w:val="A8BA7F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F187557"/>
    <w:multiLevelType w:val="hybridMultilevel"/>
    <w:tmpl w:val="9DD8CE88"/>
    <w:lvl w:ilvl="0" w:tplc="C1AC8582">
      <w:start w:val="1"/>
      <w:numFmt w:val="bullet"/>
      <w:lvlText w:val="–"/>
      <w:lvlJc w:val="left"/>
      <w:pPr>
        <w:tabs>
          <w:tab w:val="num" w:pos="720"/>
        </w:tabs>
        <w:ind w:left="720" w:hanging="360"/>
      </w:pPr>
      <w:rPr>
        <w:rFonts w:ascii="Arial" w:hAnsi="Arial" w:hint="default"/>
      </w:rPr>
    </w:lvl>
    <w:lvl w:ilvl="1" w:tplc="5B8209C6">
      <w:start w:val="1"/>
      <w:numFmt w:val="bullet"/>
      <w:lvlText w:val="–"/>
      <w:lvlJc w:val="left"/>
      <w:pPr>
        <w:tabs>
          <w:tab w:val="num" w:pos="1440"/>
        </w:tabs>
        <w:ind w:left="1440" w:hanging="360"/>
      </w:pPr>
      <w:rPr>
        <w:rFonts w:ascii="Arial" w:hAnsi="Arial" w:hint="default"/>
      </w:rPr>
    </w:lvl>
    <w:lvl w:ilvl="2" w:tplc="54FEF07E" w:tentative="1">
      <w:start w:val="1"/>
      <w:numFmt w:val="bullet"/>
      <w:lvlText w:val="–"/>
      <w:lvlJc w:val="left"/>
      <w:pPr>
        <w:tabs>
          <w:tab w:val="num" w:pos="2160"/>
        </w:tabs>
        <w:ind w:left="2160" w:hanging="360"/>
      </w:pPr>
      <w:rPr>
        <w:rFonts w:ascii="Arial" w:hAnsi="Arial" w:hint="default"/>
      </w:rPr>
    </w:lvl>
    <w:lvl w:ilvl="3" w:tplc="AF6E8A44" w:tentative="1">
      <w:start w:val="1"/>
      <w:numFmt w:val="bullet"/>
      <w:lvlText w:val="–"/>
      <w:lvlJc w:val="left"/>
      <w:pPr>
        <w:tabs>
          <w:tab w:val="num" w:pos="2880"/>
        </w:tabs>
        <w:ind w:left="2880" w:hanging="360"/>
      </w:pPr>
      <w:rPr>
        <w:rFonts w:ascii="Arial" w:hAnsi="Arial" w:hint="default"/>
      </w:rPr>
    </w:lvl>
    <w:lvl w:ilvl="4" w:tplc="F15E6A8E" w:tentative="1">
      <w:start w:val="1"/>
      <w:numFmt w:val="bullet"/>
      <w:lvlText w:val="–"/>
      <w:lvlJc w:val="left"/>
      <w:pPr>
        <w:tabs>
          <w:tab w:val="num" w:pos="3600"/>
        </w:tabs>
        <w:ind w:left="3600" w:hanging="360"/>
      </w:pPr>
      <w:rPr>
        <w:rFonts w:ascii="Arial" w:hAnsi="Arial" w:hint="default"/>
      </w:rPr>
    </w:lvl>
    <w:lvl w:ilvl="5" w:tplc="390E4076" w:tentative="1">
      <w:start w:val="1"/>
      <w:numFmt w:val="bullet"/>
      <w:lvlText w:val="–"/>
      <w:lvlJc w:val="left"/>
      <w:pPr>
        <w:tabs>
          <w:tab w:val="num" w:pos="4320"/>
        </w:tabs>
        <w:ind w:left="4320" w:hanging="360"/>
      </w:pPr>
      <w:rPr>
        <w:rFonts w:ascii="Arial" w:hAnsi="Arial" w:hint="default"/>
      </w:rPr>
    </w:lvl>
    <w:lvl w:ilvl="6" w:tplc="7378524C" w:tentative="1">
      <w:start w:val="1"/>
      <w:numFmt w:val="bullet"/>
      <w:lvlText w:val="–"/>
      <w:lvlJc w:val="left"/>
      <w:pPr>
        <w:tabs>
          <w:tab w:val="num" w:pos="5040"/>
        </w:tabs>
        <w:ind w:left="5040" w:hanging="360"/>
      </w:pPr>
      <w:rPr>
        <w:rFonts w:ascii="Arial" w:hAnsi="Arial" w:hint="default"/>
      </w:rPr>
    </w:lvl>
    <w:lvl w:ilvl="7" w:tplc="C7268446" w:tentative="1">
      <w:start w:val="1"/>
      <w:numFmt w:val="bullet"/>
      <w:lvlText w:val="–"/>
      <w:lvlJc w:val="left"/>
      <w:pPr>
        <w:tabs>
          <w:tab w:val="num" w:pos="5760"/>
        </w:tabs>
        <w:ind w:left="5760" w:hanging="360"/>
      </w:pPr>
      <w:rPr>
        <w:rFonts w:ascii="Arial" w:hAnsi="Arial" w:hint="default"/>
      </w:rPr>
    </w:lvl>
    <w:lvl w:ilvl="8" w:tplc="D2CC73E4" w:tentative="1">
      <w:start w:val="1"/>
      <w:numFmt w:val="bullet"/>
      <w:lvlText w:val="–"/>
      <w:lvlJc w:val="left"/>
      <w:pPr>
        <w:tabs>
          <w:tab w:val="num" w:pos="6480"/>
        </w:tabs>
        <w:ind w:left="6480" w:hanging="360"/>
      </w:pPr>
      <w:rPr>
        <w:rFonts w:ascii="Arial" w:hAnsi="Arial" w:hint="default"/>
      </w:rPr>
    </w:lvl>
  </w:abstractNum>
  <w:abstractNum w:abstractNumId="16">
    <w:nsid w:val="63311DD0"/>
    <w:multiLevelType w:val="hybridMultilevel"/>
    <w:tmpl w:val="09A093A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C263B88"/>
    <w:multiLevelType w:val="hybridMultilevel"/>
    <w:tmpl w:val="03508F64"/>
    <w:lvl w:ilvl="0" w:tplc="5CFC87AE">
      <w:start w:val="1"/>
      <w:numFmt w:val="bullet"/>
      <w:lvlText w:val="–"/>
      <w:lvlJc w:val="left"/>
      <w:pPr>
        <w:tabs>
          <w:tab w:val="num" w:pos="720"/>
        </w:tabs>
        <w:ind w:left="720" w:hanging="360"/>
      </w:pPr>
      <w:rPr>
        <w:rFonts w:ascii="Arial" w:hAnsi="Arial" w:hint="default"/>
      </w:rPr>
    </w:lvl>
    <w:lvl w:ilvl="1" w:tplc="81866D9A">
      <w:start w:val="1"/>
      <w:numFmt w:val="bullet"/>
      <w:lvlText w:val="–"/>
      <w:lvlJc w:val="left"/>
      <w:pPr>
        <w:tabs>
          <w:tab w:val="num" w:pos="1440"/>
        </w:tabs>
        <w:ind w:left="1440" w:hanging="360"/>
      </w:pPr>
      <w:rPr>
        <w:rFonts w:ascii="Arial" w:hAnsi="Arial" w:hint="default"/>
      </w:rPr>
    </w:lvl>
    <w:lvl w:ilvl="2" w:tplc="3612D544" w:tentative="1">
      <w:start w:val="1"/>
      <w:numFmt w:val="bullet"/>
      <w:lvlText w:val="–"/>
      <w:lvlJc w:val="left"/>
      <w:pPr>
        <w:tabs>
          <w:tab w:val="num" w:pos="2160"/>
        </w:tabs>
        <w:ind w:left="2160" w:hanging="360"/>
      </w:pPr>
      <w:rPr>
        <w:rFonts w:ascii="Arial" w:hAnsi="Arial" w:hint="default"/>
      </w:rPr>
    </w:lvl>
    <w:lvl w:ilvl="3" w:tplc="532EA65A" w:tentative="1">
      <w:start w:val="1"/>
      <w:numFmt w:val="bullet"/>
      <w:lvlText w:val="–"/>
      <w:lvlJc w:val="left"/>
      <w:pPr>
        <w:tabs>
          <w:tab w:val="num" w:pos="2880"/>
        </w:tabs>
        <w:ind w:left="2880" w:hanging="360"/>
      </w:pPr>
      <w:rPr>
        <w:rFonts w:ascii="Arial" w:hAnsi="Arial" w:hint="default"/>
      </w:rPr>
    </w:lvl>
    <w:lvl w:ilvl="4" w:tplc="718A5094" w:tentative="1">
      <w:start w:val="1"/>
      <w:numFmt w:val="bullet"/>
      <w:lvlText w:val="–"/>
      <w:lvlJc w:val="left"/>
      <w:pPr>
        <w:tabs>
          <w:tab w:val="num" w:pos="3600"/>
        </w:tabs>
        <w:ind w:left="3600" w:hanging="360"/>
      </w:pPr>
      <w:rPr>
        <w:rFonts w:ascii="Arial" w:hAnsi="Arial" w:hint="default"/>
      </w:rPr>
    </w:lvl>
    <w:lvl w:ilvl="5" w:tplc="D41CC490" w:tentative="1">
      <w:start w:val="1"/>
      <w:numFmt w:val="bullet"/>
      <w:lvlText w:val="–"/>
      <w:lvlJc w:val="left"/>
      <w:pPr>
        <w:tabs>
          <w:tab w:val="num" w:pos="4320"/>
        </w:tabs>
        <w:ind w:left="4320" w:hanging="360"/>
      </w:pPr>
      <w:rPr>
        <w:rFonts w:ascii="Arial" w:hAnsi="Arial" w:hint="default"/>
      </w:rPr>
    </w:lvl>
    <w:lvl w:ilvl="6" w:tplc="6ED44658" w:tentative="1">
      <w:start w:val="1"/>
      <w:numFmt w:val="bullet"/>
      <w:lvlText w:val="–"/>
      <w:lvlJc w:val="left"/>
      <w:pPr>
        <w:tabs>
          <w:tab w:val="num" w:pos="5040"/>
        </w:tabs>
        <w:ind w:left="5040" w:hanging="360"/>
      </w:pPr>
      <w:rPr>
        <w:rFonts w:ascii="Arial" w:hAnsi="Arial" w:hint="default"/>
      </w:rPr>
    </w:lvl>
    <w:lvl w:ilvl="7" w:tplc="F86E2334" w:tentative="1">
      <w:start w:val="1"/>
      <w:numFmt w:val="bullet"/>
      <w:lvlText w:val="–"/>
      <w:lvlJc w:val="left"/>
      <w:pPr>
        <w:tabs>
          <w:tab w:val="num" w:pos="5760"/>
        </w:tabs>
        <w:ind w:left="5760" w:hanging="360"/>
      </w:pPr>
      <w:rPr>
        <w:rFonts w:ascii="Arial" w:hAnsi="Arial" w:hint="default"/>
      </w:rPr>
    </w:lvl>
    <w:lvl w:ilvl="8" w:tplc="EDB61F28" w:tentative="1">
      <w:start w:val="1"/>
      <w:numFmt w:val="bullet"/>
      <w:lvlText w:val="–"/>
      <w:lvlJc w:val="left"/>
      <w:pPr>
        <w:tabs>
          <w:tab w:val="num" w:pos="6480"/>
        </w:tabs>
        <w:ind w:left="6480" w:hanging="360"/>
      </w:pPr>
      <w:rPr>
        <w:rFonts w:ascii="Arial" w:hAnsi="Arial" w:hint="default"/>
      </w:rPr>
    </w:lvl>
  </w:abstractNum>
  <w:abstractNum w:abstractNumId="18">
    <w:nsid w:val="6F4A3C19"/>
    <w:multiLevelType w:val="hybridMultilevel"/>
    <w:tmpl w:val="B32AFE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1DC50E4"/>
    <w:multiLevelType w:val="hybridMultilevel"/>
    <w:tmpl w:val="F6688D30"/>
    <w:lvl w:ilvl="0" w:tplc="ECC29616">
      <w:start w:val="1"/>
      <w:numFmt w:val="bullet"/>
      <w:lvlText w:val="–"/>
      <w:lvlJc w:val="left"/>
      <w:pPr>
        <w:tabs>
          <w:tab w:val="num" w:pos="720"/>
        </w:tabs>
        <w:ind w:left="720" w:hanging="360"/>
      </w:pPr>
      <w:rPr>
        <w:rFonts w:ascii="Arial" w:hAnsi="Arial" w:hint="default"/>
      </w:rPr>
    </w:lvl>
    <w:lvl w:ilvl="1" w:tplc="3BE05B52">
      <w:start w:val="1"/>
      <w:numFmt w:val="bullet"/>
      <w:lvlText w:val="–"/>
      <w:lvlJc w:val="left"/>
      <w:pPr>
        <w:tabs>
          <w:tab w:val="num" w:pos="1440"/>
        </w:tabs>
        <w:ind w:left="1440" w:hanging="360"/>
      </w:pPr>
      <w:rPr>
        <w:rFonts w:ascii="Arial" w:hAnsi="Arial" w:hint="default"/>
      </w:rPr>
    </w:lvl>
    <w:lvl w:ilvl="2" w:tplc="B2C60998" w:tentative="1">
      <w:start w:val="1"/>
      <w:numFmt w:val="bullet"/>
      <w:lvlText w:val="–"/>
      <w:lvlJc w:val="left"/>
      <w:pPr>
        <w:tabs>
          <w:tab w:val="num" w:pos="2160"/>
        </w:tabs>
        <w:ind w:left="2160" w:hanging="360"/>
      </w:pPr>
      <w:rPr>
        <w:rFonts w:ascii="Arial" w:hAnsi="Arial" w:hint="default"/>
      </w:rPr>
    </w:lvl>
    <w:lvl w:ilvl="3" w:tplc="458692F0" w:tentative="1">
      <w:start w:val="1"/>
      <w:numFmt w:val="bullet"/>
      <w:lvlText w:val="–"/>
      <w:lvlJc w:val="left"/>
      <w:pPr>
        <w:tabs>
          <w:tab w:val="num" w:pos="2880"/>
        </w:tabs>
        <w:ind w:left="2880" w:hanging="360"/>
      </w:pPr>
      <w:rPr>
        <w:rFonts w:ascii="Arial" w:hAnsi="Arial" w:hint="default"/>
      </w:rPr>
    </w:lvl>
    <w:lvl w:ilvl="4" w:tplc="946A3238" w:tentative="1">
      <w:start w:val="1"/>
      <w:numFmt w:val="bullet"/>
      <w:lvlText w:val="–"/>
      <w:lvlJc w:val="left"/>
      <w:pPr>
        <w:tabs>
          <w:tab w:val="num" w:pos="3600"/>
        </w:tabs>
        <w:ind w:left="3600" w:hanging="360"/>
      </w:pPr>
      <w:rPr>
        <w:rFonts w:ascii="Arial" w:hAnsi="Arial" w:hint="default"/>
      </w:rPr>
    </w:lvl>
    <w:lvl w:ilvl="5" w:tplc="16C007A2" w:tentative="1">
      <w:start w:val="1"/>
      <w:numFmt w:val="bullet"/>
      <w:lvlText w:val="–"/>
      <w:lvlJc w:val="left"/>
      <w:pPr>
        <w:tabs>
          <w:tab w:val="num" w:pos="4320"/>
        </w:tabs>
        <w:ind w:left="4320" w:hanging="360"/>
      </w:pPr>
      <w:rPr>
        <w:rFonts w:ascii="Arial" w:hAnsi="Arial" w:hint="default"/>
      </w:rPr>
    </w:lvl>
    <w:lvl w:ilvl="6" w:tplc="503A4088" w:tentative="1">
      <w:start w:val="1"/>
      <w:numFmt w:val="bullet"/>
      <w:lvlText w:val="–"/>
      <w:lvlJc w:val="left"/>
      <w:pPr>
        <w:tabs>
          <w:tab w:val="num" w:pos="5040"/>
        </w:tabs>
        <w:ind w:left="5040" w:hanging="360"/>
      </w:pPr>
      <w:rPr>
        <w:rFonts w:ascii="Arial" w:hAnsi="Arial" w:hint="default"/>
      </w:rPr>
    </w:lvl>
    <w:lvl w:ilvl="7" w:tplc="00287F9C" w:tentative="1">
      <w:start w:val="1"/>
      <w:numFmt w:val="bullet"/>
      <w:lvlText w:val="–"/>
      <w:lvlJc w:val="left"/>
      <w:pPr>
        <w:tabs>
          <w:tab w:val="num" w:pos="5760"/>
        </w:tabs>
        <w:ind w:left="5760" w:hanging="360"/>
      </w:pPr>
      <w:rPr>
        <w:rFonts w:ascii="Arial" w:hAnsi="Arial" w:hint="default"/>
      </w:rPr>
    </w:lvl>
    <w:lvl w:ilvl="8" w:tplc="0C0ED24C" w:tentative="1">
      <w:start w:val="1"/>
      <w:numFmt w:val="bullet"/>
      <w:lvlText w:val="–"/>
      <w:lvlJc w:val="left"/>
      <w:pPr>
        <w:tabs>
          <w:tab w:val="num" w:pos="6480"/>
        </w:tabs>
        <w:ind w:left="6480" w:hanging="360"/>
      </w:pPr>
      <w:rPr>
        <w:rFonts w:ascii="Arial" w:hAnsi="Arial" w:hint="default"/>
      </w:rPr>
    </w:lvl>
  </w:abstractNum>
  <w:num w:numId="1">
    <w:abstractNumId w:val="17"/>
  </w:num>
  <w:num w:numId="2">
    <w:abstractNumId w:val="5"/>
  </w:num>
  <w:num w:numId="3">
    <w:abstractNumId w:val="7"/>
  </w:num>
  <w:num w:numId="4">
    <w:abstractNumId w:val="0"/>
  </w:num>
  <w:num w:numId="5">
    <w:abstractNumId w:val="4"/>
  </w:num>
  <w:num w:numId="6">
    <w:abstractNumId w:val="3"/>
  </w:num>
  <w:num w:numId="7">
    <w:abstractNumId w:val="14"/>
  </w:num>
  <w:num w:numId="8">
    <w:abstractNumId w:val="16"/>
  </w:num>
  <w:num w:numId="9">
    <w:abstractNumId w:val="2"/>
  </w:num>
  <w:num w:numId="10">
    <w:abstractNumId w:val="1"/>
  </w:num>
  <w:num w:numId="11">
    <w:abstractNumId w:val="9"/>
  </w:num>
  <w:num w:numId="12">
    <w:abstractNumId w:val="13"/>
  </w:num>
  <w:num w:numId="13">
    <w:abstractNumId w:val="12"/>
  </w:num>
  <w:num w:numId="14">
    <w:abstractNumId w:val="10"/>
  </w:num>
  <w:num w:numId="15">
    <w:abstractNumId w:val="8"/>
  </w:num>
  <w:num w:numId="16">
    <w:abstractNumId w:val="15"/>
  </w:num>
  <w:num w:numId="17">
    <w:abstractNumId w:val="19"/>
  </w:num>
  <w:num w:numId="18">
    <w:abstractNumId w:val="6"/>
  </w:num>
  <w:num w:numId="19">
    <w:abstractNumId w:val="11"/>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1FCB"/>
    <w:rsid w:val="00035336"/>
    <w:rsid w:val="000411F1"/>
    <w:rsid w:val="0009068F"/>
    <w:rsid w:val="00095E4E"/>
    <w:rsid w:val="000C64F2"/>
    <w:rsid w:val="000E1F43"/>
    <w:rsid w:val="000F1D99"/>
    <w:rsid w:val="000F26A0"/>
    <w:rsid w:val="001015A0"/>
    <w:rsid w:val="00102CC0"/>
    <w:rsid w:val="0010447D"/>
    <w:rsid w:val="00105F2A"/>
    <w:rsid w:val="00112536"/>
    <w:rsid w:val="001233EF"/>
    <w:rsid w:val="00195A8D"/>
    <w:rsid w:val="001B47D2"/>
    <w:rsid w:val="001F6E8E"/>
    <w:rsid w:val="00244E63"/>
    <w:rsid w:val="00261640"/>
    <w:rsid w:val="002865E5"/>
    <w:rsid w:val="002951FB"/>
    <w:rsid w:val="003039B4"/>
    <w:rsid w:val="00306C09"/>
    <w:rsid w:val="003105F5"/>
    <w:rsid w:val="00322ACF"/>
    <w:rsid w:val="003438D4"/>
    <w:rsid w:val="003561B2"/>
    <w:rsid w:val="003A21E3"/>
    <w:rsid w:val="003B4759"/>
    <w:rsid w:val="003B4C6B"/>
    <w:rsid w:val="003C1C2C"/>
    <w:rsid w:val="003D25A3"/>
    <w:rsid w:val="003F3EC0"/>
    <w:rsid w:val="0040435B"/>
    <w:rsid w:val="00420FB0"/>
    <w:rsid w:val="004267AB"/>
    <w:rsid w:val="00447B3B"/>
    <w:rsid w:val="004567E4"/>
    <w:rsid w:val="00475F3A"/>
    <w:rsid w:val="004A54C9"/>
    <w:rsid w:val="004D7D21"/>
    <w:rsid w:val="00500186"/>
    <w:rsid w:val="00503D06"/>
    <w:rsid w:val="00517895"/>
    <w:rsid w:val="00524B99"/>
    <w:rsid w:val="00544BB3"/>
    <w:rsid w:val="00560813"/>
    <w:rsid w:val="005831D5"/>
    <w:rsid w:val="00593A3B"/>
    <w:rsid w:val="005C3021"/>
    <w:rsid w:val="005F2CAD"/>
    <w:rsid w:val="005F3495"/>
    <w:rsid w:val="006641EF"/>
    <w:rsid w:val="00687E91"/>
    <w:rsid w:val="006B64E2"/>
    <w:rsid w:val="00712BBD"/>
    <w:rsid w:val="007251D7"/>
    <w:rsid w:val="0072725A"/>
    <w:rsid w:val="00757E33"/>
    <w:rsid w:val="007A535C"/>
    <w:rsid w:val="007F6A10"/>
    <w:rsid w:val="0081375A"/>
    <w:rsid w:val="00867FD5"/>
    <w:rsid w:val="008701AD"/>
    <w:rsid w:val="008D09B0"/>
    <w:rsid w:val="008E048F"/>
    <w:rsid w:val="008E36DC"/>
    <w:rsid w:val="00976BB5"/>
    <w:rsid w:val="00985BD8"/>
    <w:rsid w:val="009B66BA"/>
    <w:rsid w:val="00A13827"/>
    <w:rsid w:val="00A36284"/>
    <w:rsid w:val="00A37F6A"/>
    <w:rsid w:val="00AB1FCB"/>
    <w:rsid w:val="00AF1D7D"/>
    <w:rsid w:val="00B025E0"/>
    <w:rsid w:val="00B13189"/>
    <w:rsid w:val="00B45E00"/>
    <w:rsid w:val="00B5595E"/>
    <w:rsid w:val="00B946AC"/>
    <w:rsid w:val="00BC3BE1"/>
    <w:rsid w:val="00BF274B"/>
    <w:rsid w:val="00C04CF0"/>
    <w:rsid w:val="00C131B9"/>
    <w:rsid w:val="00C57880"/>
    <w:rsid w:val="00C67306"/>
    <w:rsid w:val="00C8322A"/>
    <w:rsid w:val="00C95560"/>
    <w:rsid w:val="00D010C9"/>
    <w:rsid w:val="00D5385D"/>
    <w:rsid w:val="00D53931"/>
    <w:rsid w:val="00D54939"/>
    <w:rsid w:val="00D77343"/>
    <w:rsid w:val="00D9136C"/>
    <w:rsid w:val="00DE02B1"/>
    <w:rsid w:val="00E4105C"/>
    <w:rsid w:val="00E425CD"/>
    <w:rsid w:val="00E61135"/>
    <w:rsid w:val="00EC2CB9"/>
    <w:rsid w:val="00ED457C"/>
    <w:rsid w:val="00F07EEB"/>
    <w:rsid w:val="00F103DE"/>
    <w:rsid w:val="00F12898"/>
    <w:rsid w:val="00F1753F"/>
    <w:rsid w:val="00F230AD"/>
    <w:rsid w:val="00F25F43"/>
    <w:rsid w:val="00F501EF"/>
    <w:rsid w:val="00F6045D"/>
    <w:rsid w:val="00F73A4F"/>
    <w:rsid w:val="00F749C7"/>
    <w:rsid w:val="00FB3ABE"/>
    <w:rsid w:val="00FC08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Goudy Old Style" w:eastAsiaTheme="minorEastAsia" w:hAnsi="Goudy Old Style"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B1FCB"/>
    <w:pPr>
      <w:ind w:left="720"/>
      <w:contextualSpacing/>
    </w:pPr>
  </w:style>
  <w:style w:type="table" w:styleId="TableGrid">
    <w:name w:val="Table Grid"/>
    <w:basedOn w:val="TableNormal"/>
    <w:uiPriority w:val="59"/>
    <w:rsid w:val="005831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701AD"/>
    <w:rPr>
      <w:rFonts w:ascii="Tahoma" w:hAnsi="Tahoma" w:cs="Tahoma"/>
      <w:sz w:val="16"/>
      <w:szCs w:val="16"/>
    </w:rPr>
  </w:style>
  <w:style w:type="character" w:customStyle="1" w:styleId="BalloonTextChar">
    <w:name w:val="Balloon Text Char"/>
    <w:basedOn w:val="DefaultParagraphFont"/>
    <w:link w:val="BalloonText"/>
    <w:uiPriority w:val="99"/>
    <w:semiHidden/>
    <w:rsid w:val="008701AD"/>
    <w:rPr>
      <w:rFonts w:ascii="Tahoma" w:hAnsi="Tahoma" w:cs="Tahoma"/>
      <w:sz w:val="16"/>
      <w:szCs w:val="16"/>
    </w:rPr>
  </w:style>
  <w:style w:type="paragraph" w:styleId="Header">
    <w:name w:val="header"/>
    <w:basedOn w:val="Normal"/>
    <w:link w:val="HeaderChar"/>
    <w:uiPriority w:val="99"/>
    <w:unhideWhenUsed/>
    <w:rsid w:val="006641EF"/>
    <w:pPr>
      <w:tabs>
        <w:tab w:val="center" w:pos="4680"/>
        <w:tab w:val="right" w:pos="9360"/>
      </w:tabs>
    </w:pPr>
  </w:style>
  <w:style w:type="character" w:customStyle="1" w:styleId="HeaderChar">
    <w:name w:val="Header Char"/>
    <w:basedOn w:val="DefaultParagraphFont"/>
    <w:link w:val="Header"/>
    <w:uiPriority w:val="99"/>
    <w:rsid w:val="006641EF"/>
  </w:style>
  <w:style w:type="paragraph" w:styleId="Footer">
    <w:name w:val="footer"/>
    <w:basedOn w:val="Normal"/>
    <w:link w:val="FooterChar"/>
    <w:uiPriority w:val="99"/>
    <w:unhideWhenUsed/>
    <w:rsid w:val="006641EF"/>
    <w:pPr>
      <w:tabs>
        <w:tab w:val="center" w:pos="4680"/>
        <w:tab w:val="right" w:pos="9360"/>
      </w:tabs>
    </w:pPr>
  </w:style>
  <w:style w:type="character" w:customStyle="1" w:styleId="FooterChar">
    <w:name w:val="Footer Char"/>
    <w:basedOn w:val="DefaultParagraphFont"/>
    <w:link w:val="Footer"/>
    <w:uiPriority w:val="99"/>
    <w:rsid w:val="006641EF"/>
  </w:style>
  <w:style w:type="character" w:styleId="Hyperlink">
    <w:name w:val="Hyperlink"/>
    <w:basedOn w:val="DefaultParagraphFont"/>
    <w:uiPriority w:val="99"/>
    <w:unhideWhenUsed/>
    <w:rsid w:val="003F3EC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Goudy Old Style" w:eastAsiaTheme="minorEastAsia" w:hAnsi="Goudy Old Style"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B1FCB"/>
    <w:pPr>
      <w:ind w:left="720"/>
      <w:contextualSpacing/>
    </w:pPr>
  </w:style>
  <w:style w:type="table" w:styleId="TableGrid">
    <w:name w:val="Table Grid"/>
    <w:basedOn w:val="TableNormal"/>
    <w:uiPriority w:val="59"/>
    <w:rsid w:val="005831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701AD"/>
    <w:rPr>
      <w:rFonts w:ascii="Tahoma" w:hAnsi="Tahoma" w:cs="Tahoma"/>
      <w:sz w:val="16"/>
      <w:szCs w:val="16"/>
    </w:rPr>
  </w:style>
  <w:style w:type="character" w:customStyle="1" w:styleId="BalloonTextChar">
    <w:name w:val="Balloon Text Char"/>
    <w:basedOn w:val="DefaultParagraphFont"/>
    <w:link w:val="BalloonText"/>
    <w:uiPriority w:val="99"/>
    <w:semiHidden/>
    <w:rsid w:val="008701AD"/>
    <w:rPr>
      <w:rFonts w:ascii="Tahoma" w:hAnsi="Tahoma" w:cs="Tahoma"/>
      <w:sz w:val="16"/>
      <w:szCs w:val="16"/>
    </w:rPr>
  </w:style>
  <w:style w:type="paragraph" w:styleId="Header">
    <w:name w:val="header"/>
    <w:basedOn w:val="Normal"/>
    <w:link w:val="HeaderChar"/>
    <w:uiPriority w:val="99"/>
    <w:unhideWhenUsed/>
    <w:rsid w:val="006641EF"/>
    <w:pPr>
      <w:tabs>
        <w:tab w:val="center" w:pos="4680"/>
        <w:tab w:val="right" w:pos="9360"/>
      </w:tabs>
    </w:pPr>
  </w:style>
  <w:style w:type="character" w:customStyle="1" w:styleId="HeaderChar">
    <w:name w:val="Header Char"/>
    <w:basedOn w:val="DefaultParagraphFont"/>
    <w:link w:val="Header"/>
    <w:uiPriority w:val="99"/>
    <w:rsid w:val="006641EF"/>
  </w:style>
  <w:style w:type="paragraph" w:styleId="Footer">
    <w:name w:val="footer"/>
    <w:basedOn w:val="Normal"/>
    <w:link w:val="FooterChar"/>
    <w:uiPriority w:val="99"/>
    <w:unhideWhenUsed/>
    <w:rsid w:val="006641EF"/>
    <w:pPr>
      <w:tabs>
        <w:tab w:val="center" w:pos="4680"/>
        <w:tab w:val="right" w:pos="9360"/>
      </w:tabs>
    </w:pPr>
  </w:style>
  <w:style w:type="character" w:customStyle="1" w:styleId="FooterChar">
    <w:name w:val="Footer Char"/>
    <w:basedOn w:val="DefaultParagraphFont"/>
    <w:link w:val="Footer"/>
    <w:uiPriority w:val="99"/>
    <w:rsid w:val="006641EF"/>
  </w:style>
  <w:style w:type="character" w:styleId="Hyperlink">
    <w:name w:val="Hyperlink"/>
    <w:basedOn w:val="DefaultParagraphFont"/>
    <w:uiPriority w:val="99"/>
    <w:unhideWhenUsed/>
    <w:rsid w:val="003F3EC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539315">
      <w:bodyDiv w:val="1"/>
      <w:marLeft w:val="0"/>
      <w:marRight w:val="0"/>
      <w:marTop w:val="0"/>
      <w:marBottom w:val="0"/>
      <w:divBdr>
        <w:top w:val="none" w:sz="0" w:space="0" w:color="auto"/>
        <w:left w:val="none" w:sz="0" w:space="0" w:color="auto"/>
        <w:bottom w:val="none" w:sz="0" w:space="0" w:color="auto"/>
        <w:right w:val="none" w:sz="0" w:space="0" w:color="auto"/>
      </w:divBdr>
      <w:divsChild>
        <w:div w:id="1054040151">
          <w:marLeft w:val="1166"/>
          <w:marRight w:val="0"/>
          <w:marTop w:val="106"/>
          <w:marBottom w:val="0"/>
          <w:divBdr>
            <w:top w:val="none" w:sz="0" w:space="0" w:color="auto"/>
            <w:left w:val="none" w:sz="0" w:space="0" w:color="auto"/>
            <w:bottom w:val="none" w:sz="0" w:space="0" w:color="auto"/>
            <w:right w:val="none" w:sz="0" w:space="0" w:color="auto"/>
          </w:divBdr>
        </w:div>
      </w:divsChild>
    </w:div>
    <w:div w:id="216667962">
      <w:bodyDiv w:val="1"/>
      <w:marLeft w:val="0"/>
      <w:marRight w:val="0"/>
      <w:marTop w:val="0"/>
      <w:marBottom w:val="0"/>
      <w:divBdr>
        <w:top w:val="none" w:sz="0" w:space="0" w:color="auto"/>
        <w:left w:val="none" w:sz="0" w:space="0" w:color="auto"/>
        <w:bottom w:val="none" w:sz="0" w:space="0" w:color="auto"/>
        <w:right w:val="none" w:sz="0" w:space="0" w:color="auto"/>
      </w:divBdr>
      <w:divsChild>
        <w:div w:id="2004433057">
          <w:marLeft w:val="1166"/>
          <w:marRight w:val="0"/>
          <w:marTop w:val="106"/>
          <w:marBottom w:val="0"/>
          <w:divBdr>
            <w:top w:val="none" w:sz="0" w:space="0" w:color="auto"/>
            <w:left w:val="none" w:sz="0" w:space="0" w:color="auto"/>
            <w:bottom w:val="none" w:sz="0" w:space="0" w:color="auto"/>
            <w:right w:val="none" w:sz="0" w:space="0" w:color="auto"/>
          </w:divBdr>
        </w:div>
      </w:divsChild>
    </w:div>
    <w:div w:id="288047429">
      <w:bodyDiv w:val="1"/>
      <w:marLeft w:val="0"/>
      <w:marRight w:val="0"/>
      <w:marTop w:val="0"/>
      <w:marBottom w:val="0"/>
      <w:divBdr>
        <w:top w:val="none" w:sz="0" w:space="0" w:color="auto"/>
        <w:left w:val="none" w:sz="0" w:space="0" w:color="auto"/>
        <w:bottom w:val="none" w:sz="0" w:space="0" w:color="auto"/>
        <w:right w:val="none" w:sz="0" w:space="0" w:color="auto"/>
      </w:divBdr>
      <w:divsChild>
        <w:div w:id="1737165665">
          <w:marLeft w:val="547"/>
          <w:marRight w:val="0"/>
          <w:marTop w:val="120"/>
          <w:marBottom w:val="0"/>
          <w:divBdr>
            <w:top w:val="none" w:sz="0" w:space="0" w:color="auto"/>
            <w:left w:val="none" w:sz="0" w:space="0" w:color="auto"/>
            <w:bottom w:val="none" w:sz="0" w:space="0" w:color="auto"/>
            <w:right w:val="none" w:sz="0" w:space="0" w:color="auto"/>
          </w:divBdr>
        </w:div>
      </w:divsChild>
    </w:div>
    <w:div w:id="667250435">
      <w:bodyDiv w:val="1"/>
      <w:marLeft w:val="0"/>
      <w:marRight w:val="0"/>
      <w:marTop w:val="0"/>
      <w:marBottom w:val="0"/>
      <w:divBdr>
        <w:top w:val="none" w:sz="0" w:space="0" w:color="auto"/>
        <w:left w:val="none" w:sz="0" w:space="0" w:color="auto"/>
        <w:bottom w:val="none" w:sz="0" w:space="0" w:color="auto"/>
        <w:right w:val="none" w:sz="0" w:space="0" w:color="auto"/>
      </w:divBdr>
      <w:divsChild>
        <w:div w:id="92283401">
          <w:marLeft w:val="1166"/>
          <w:marRight w:val="0"/>
          <w:marTop w:val="106"/>
          <w:marBottom w:val="0"/>
          <w:divBdr>
            <w:top w:val="none" w:sz="0" w:space="0" w:color="auto"/>
            <w:left w:val="none" w:sz="0" w:space="0" w:color="auto"/>
            <w:bottom w:val="none" w:sz="0" w:space="0" w:color="auto"/>
            <w:right w:val="none" w:sz="0" w:space="0" w:color="auto"/>
          </w:divBdr>
        </w:div>
        <w:div w:id="296032942">
          <w:marLeft w:val="1166"/>
          <w:marRight w:val="0"/>
          <w:marTop w:val="106"/>
          <w:marBottom w:val="0"/>
          <w:divBdr>
            <w:top w:val="none" w:sz="0" w:space="0" w:color="auto"/>
            <w:left w:val="none" w:sz="0" w:space="0" w:color="auto"/>
            <w:bottom w:val="none" w:sz="0" w:space="0" w:color="auto"/>
            <w:right w:val="none" w:sz="0" w:space="0" w:color="auto"/>
          </w:divBdr>
        </w:div>
        <w:div w:id="1058473428">
          <w:marLeft w:val="1166"/>
          <w:marRight w:val="0"/>
          <w:marTop w:val="106"/>
          <w:marBottom w:val="0"/>
          <w:divBdr>
            <w:top w:val="none" w:sz="0" w:space="0" w:color="auto"/>
            <w:left w:val="none" w:sz="0" w:space="0" w:color="auto"/>
            <w:bottom w:val="none" w:sz="0" w:space="0" w:color="auto"/>
            <w:right w:val="none" w:sz="0" w:space="0" w:color="auto"/>
          </w:divBdr>
        </w:div>
      </w:divsChild>
    </w:div>
    <w:div w:id="1239170414">
      <w:bodyDiv w:val="1"/>
      <w:marLeft w:val="0"/>
      <w:marRight w:val="0"/>
      <w:marTop w:val="0"/>
      <w:marBottom w:val="0"/>
      <w:divBdr>
        <w:top w:val="none" w:sz="0" w:space="0" w:color="auto"/>
        <w:left w:val="none" w:sz="0" w:space="0" w:color="auto"/>
        <w:bottom w:val="none" w:sz="0" w:space="0" w:color="auto"/>
        <w:right w:val="none" w:sz="0" w:space="0" w:color="auto"/>
      </w:divBdr>
    </w:div>
    <w:div w:id="1263101033">
      <w:bodyDiv w:val="1"/>
      <w:marLeft w:val="0"/>
      <w:marRight w:val="0"/>
      <w:marTop w:val="0"/>
      <w:marBottom w:val="0"/>
      <w:divBdr>
        <w:top w:val="none" w:sz="0" w:space="0" w:color="auto"/>
        <w:left w:val="none" w:sz="0" w:space="0" w:color="auto"/>
        <w:bottom w:val="none" w:sz="0" w:space="0" w:color="auto"/>
        <w:right w:val="none" w:sz="0" w:space="0" w:color="auto"/>
      </w:divBdr>
      <w:divsChild>
        <w:div w:id="296574958">
          <w:marLeft w:val="1166"/>
          <w:marRight w:val="0"/>
          <w:marTop w:val="106"/>
          <w:marBottom w:val="0"/>
          <w:divBdr>
            <w:top w:val="none" w:sz="0" w:space="0" w:color="auto"/>
            <w:left w:val="none" w:sz="0" w:space="0" w:color="auto"/>
            <w:bottom w:val="none" w:sz="0" w:space="0" w:color="auto"/>
            <w:right w:val="none" w:sz="0" w:space="0" w:color="auto"/>
          </w:divBdr>
        </w:div>
      </w:divsChild>
    </w:div>
    <w:div w:id="1726488614">
      <w:bodyDiv w:val="1"/>
      <w:marLeft w:val="0"/>
      <w:marRight w:val="0"/>
      <w:marTop w:val="0"/>
      <w:marBottom w:val="0"/>
      <w:divBdr>
        <w:top w:val="none" w:sz="0" w:space="0" w:color="auto"/>
        <w:left w:val="none" w:sz="0" w:space="0" w:color="auto"/>
        <w:bottom w:val="none" w:sz="0" w:space="0" w:color="auto"/>
        <w:right w:val="none" w:sz="0" w:space="0" w:color="auto"/>
      </w:divBdr>
    </w:div>
    <w:div w:id="17413668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3425</Words>
  <Characters>19524</Characters>
  <Application>Microsoft Office Word</Application>
  <DocSecurity>4</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DHHS</Company>
  <LinksUpToDate>false</LinksUpToDate>
  <CharactersWithSpaces>22904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Christine Bechtel</dc:creator>
  <cp:lastModifiedBy>Lonnie Moore</cp:lastModifiedBy>
  <cp:revision>2</cp:revision>
  <cp:lastPrinted>2015-01-06T18:36:00Z</cp:lastPrinted>
  <dcterms:created xsi:type="dcterms:W3CDTF">2015-01-19T18:51:00Z</dcterms:created>
  <dcterms:modified xsi:type="dcterms:W3CDTF">2015-01-19T18:51:00Z</dcterms:modified>
</cp:coreProperties>
</file>