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E2" w:rsidRPr="00621DE2" w:rsidRDefault="00E02A31" w:rsidP="00601DAD">
      <w:pPr>
        <w:pStyle w:val="Heading1"/>
        <w:spacing w:before="0" w:line="240" w:lineRule="auto"/>
        <w:jc w:val="center"/>
        <w:rPr>
          <w:color w:val="auto"/>
        </w:rPr>
      </w:pPr>
      <w:bookmarkStart w:id="0" w:name="_GoBack"/>
      <w:bookmarkEnd w:id="0"/>
      <w:r w:rsidRPr="00621DE2">
        <w:rPr>
          <w:color w:val="auto"/>
        </w:rPr>
        <w:t xml:space="preserve">Consumer Workgroup Comments </w:t>
      </w:r>
      <w:r w:rsidRPr="00621DE2">
        <w:rPr>
          <w:color w:val="auto"/>
        </w:rPr>
        <w:br/>
        <w:t>Electronic Health Record Incentive Program- Stage 3 Proposed Rule</w:t>
      </w:r>
      <w:r w:rsidR="00621DE2" w:rsidRPr="00621DE2">
        <w:rPr>
          <w:color w:val="auto"/>
        </w:rPr>
        <w:br/>
        <w:t>Objective 5 and 6</w:t>
      </w:r>
      <w:r w:rsidR="00621DE2" w:rsidRPr="00621DE2">
        <w:rPr>
          <w:color w:val="auto"/>
        </w:rPr>
        <w:br/>
      </w:r>
    </w:p>
    <w:p w:rsidR="00A460BE" w:rsidRDefault="00A460BE" w:rsidP="002D44F2">
      <w:pPr>
        <w:pStyle w:val="Heading1"/>
        <w:spacing w:before="0" w:line="240" w:lineRule="auto"/>
        <w:rPr>
          <w:rFonts w:asciiTheme="minorHAnsi" w:hAnsiTheme="minorHAnsi"/>
          <w:b w:val="0"/>
          <w:color w:val="auto"/>
          <w:sz w:val="22"/>
          <w:szCs w:val="22"/>
        </w:rPr>
      </w:pPr>
    </w:p>
    <w:p w:rsidR="00A460BE" w:rsidRPr="000C5E21" w:rsidRDefault="00A460BE" w:rsidP="00A460BE">
      <w:pPr>
        <w:pStyle w:val="ListParagraph"/>
        <w:rPr>
          <w:rFonts w:asciiTheme="minorHAnsi" w:hAnsiTheme="minorHAnsi"/>
          <w:b/>
          <w:i/>
          <w:sz w:val="22"/>
          <w:szCs w:val="22"/>
        </w:rPr>
      </w:pPr>
      <w:r w:rsidRPr="000C5E21">
        <w:rPr>
          <w:rFonts w:asciiTheme="minorHAnsi" w:hAnsiTheme="minorHAnsi"/>
          <w:b/>
          <w:i/>
          <w:sz w:val="22"/>
          <w:szCs w:val="22"/>
          <w:highlight w:val="green"/>
        </w:rPr>
        <w:t>WG Members – this draft is for discussion purposes only. We will add to, revise and finalize on our next call.</w:t>
      </w:r>
    </w:p>
    <w:p w:rsidR="00A460BE" w:rsidRDefault="00A460BE" w:rsidP="002D44F2">
      <w:pPr>
        <w:pStyle w:val="Heading1"/>
        <w:spacing w:before="0" w:line="240" w:lineRule="auto"/>
        <w:rPr>
          <w:rFonts w:asciiTheme="minorHAnsi" w:hAnsiTheme="minorHAnsi"/>
          <w:b w:val="0"/>
          <w:color w:val="auto"/>
          <w:sz w:val="22"/>
          <w:szCs w:val="22"/>
        </w:rPr>
      </w:pPr>
    </w:p>
    <w:p w:rsidR="002D44F2" w:rsidRDefault="00621DE2" w:rsidP="002D44F2">
      <w:pPr>
        <w:pStyle w:val="Heading1"/>
        <w:spacing w:before="0" w:line="240" w:lineRule="auto"/>
        <w:rPr>
          <w:rFonts w:asciiTheme="minorHAnsi" w:hAnsiTheme="minorHAnsi"/>
          <w:b w:val="0"/>
          <w:i/>
          <w:color w:val="auto"/>
          <w:sz w:val="22"/>
          <w:szCs w:val="22"/>
        </w:rPr>
      </w:pPr>
      <w:r>
        <w:rPr>
          <w:rFonts w:asciiTheme="minorHAnsi" w:hAnsiTheme="minorHAnsi"/>
          <w:b w:val="0"/>
          <w:color w:val="auto"/>
          <w:sz w:val="22"/>
          <w:szCs w:val="22"/>
        </w:rPr>
        <w:t>The Consumer Work Group of the HIT Policy Committee is pleased to submit comments on Stage 3 Proposed Policy Regulation (CMS-3310-P) Objective 5: Patient Electronic Access to Health Information and Objective 6: Coordination of Care through Patient Engagement.</w:t>
      </w:r>
      <w:r w:rsidR="00DE653F">
        <w:rPr>
          <w:rFonts w:asciiTheme="minorHAnsi" w:hAnsiTheme="minorHAnsi"/>
          <w:b w:val="0"/>
          <w:color w:val="auto"/>
          <w:sz w:val="22"/>
          <w:szCs w:val="22"/>
        </w:rPr>
        <w:br/>
      </w:r>
      <w:r w:rsidR="008A3F6A">
        <w:rPr>
          <w:rFonts w:asciiTheme="minorHAnsi" w:hAnsiTheme="minorHAnsi"/>
          <w:b w:val="0"/>
          <w:color w:val="auto"/>
          <w:sz w:val="22"/>
          <w:szCs w:val="22"/>
        </w:rPr>
        <w:br/>
      </w:r>
      <w:r w:rsidR="008A3F6A" w:rsidRPr="008A3F6A">
        <w:rPr>
          <w:rFonts w:asciiTheme="minorHAnsi" w:hAnsiTheme="minorHAnsi"/>
          <w:color w:val="auto"/>
          <w:sz w:val="22"/>
          <w:szCs w:val="22"/>
        </w:rPr>
        <w:t>Objective 5: Patient Electronic Access to Health Information</w:t>
      </w:r>
      <w:r w:rsidR="006030B4" w:rsidRPr="006030B4">
        <w:rPr>
          <w:rFonts w:asciiTheme="minorHAnsi" w:hAnsiTheme="minorHAnsi"/>
          <w:i/>
          <w:color w:val="auto"/>
          <w:sz w:val="22"/>
          <w:szCs w:val="22"/>
        </w:rPr>
        <w:br/>
      </w:r>
      <w:r w:rsidR="006030B4">
        <w:rPr>
          <w:rFonts w:asciiTheme="minorHAnsi" w:hAnsiTheme="minorHAnsi"/>
          <w:b w:val="0"/>
          <w:color w:val="auto"/>
          <w:sz w:val="22"/>
          <w:szCs w:val="22"/>
        </w:rPr>
        <w:t>The workgroup fully su</w:t>
      </w:r>
      <w:r w:rsidR="00601DAD">
        <w:rPr>
          <w:rFonts w:asciiTheme="minorHAnsi" w:hAnsiTheme="minorHAnsi"/>
          <w:b w:val="0"/>
          <w:color w:val="auto"/>
          <w:sz w:val="22"/>
          <w:szCs w:val="22"/>
        </w:rPr>
        <w:t>pports this objective to expand</w:t>
      </w:r>
      <w:r w:rsidR="006030B4">
        <w:rPr>
          <w:rFonts w:asciiTheme="minorHAnsi" w:hAnsiTheme="minorHAnsi"/>
          <w:b w:val="0"/>
          <w:color w:val="auto"/>
          <w:sz w:val="22"/>
          <w:szCs w:val="22"/>
        </w:rPr>
        <w:t xml:space="preserve"> communication </w:t>
      </w:r>
      <w:r w:rsidR="002D44F2">
        <w:rPr>
          <w:rFonts w:asciiTheme="minorHAnsi" w:hAnsiTheme="minorHAnsi"/>
          <w:b w:val="0"/>
          <w:color w:val="auto"/>
          <w:sz w:val="22"/>
          <w:szCs w:val="22"/>
        </w:rPr>
        <w:t xml:space="preserve">and engagement with patients, families </w:t>
      </w:r>
      <w:r w:rsidR="00601DAD">
        <w:rPr>
          <w:rFonts w:asciiTheme="minorHAnsi" w:hAnsiTheme="minorHAnsi"/>
          <w:b w:val="0"/>
          <w:color w:val="auto"/>
          <w:sz w:val="22"/>
          <w:szCs w:val="22"/>
        </w:rPr>
        <w:t xml:space="preserve">and their care team </w:t>
      </w:r>
      <w:r w:rsidR="006030B4">
        <w:rPr>
          <w:rFonts w:asciiTheme="minorHAnsi" w:hAnsiTheme="minorHAnsi"/>
          <w:b w:val="0"/>
          <w:color w:val="auto"/>
          <w:sz w:val="22"/>
          <w:szCs w:val="22"/>
        </w:rPr>
        <w:t>through technology</w:t>
      </w:r>
      <w:r w:rsidR="00601DAD">
        <w:rPr>
          <w:rFonts w:asciiTheme="minorHAnsi" w:hAnsiTheme="minorHAnsi"/>
          <w:b w:val="0"/>
          <w:color w:val="auto"/>
          <w:sz w:val="22"/>
          <w:szCs w:val="22"/>
        </w:rPr>
        <w:t>, which</w:t>
      </w:r>
      <w:r w:rsidR="006030B4">
        <w:rPr>
          <w:rFonts w:asciiTheme="minorHAnsi" w:hAnsiTheme="minorHAnsi"/>
          <w:b w:val="0"/>
          <w:color w:val="auto"/>
          <w:sz w:val="22"/>
          <w:szCs w:val="22"/>
        </w:rPr>
        <w:t xml:space="preserve"> </w:t>
      </w:r>
      <w:r w:rsidR="00601DAD">
        <w:rPr>
          <w:rFonts w:asciiTheme="minorHAnsi" w:hAnsiTheme="minorHAnsi"/>
          <w:b w:val="0"/>
          <w:color w:val="auto"/>
          <w:sz w:val="22"/>
          <w:szCs w:val="22"/>
        </w:rPr>
        <w:t>continues</w:t>
      </w:r>
      <w:r w:rsidR="006030B4">
        <w:rPr>
          <w:rFonts w:asciiTheme="minorHAnsi" w:hAnsiTheme="minorHAnsi"/>
          <w:b w:val="0"/>
          <w:color w:val="auto"/>
          <w:sz w:val="22"/>
          <w:szCs w:val="22"/>
        </w:rPr>
        <w:t xml:space="preserve"> the moment</w:t>
      </w:r>
      <w:r w:rsidR="00601DAD">
        <w:rPr>
          <w:rFonts w:asciiTheme="minorHAnsi" w:hAnsiTheme="minorHAnsi"/>
          <w:b w:val="0"/>
          <w:color w:val="auto"/>
          <w:sz w:val="22"/>
          <w:szCs w:val="22"/>
        </w:rPr>
        <w:t>um that started with the Stage 1</w:t>
      </w:r>
      <w:r w:rsidR="006030B4">
        <w:rPr>
          <w:rFonts w:asciiTheme="minorHAnsi" w:hAnsiTheme="minorHAnsi"/>
          <w:b w:val="0"/>
          <w:color w:val="auto"/>
          <w:sz w:val="22"/>
          <w:szCs w:val="22"/>
        </w:rPr>
        <w:t xml:space="preserve"> patient access objective.</w:t>
      </w:r>
      <w:r w:rsidR="006030B4">
        <w:rPr>
          <w:rFonts w:asciiTheme="minorHAnsi" w:hAnsiTheme="minorHAnsi"/>
          <w:b w:val="0"/>
          <w:color w:val="auto"/>
          <w:sz w:val="22"/>
          <w:szCs w:val="22"/>
        </w:rPr>
        <w:br/>
      </w:r>
      <w:r w:rsidR="006030B4">
        <w:rPr>
          <w:rFonts w:asciiTheme="minorHAnsi" w:hAnsiTheme="minorHAnsi"/>
          <w:b w:val="0"/>
          <w:color w:val="auto"/>
          <w:sz w:val="22"/>
          <w:szCs w:val="22"/>
        </w:rPr>
        <w:br/>
      </w:r>
      <w:r w:rsidR="00F938E1">
        <w:rPr>
          <w:rFonts w:asciiTheme="minorHAnsi" w:hAnsiTheme="minorHAnsi"/>
          <w:color w:val="auto"/>
          <w:sz w:val="22"/>
          <w:szCs w:val="22"/>
        </w:rPr>
        <w:t xml:space="preserve">Proposed </w:t>
      </w:r>
      <w:r w:rsidR="006030B4" w:rsidRPr="00355C44">
        <w:rPr>
          <w:rFonts w:asciiTheme="minorHAnsi" w:hAnsiTheme="minorHAnsi"/>
          <w:color w:val="auto"/>
          <w:sz w:val="22"/>
          <w:szCs w:val="22"/>
        </w:rPr>
        <w:t>Measure 1:</w:t>
      </w:r>
      <w:r w:rsidR="006030B4">
        <w:rPr>
          <w:rFonts w:asciiTheme="minorHAnsi" w:hAnsiTheme="minorHAnsi"/>
          <w:b w:val="0"/>
          <w:color w:val="auto"/>
          <w:sz w:val="22"/>
          <w:szCs w:val="22"/>
        </w:rPr>
        <w:t xml:space="preserve">  </w:t>
      </w:r>
      <w:r w:rsidR="006030B4" w:rsidRPr="00827BA2">
        <w:rPr>
          <w:rFonts w:asciiTheme="minorHAnsi" w:hAnsiTheme="minorHAnsi"/>
          <w:b w:val="0"/>
          <w:i/>
          <w:color w:val="auto"/>
          <w:sz w:val="22"/>
          <w:szCs w:val="22"/>
        </w:rPr>
        <w:t>For more than 80 percent of all unique patients seen by the EP or discharged from the eligible hospital or CAH inpatient or emergency department (POS 21 or 23):</w:t>
      </w:r>
      <w:r w:rsidR="006030B4">
        <w:rPr>
          <w:rFonts w:asciiTheme="minorHAnsi" w:hAnsiTheme="minorHAnsi"/>
          <w:b w:val="0"/>
          <w:color w:val="auto"/>
          <w:sz w:val="22"/>
          <w:szCs w:val="22"/>
        </w:rPr>
        <w:br/>
      </w:r>
      <w:r w:rsidR="006030B4">
        <w:rPr>
          <w:rFonts w:asciiTheme="minorHAnsi" w:hAnsiTheme="minorHAnsi"/>
          <w:b w:val="0"/>
          <w:i/>
          <w:color w:val="auto"/>
          <w:sz w:val="22"/>
          <w:szCs w:val="22"/>
        </w:rPr>
        <w:t xml:space="preserve">1) </w:t>
      </w:r>
      <w:r w:rsidR="006030B4" w:rsidRPr="00731ADC">
        <w:rPr>
          <w:rFonts w:asciiTheme="minorHAnsi" w:hAnsiTheme="minorHAnsi"/>
          <w:b w:val="0"/>
          <w:i/>
          <w:color w:val="auto"/>
          <w:sz w:val="22"/>
          <w:szCs w:val="22"/>
        </w:rPr>
        <w:t>to view online</w:t>
      </w:r>
      <w:r w:rsidR="006030B4">
        <w:rPr>
          <w:rFonts w:asciiTheme="minorHAnsi" w:hAnsiTheme="minorHAnsi"/>
          <w:b w:val="0"/>
          <w:i/>
          <w:color w:val="auto"/>
          <w:sz w:val="22"/>
          <w:szCs w:val="22"/>
        </w:rPr>
        <w:t>,</w:t>
      </w:r>
      <w:r w:rsidR="006030B4" w:rsidRPr="00731ADC">
        <w:rPr>
          <w:rFonts w:asciiTheme="minorHAnsi" w:hAnsiTheme="minorHAnsi"/>
          <w:b w:val="0"/>
          <w:i/>
          <w:color w:val="auto"/>
          <w:sz w:val="22"/>
          <w:szCs w:val="22"/>
        </w:rPr>
        <w:t xml:space="preserve"> download or transmit their health information </w:t>
      </w:r>
      <w:r w:rsidR="006030B4" w:rsidRPr="00731ADC">
        <w:rPr>
          <w:rFonts w:asciiTheme="minorHAnsi" w:hAnsiTheme="minorHAnsi"/>
          <w:b w:val="0"/>
          <w:i/>
          <w:color w:val="auto"/>
          <w:sz w:val="22"/>
          <w:szCs w:val="22"/>
          <w:u w:val="single"/>
        </w:rPr>
        <w:t xml:space="preserve">OR </w:t>
      </w:r>
      <w:r w:rsidR="006030B4" w:rsidRPr="00827BA2">
        <w:rPr>
          <w:rFonts w:asciiTheme="minorHAnsi" w:hAnsiTheme="minorHAnsi"/>
          <w:b w:val="0"/>
          <w:i/>
          <w:color w:val="auto"/>
          <w:sz w:val="22"/>
          <w:szCs w:val="22"/>
        </w:rPr>
        <w:t>2)</w:t>
      </w:r>
      <w:r w:rsidR="006030B4">
        <w:rPr>
          <w:rFonts w:asciiTheme="minorHAnsi" w:hAnsiTheme="minorHAnsi"/>
          <w:b w:val="0"/>
          <w:i/>
          <w:color w:val="auto"/>
          <w:sz w:val="22"/>
          <w:szCs w:val="22"/>
          <w:u w:val="single"/>
        </w:rPr>
        <w:t xml:space="preserve"> </w:t>
      </w:r>
      <w:r w:rsidR="006030B4" w:rsidRPr="00731ADC">
        <w:rPr>
          <w:rFonts w:asciiTheme="minorHAnsi" w:hAnsiTheme="minorHAnsi"/>
          <w:b w:val="0"/>
          <w:i/>
          <w:color w:val="auto"/>
          <w:sz w:val="22"/>
          <w:szCs w:val="22"/>
        </w:rPr>
        <w:t>retrieve through an application interface program (API) within 24 hours of its availability</w:t>
      </w:r>
    </w:p>
    <w:p w:rsidR="002D44F2" w:rsidRPr="002D44F2" w:rsidRDefault="002D44F2" w:rsidP="002D44F2"/>
    <w:p w:rsidR="002D44F2" w:rsidRPr="002D44F2" w:rsidRDefault="002D44F2" w:rsidP="002D44F2">
      <w:r w:rsidRPr="00437E49">
        <w:rPr>
          <w:u w:val="single"/>
        </w:rPr>
        <w:t>Comment</w:t>
      </w:r>
      <w:r>
        <w:rPr>
          <w:u w:val="single"/>
        </w:rPr>
        <w:t>s:</w:t>
      </w:r>
    </w:p>
    <w:p w:rsidR="00601DAD" w:rsidRPr="00601DAD" w:rsidRDefault="00827BA2" w:rsidP="00601DAD">
      <w:pPr>
        <w:pStyle w:val="Heading1"/>
        <w:numPr>
          <w:ilvl w:val="0"/>
          <w:numId w:val="16"/>
        </w:numPr>
        <w:spacing w:before="0" w:line="240" w:lineRule="auto"/>
        <w:rPr>
          <w:rFonts w:asciiTheme="minorHAnsi" w:hAnsiTheme="minorHAnsi"/>
          <w:b w:val="0"/>
          <w:color w:val="auto"/>
          <w:sz w:val="22"/>
          <w:szCs w:val="22"/>
        </w:rPr>
      </w:pPr>
      <w:r w:rsidRPr="00F73C3F">
        <w:rPr>
          <w:rFonts w:asciiTheme="minorHAnsi" w:hAnsiTheme="minorHAnsi"/>
          <w:b w:val="0"/>
          <w:color w:val="auto"/>
          <w:sz w:val="22"/>
          <w:szCs w:val="22"/>
        </w:rPr>
        <w:t xml:space="preserve">We </w:t>
      </w:r>
      <w:r w:rsidR="00D14961">
        <w:rPr>
          <w:rFonts w:asciiTheme="minorHAnsi" w:hAnsiTheme="minorHAnsi"/>
          <w:b w:val="0"/>
          <w:color w:val="auto"/>
          <w:sz w:val="22"/>
          <w:szCs w:val="22"/>
        </w:rPr>
        <w:t>agree with the proposal to provide</w:t>
      </w:r>
      <w:r w:rsidRPr="00F73C3F">
        <w:rPr>
          <w:rFonts w:asciiTheme="minorHAnsi" w:hAnsiTheme="minorHAnsi"/>
          <w:b w:val="0"/>
          <w:color w:val="auto"/>
          <w:sz w:val="22"/>
          <w:szCs w:val="22"/>
        </w:rPr>
        <w:t xml:space="preserve"> access to 80% of patients to view, download and transmit their data</w:t>
      </w:r>
      <w:r w:rsidR="00601DAD">
        <w:rPr>
          <w:rFonts w:asciiTheme="minorHAnsi" w:hAnsiTheme="minorHAnsi"/>
          <w:b w:val="0"/>
          <w:color w:val="auto"/>
          <w:sz w:val="22"/>
          <w:szCs w:val="22"/>
        </w:rPr>
        <w:t xml:space="preserve"> within 24 hours</w:t>
      </w:r>
      <w:r w:rsidR="00D14961">
        <w:rPr>
          <w:rFonts w:asciiTheme="minorHAnsi" w:hAnsiTheme="minorHAnsi"/>
          <w:b w:val="0"/>
          <w:color w:val="auto"/>
          <w:sz w:val="22"/>
          <w:szCs w:val="22"/>
        </w:rPr>
        <w:t xml:space="preserve"> of the data becoming available to the EP or EH</w:t>
      </w:r>
      <w:r w:rsidRPr="00F73C3F">
        <w:rPr>
          <w:rFonts w:asciiTheme="minorHAnsi" w:hAnsiTheme="minorHAnsi"/>
          <w:b w:val="0"/>
          <w:color w:val="auto"/>
          <w:sz w:val="22"/>
          <w:szCs w:val="22"/>
        </w:rPr>
        <w:t xml:space="preserve">. </w:t>
      </w:r>
      <w:r w:rsidR="00601DAD">
        <w:rPr>
          <w:rFonts w:asciiTheme="minorHAnsi" w:hAnsiTheme="minorHAnsi"/>
          <w:b w:val="0"/>
          <w:color w:val="auto"/>
          <w:sz w:val="22"/>
          <w:szCs w:val="22"/>
        </w:rPr>
        <w:t xml:space="preserve"> We support both the threshold and the timeline</w:t>
      </w:r>
      <w:r w:rsidR="002D44F2">
        <w:rPr>
          <w:rFonts w:asciiTheme="minorHAnsi" w:hAnsiTheme="minorHAnsi"/>
          <w:b w:val="0"/>
          <w:color w:val="auto"/>
          <w:sz w:val="22"/>
          <w:szCs w:val="22"/>
        </w:rPr>
        <w:t xml:space="preserve"> as proposed</w:t>
      </w:r>
      <w:r w:rsidR="00601DAD">
        <w:rPr>
          <w:rFonts w:asciiTheme="minorHAnsi" w:hAnsiTheme="minorHAnsi"/>
          <w:b w:val="0"/>
          <w:color w:val="auto"/>
          <w:sz w:val="22"/>
          <w:szCs w:val="22"/>
        </w:rPr>
        <w:t xml:space="preserve">.  </w:t>
      </w:r>
      <w:r w:rsidR="00D14961">
        <w:rPr>
          <w:rFonts w:asciiTheme="minorHAnsi" w:hAnsiTheme="minorHAnsi"/>
          <w:b w:val="0"/>
          <w:color w:val="auto"/>
          <w:sz w:val="22"/>
          <w:szCs w:val="22"/>
        </w:rPr>
        <w:t>Regarding the timeline</w:t>
      </w:r>
      <w:r w:rsidR="00601DAD">
        <w:rPr>
          <w:rFonts w:asciiTheme="minorHAnsi" w:hAnsiTheme="minorHAnsi"/>
          <w:b w:val="0"/>
          <w:color w:val="auto"/>
          <w:sz w:val="22"/>
          <w:szCs w:val="22"/>
        </w:rPr>
        <w:t>, some work group members suggest</w:t>
      </w:r>
      <w:r w:rsidR="00D14961">
        <w:rPr>
          <w:rFonts w:asciiTheme="minorHAnsi" w:hAnsiTheme="minorHAnsi"/>
          <w:b w:val="0"/>
          <w:color w:val="auto"/>
          <w:sz w:val="22"/>
          <w:szCs w:val="22"/>
        </w:rPr>
        <w:t>ed</w:t>
      </w:r>
      <w:r w:rsidR="00601DAD">
        <w:rPr>
          <w:rFonts w:asciiTheme="minorHAnsi" w:hAnsiTheme="minorHAnsi"/>
          <w:b w:val="0"/>
          <w:color w:val="auto"/>
          <w:sz w:val="22"/>
          <w:szCs w:val="22"/>
        </w:rPr>
        <w:t xml:space="preserve"> that data availability should be in real time, not 24 hours after the data becomes available to the EP or EH.  </w:t>
      </w:r>
    </w:p>
    <w:p w:rsidR="00ED12A1" w:rsidRPr="00ED12A1" w:rsidRDefault="00601DAD" w:rsidP="00ED12A1">
      <w:pPr>
        <w:pStyle w:val="Heading1"/>
        <w:numPr>
          <w:ilvl w:val="0"/>
          <w:numId w:val="16"/>
        </w:numPr>
        <w:spacing w:before="0" w:line="240" w:lineRule="auto"/>
        <w:rPr>
          <w:rFonts w:asciiTheme="minorHAnsi" w:hAnsiTheme="minorHAnsi"/>
          <w:b w:val="0"/>
          <w:color w:val="auto"/>
          <w:sz w:val="22"/>
          <w:szCs w:val="22"/>
        </w:rPr>
      </w:pPr>
      <w:r>
        <w:rPr>
          <w:rFonts w:asciiTheme="minorHAnsi" w:hAnsiTheme="minorHAnsi"/>
          <w:b w:val="0"/>
          <w:color w:val="auto"/>
          <w:sz w:val="22"/>
          <w:szCs w:val="22"/>
        </w:rPr>
        <w:t>In addition</w:t>
      </w:r>
      <w:r w:rsidR="00827BA2" w:rsidRPr="00601DAD">
        <w:rPr>
          <w:rFonts w:asciiTheme="minorHAnsi" w:hAnsiTheme="minorHAnsi"/>
          <w:b w:val="0"/>
          <w:color w:val="auto"/>
          <w:sz w:val="22"/>
          <w:szCs w:val="22"/>
        </w:rPr>
        <w:t>, just turning on the</w:t>
      </w:r>
      <w:r w:rsidR="002D44F2">
        <w:rPr>
          <w:rFonts w:asciiTheme="minorHAnsi" w:hAnsiTheme="minorHAnsi"/>
          <w:b w:val="0"/>
          <w:color w:val="auto"/>
          <w:sz w:val="22"/>
          <w:szCs w:val="22"/>
        </w:rPr>
        <w:t xml:space="preserve"> access</w:t>
      </w:r>
      <w:r w:rsidR="00827BA2" w:rsidRPr="00601DAD">
        <w:rPr>
          <w:rFonts w:asciiTheme="minorHAnsi" w:hAnsiTheme="minorHAnsi"/>
          <w:b w:val="0"/>
          <w:color w:val="auto"/>
          <w:sz w:val="22"/>
          <w:szCs w:val="22"/>
        </w:rPr>
        <w:t xml:space="preserve"> function is not adequate. </w:t>
      </w:r>
      <w:r>
        <w:rPr>
          <w:rFonts w:asciiTheme="minorHAnsi" w:hAnsiTheme="minorHAnsi"/>
          <w:b w:val="0"/>
          <w:color w:val="auto"/>
          <w:sz w:val="22"/>
          <w:szCs w:val="22"/>
        </w:rPr>
        <w:t>Providers should be required to attest to</w:t>
      </w:r>
      <w:r w:rsidR="00827BA2" w:rsidRPr="00601DAD">
        <w:rPr>
          <w:rFonts w:asciiTheme="minorHAnsi" w:hAnsiTheme="minorHAnsi"/>
          <w:b w:val="0"/>
          <w:color w:val="auto"/>
          <w:sz w:val="22"/>
          <w:szCs w:val="22"/>
        </w:rPr>
        <w:t xml:space="preserve"> active communication </w:t>
      </w:r>
      <w:r>
        <w:rPr>
          <w:rFonts w:asciiTheme="minorHAnsi" w:hAnsiTheme="minorHAnsi"/>
          <w:b w:val="0"/>
          <w:color w:val="auto"/>
          <w:sz w:val="22"/>
          <w:szCs w:val="22"/>
        </w:rPr>
        <w:t>to</w:t>
      </w:r>
      <w:r w:rsidR="00827BA2" w:rsidRPr="00601DAD">
        <w:rPr>
          <w:rFonts w:asciiTheme="minorHAnsi" w:hAnsiTheme="minorHAnsi"/>
          <w:b w:val="0"/>
          <w:color w:val="auto"/>
          <w:sz w:val="22"/>
          <w:szCs w:val="22"/>
        </w:rPr>
        <w:t xml:space="preserve"> </w:t>
      </w:r>
      <w:r>
        <w:rPr>
          <w:rFonts w:asciiTheme="minorHAnsi" w:hAnsiTheme="minorHAnsi"/>
          <w:b w:val="0"/>
          <w:color w:val="auto"/>
          <w:sz w:val="22"/>
          <w:szCs w:val="22"/>
        </w:rPr>
        <w:t xml:space="preserve">patients </w:t>
      </w:r>
      <w:r w:rsidR="00827BA2" w:rsidRPr="00601DAD">
        <w:rPr>
          <w:rFonts w:asciiTheme="minorHAnsi" w:hAnsiTheme="minorHAnsi"/>
          <w:b w:val="0"/>
          <w:color w:val="auto"/>
          <w:sz w:val="22"/>
          <w:szCs w:val="22"/>
        </w:rPr>
        <w:t>(or patient</w:t>
      </w:r>
      <w:r>
        <w:rPr>
          <w:rFonts w:asciiTheme="minorHAnsi" w:hAnsiTheme="minorHAnsi"/>
          <w:b w:val="0"/>
          <w:color w:val="auto"/>
          <w:sz w:val="22"/>
          <w:szCs w:val="22"/>
        </w:rPr>
        <w:t xml:space="preserve">s’ </w:t>
      </w:r>
      <w:r w:rsidR="00827BA2" w:rsidRPr="00601DAD">
        <w:rPr>
          <w:rFonts w:asciiTheme="minorHAnsi" w:hAnsiTheme="minorHAnsi"/>
          <w:b w:val="0"/>
          <w:color w:val="auto"/>
          <w:sz w:val="22"/>
          <w:szCs w:val="22"/>
        </w:rPr>
        <w:t>authorized representative</w:t>
      </w:r>
      <w:r>
        <w:rPr>
          <w:rFonts w:asciiTheme="minorHAnsi" w:hAnsiTheme="minorHAnsi"/>
          <w:b w:val="0"/>
          <w:color w:val="auto"/>
          <w:sz w:val="22"/>
          <w:szCs w:val="22"/>
        </w:rPr>
        <w:t>s</w:t>
      </w:r>
      <w:r w:rsidR="00827BA2" w:rsidRPr="00601DAD">
        <w:rPr>
          <w:rFonts w:asciiTheme="minorHAnsi" w:hAnsiTheme="minorHAnsi"/>
          <w:b w:val="0"/>
          <w:color w:val="auto"/>
          <w:sz w:val="22"/>
          <w:szCs w:val="22"/>
        </w:rPr>
        <w:t>).</w:t>
      </w:r>
      <w:r w:rsidR="00D038B4" w:rsidRPr="00601DAD">
        <w:rPr>
          <w:rFonts w:asciiTheme="minorHAnsi" w:hAnsiTheme="minorHAnsi"/>
          <w:b w:val="0"/>
          <w:color w:val="auto"/>
          <w:sz w:val="22"/>
          <w:szCs w:val="22"/>
        </w:rPr>
        <w:t xml:space="preserve"> The proposed guidelines only require the provider to ful</w:t>
      </w:r>
      <w:r w:rsidR="00F73C3F" w:rsidRPr="00601DAD">
        <w:rPr>
          <w:rFonts w:asciiTheme="minorHAnsi" w:hAnsiTheme="minorHAnsi"/>
          <w:b w:val="0"/>
          <w:color w:val="auto"/>
          <w:sz w:val="22"/>
          <w:szCs w:val="22"/>
        </w:rPr>
        <w:t>ly enable the VDT or API functionality.</w:t>
      </w:r>
      <w:r w:rsidRPr="00601DAD">
        <w:rPr>
          <w:rFonts w:asciiTheme="minorHAnsi" w:hAnsiTheme="minorHAnsi"/>
          <w:b w:val="0"/>
          <w:color w:val="auto"/>
          <w:sz w:val="22"/>
          <w:szCs w:val="22"/>
        </w:rPr>
        <w:t xml:space="preserve"> </w:t>
      </w:r>
    </w:p>
    <w:p w:rsidR="007609B1" w:rsidRPr="00D429ED" w:rsidRDefault="00731ADC" w:rsidP="007609B1">
      <w:pPr>
        <w:pStyle w:val="Heading1"/>
        <w:numPr>
          <w:ilvl w:val="0"/>
          <w:numId w:val="16"/>
        </w:numPr>
        <w:spacing w:before="0" w:line="240" w:lineRule="auto"/>
        <w:rPr>
          <w:rFonts w:asciiTheme="minorHAnsi" w:hAnsiTheme="minorHAnsi"/>
          <w:b w:val="0"/>
          <w:color w:val="auto"/>
          <w:sz w:val="22"/>
          <w:szCs w:val="22"/>
        </w:rPr>
      </w:pPr>
      <w:r w:rsidRPr="00ED12A1">
        <w:rPr>
          <w:rFonts w:asciiTheme="minorHAnsi" w:hAnsiTheme="minorHAnsi"/>
          <w:b w:val="0"/>
          <w:color w:val="auto"/>
          <w:sz w:val="22"/>
          <w:szCs w:val="22"/>
        </w:rPr>
        <w:t xml:space="preserve">We </w:t>
      </w:r>
      <w:r w:rsidR="00601DAD" w:rsidRPr="00ED12A1">
        <w:rPr>
          <w:rFonts w:asciiTheme="minorHAnsi" w:hAnsiTheme="minorHAnsi"/>
          <w:b w:val="0"/>
          <w:color w:val="auto"/>
          <w:sz w:val="22"/>
          <w:szCs w:val="22"/>
        </w:rPr>
        <w:t>recommend</w:t>
      </w:r>
      <w:r w:rsidRPr="00ED12A1">
        <w:rPr>
          <w:rFonts w:asciiTheme="minorHAnsi" w:hAnsiTheme="minorHAnsi"/>
          <w:b w:val="0"/>
          <w:color w:val="auto"/>
          <w:sz w:val="22"/>
          <w:szCs w:val="22"/>
        </w:rPr>
        <w:t xml:space="preserve"> the </w:t>
      </w:r>
      <w:r w:rsidR="00601DAD" w:rsidRPr="00ED12A1">
        <w:rPr>
          <w:rFonts w:asciiTheme="minorHAnsi" w:hAnsiTheme="minorHAnsi"/>
          <w:b w:val="0"/>
          <w:color w:val="auto"/>
          <w:sz w:val="22"/>
          <w:szCs w:val="22"/>
        </w:rPr>
        <w:t xml:space="preserve">offer and </w:t>
      </w:r>
      <w:r w:rsidRPr="00ED12A1">
        <w:rPr>
          <w:rFonts w:asciiTheme="minorHAnsi" w:hAnsiTheme="minorHAnsi"/>
          <w:b w:val="0"/>
          <w:color w:val="auto"/>
          <w:sz w:val="22"/>
          <w:szCs w:val="22"/>
        </w:rPr>
        <w:t xml:space="preserve">use of </w:t>
      </w:r>
      <w:r w:rsidRPr="00ED12A1">
        <w:rPr>
          <w:rFonts w:asciiTheme="minorHAnsi" w:hAnsiTheme="minorHAnsi"/>
          <w:color w:val="auto"/>
          <w:sz w:val="22"/>
          <w:szCs w:val="22"/>
          <w:u w:val="single"/>
        </w:rPr>
        <w:t>both</w:t>
      </w:r>
      <w:r w:rsidRPr="00ED12A1">
        <w:rPr>
          <w:rFonts w:asciiTheme="minorHAnsi" w:hAnsiTheme="minorHAnsi"/>
          <w:b w:val="0"/>
          <w:color w:val="auto"/>
          <w:sz w:val="22"/>
          <w:szCs w:val="22"/>
        </w:rPr>
        <w:t xml:space="preserve"> the VDT option and an ONC-certified API.  </w:t>
      </w:r>
      <w:r w:rsidR="00601DAD" w:rsidRPr="00ED12A1">
        <w:rPr>
          <w:rFonts w:asciiTheme="minorHAnsi" w:hAnsiTheme="minorHAnsi"/>
          <w:b w:val="0"/>
          <w:color w:val="auto"/>
          <w:sz w:val="22"/>
          <w:szCs w:val="22"/>
        </w:rPr>
        <w:t xml:space="preserve">This approach of both options will give </w:t>
      </w:r>
      <w:r w:rsidR="00D14961">
        <w:rPr>
          <w:rFonts w:asciiTheme="minorHAnsi" w:hAnsiTheme="minorHAnsi"/>
          <w:b w:val="0"/>
          <w:color w:val="auto"/>
          <w:sz w:val="22"/>
          <w:szCs w:val="22"/>
        </w:rPr>
        <w:t xml:space="preserve">the </w:t>
      </w:r>
      <w:r w:rsidR="00601DAD" w:rsidRPr="00ED12A1">
        <w:rPr>
          <w:rFonts w:asciiTheme="minorHAnsi" w:hAnsiTheme="minorHAnsi"/>
          <w:b w:val="0"/>
          <w:color w:val="auto"/>
          <w:sz w:val="22"/>
          <w:szCs w:val="22"/>
        </w:rPr>
        <w:t xml:space="preserve">marketplace </w:t>
      </w:r>
      <w:r w:rsidR="00D14961">
        <w:rPr>
          <w:rFonts w:asciiTheme="minorHAnsi" w:hAnsiTheme="minorHAnsi"/>
          <w:b w:val="0"/>
          <w:color w:val="auto"/>
          <w:sz w:val="22"/>
          <w:szCs w:val="22"/>
        </w:rPr>
        <w:t xml:space="preserve">time </w:t>
      </w:r>
      <w:r w:rsidR="00601DAD" w:rsidRPr="00ED12A1">
        <w:rPr>
          <w:rFonts w:asciiTheme="minorHAnsi" w:hAnsiTheme="minorHAnsi"/>
          <w:b w:val="0"/>
          <w:color w:val="auto"/>
          <w:sz w:val="22"/>
          <w:szCs w:val="22"/>
        </w:rPr>
        <w:t>to determine which option or options best are best suited to meet the needs of pati</w:t>
      </w:r>
      <w:r w:rsidR="007609B1">
        <w:rPr>
          <w:rFonts w:asciiTheme="minorHAnsi" w:hAnsiTheme="minorHAnsi"/>
          <w:b w:val="0"/>
          <w:color w:val="auto"/>
          <w:sz w:val="22"/>
          <w:szCs w:val="22"/>
        </w:rPr>
        <w:t>ents, caregivers and providers.  M</w:t>
      </w:r>
      <w:r w:rsidR="007609B1" w:rsidRPr="00D14961">
        <w:rPr>
          <w:rFonts w:asciiTheme="minorHAnsi" w:hAnsiTheme="minorHAnsi"/>
          <w:b w:val="0"/>
          <w:color w:val="auto"/>
          <w:sz w:val="22"/>
          <w:szCs w:val="22"/>
        </w:rPr>
        <w:t xml:space="preserve">any patients are </w:t>
      </w:r>
      <w:r w:rsidR="007609B1">
        <w:rPr>
          <w:rFonts w:asciiTheme="minorHAnsi" w:hAnsiTheme="minorHAnsi"/>
          <w:b w:val="0"/>
          <w:color w:val="auto"/>
          <w:sz w:val="22"/>
          <w:szCs w:val="22"/>
        </w:rPr>
        <w:t xml:space="preserve">already using the functionality created in Stage 2 of MU, and this </w:t>
      </w:r>
      <w:r w:rsidR="007609B1" w:rsidRPr="00D14961">
        <w:rPr>
          <w:rFonts w:asciiTheme="minorHAnsi" w:hAnsiTheme="minorHAnsi"/>
          <w:b w:val="0"/>
          <w:color w:val="auto"/>
          <w:sz w:val="22"/>
          <w:szCs w:val="22"/>
        </w:rPr>
        <w:t>should still be available to patients along with an API until all of the intended and unintended consequences of a</w:t>
      </w:r>
      <w:r w:rsidR="007609B1">
        <w:rPr>
          <w:rFonts w:asciiTheme="minorHAnsi" w:hAnsiTheme="minorHAnsi"/>
          <w:b w:val="0"/>
          <w:color w:val="auto"/>
          <w:sz w:val="22"/>
          <w:szCs w:val="22"/>
        </w:rPr>
        <w:t xml:space="preserve"> potential</w:t>
      </w:r>
      <w:r w:rsidR="007609B1" w:rsidRPr="00D14961">
        <w:rPr>
          <w:rFonts w:asciiTheme="minorHAnsi" w:hAnsiTheme="minorHAnsi"/>
          <w:b w:val="0"/>
          <w:color w:val="auto"/>
          <w:sz w:val="22"/>
          <w:szCs w:val="22"/>
        </w:rPr>
        <w:t xml:space="preserve"> shift to APIs are known.  </w:t>
      </w:r>
      <w:r w:rsidR="007609B1">
        <w:rPr>
          <w:rFonts w:asciiTheme="minorHAnsi" w:hAnsiTheme="minorHAnsi"/>
          <w:b w:val="0"/>
          <w:color w:val="auto"/>
          <w:sz w:val="22"/>
          <w:szCs w:val="22"/>
        </w:rPr>
        <w:t>Further, we note that since certification is proposed only for APIs to be able to download data, there are several functions proposed in the MU3 NPRM that will continue to require a portal, such as secure messaging, patient-specific education materials, and patient-</w:t>
      </w:r>
      <w:r w:rsidR="007609B1" w:rsidRPr="00D429ED">
        <w:rPr>
          <w:rFonts w:asciiTheme="minorHAnsi" w:hAnsiTheme="minorHAnsi"/>
          <w:b w:val="0"/>
          <w:color w:val="auto"/>
          <w:sz w:val="22"/>
          <w:szCs w:val="22"/>
        </w:rPr>
        <w:t>generated health data.</w:t>
      </w:r>
    </w:p>
    <w:p w:rsidR="008B2FE5" w:rsidRPr="00D429ED" w:rsidRDefault="00ED12A1" w:rsidP="008B2FE5">
      <w:pPr>
        <w:pStyle w:val="ListParagraph"/>
        <w:numPr>
          <w:ilvl w:val="0"/>
          <w:numId w:val="16"/>
        </w:numPr>
        <w:rPr>
          <w:rFonts w:asciiTheme="minorHAnsi" w:eastAsiaTheme="majorEastAsia" w:hAnsiTheme="minorHAnsi" w:cstheme="majorBidi"/>
          <w:bCs/>
          <w:sz w:val="22"/>
          <w:szCs w:val="22"/>
        </w:rPr>
      </w:pPr>
      <w:r w:rsidRPr="00D429ED">
        <w:rPr>
          <w:rFonts w:asciiTheme="minorHAnsi" w:hAnsiTheme="minorHAnsi"/>
          <w:sz w:val="22"/>
          <w:szCs w:val="22"/>
        </w:rPr>
        <w:t xml:space="preserve">There are </w:t>
      </w:r>
      <w:r w:rsidR="00A46001" w:rsidRPr="00D429ED">
        <w:rPr>
          <w:rFonts w:asciiTheme="minorHAnsi" w:hAnsiTheme="minorHAnsi"/>
          <w:sz w:val="22"/>
          <w:szCs w:val="22"/>
        </w:rPr>
        <w:t xml:space="preserve">potential advantages to the API approach.  </w:t>
      </w:r>
      <w:r w:rsidR="00CC2B8A" w:rsidRPr="00D429ED">
        <w:rPr>
          <w:rFonts w:asciiTheme="minorHAnsi" w:hAnsiTheme="minorHAnsi"/>
          <w:sz w:val="22"/>
          <w:szCs w:val="22"/>
        </w:rPr>
        <w:t>Fro</w:t>
      </w:r>
      <w:r w:rsidR="00925D52" w:rsidRPr="00D429ED">
        <w:rPr>
          <w:rFonts w:asciiTheme="minorHAnsi" w:hAnsiTheme="minorHAnsi"/>
          <w:sz w:val="22"/>
          <w:szCs w:val="22"/>
        </w:rPr>
        <w:t xml:space="preserve">m the provider perspective, an </w:t>
      </w:r>
      <w:r w:rsidR="00CC2B8A" w:rsidRPr="00D429ED">
        <w:rPr>
          <w:rFonts w:asciiTheme="minorHAnsi" w:hAnsiTheme="minorHAnsi"/>
          <w:sz w:val="22"/>
          <w:szCs w:val="22"/>
        </w:rPr>
        <w:t xml:space="preserve">API option </w:t>
      </w:r>
      <w:r w:rsidRPr="00D429ED">
        <w:rPr>
          <w:rFonts w:asciiTheme="minorHAnsi" w:hAnsiTheme="minorHAnsi"/>
          <w:sz w:val="22"/>
          <w:szCs w:val="22"/>
        </w:rPr>
        <w:t>could potentially</w:t>
      </w:r>
      <w:r w:rsidR="00CC2B8A" w:rsidRPr="00D429ED">
        <w:rPr>
          <w:rFonts w:asciiTheme="minorHAnsi" w:hAnsiTheme="minorHAnsi"/>
          <w:sz w:val="22"/>
          <w:szCs w:val="22"/>
        </w:rPr>
        <w:t xml:space="preserve"> mean the provider would not be required to purchase or implement a s</w:t>
      </w:r>
      <w:r w:rsidR="00A20437" w:rsidRPr="00D429ED">
        <w:rPr>
          <w:rFonts w:asciiTheme="minorHAnsi" w:hAnsiTheme="minorHAnsi"/>
          <w:sz w:val="22"/>
          <w:szCs w:val="22"/>
        </w:rPr>
        <w:t>eparate mechanism to provide the</w:t>
      </w:r>
      <w:r w:rsidR="00A46001" w:rsidRPr="00D429ED">
        <w:rPr>
          <w:rFonts w:asciiTheme="minorHAnsi" w:hAnsiTheme="minorHAnsi"/>
          <w:sz w:val="22"/>
          <w:szCs w:val="22"/>
        </w:rPr>
        <w:t xml:space="preserve"> ability to</w:t>
      </w:r>
      <w:r w:rsidR="00A20437" w:rsidRPr="00D429ED">
        <w:rPr>
          <w:rFonts w:asciiTheme="minorHAnsi" w:hAnsiTheme="minorHAnsi"/>
          <w:sz w:val="22"/>
          <w:szCs w:val="22"/>
        </w:rPr>
        <w:t xml:space="preserve"> secure</w:t>
      </w:r>
      <w:r w:rsidR="00A46001" w:rsidRPr="00D429ED">
        <w:rPr>
          <w:rFonts w:asciiTheme="minorHAnsi" w:hAnsiTheme="minorHAnsi"/>
          <w:sz w:val="22"/>
          <w:szCs w:val="22"/>
        </w:rPr>
        <w:t>ly</w:t>
      </w:r>
      <w:r w:rsidR="00A20437" w:rsidRPr="00D429ED">
        <w:rPr>
          <w:rFonts w:asciiTheme="minorHAnsi" w:hAnsiTheme="minorHAnsi"/>
          <w:sz w:val="22"/>
          <w:szCs w:val="22"/>
        </w:rPr>
        <w:t xml:space="preserve"> download or transmit health information to a third party. </w:t>
      </w:r>
      <w:r w:rsidR="00A46001" w:rsidRPr="00D429ED">
        <w:rPr>
          <w:rFonts w:asciiTheme="minorHAnsi" w:hAnsiTheme="minorHAnsi"/>
          <w:sz w:val="22"/>
          <w:szCs w:val="22"/>
        </w:rPr>
        <w:t xml:space="preserve"> However, the API is only certified for the download function- </w:t>
      </w:r>
      <w:r w:rsidR="00287032" w:rsidRPr="00D429ED">
        <w:rPr>
          <w:rFonts w:asciiTheme="minorHAnsi" w:hAnsiTheme="minorHAnsi"/>
          <w:sz w:val="22"/>
          <w:szCs w:val="22"/>
        </w:rPr>
        <w:t xml:space="preserve">as noted, </w:t>
      </w:r>
      <w:r w:rsidR="00A46001" w:rsidRPr="00D429ED">
        <w:rPr>
          <w:rFonts w:asciiTheme="minorHAnsi" w:hAnsiTheme="minorHAnsi"/>
          <w:sz w:val="22"/>
          <w:szCs w:val="22"/>
        </w:rPr>
        <w:t>it lacks</w:t>
      </w:r>
      <w:r w:rsidR="00287032" w:rsidRPr="00D429ED">
        <w:rPr>
          <w:rFonts w:asciiTheme="minorHAnsi" w:hAnsiTheme="minorHAnsi"/>
          <w:sz w:val="22"/>
          <w:szCs w:val="22"/>
        </w:rPr>
        <w:t xml:space="preserve"> other functionality currently offered under MU in a standardized way. </w:t>
      </w:r>
      <w:r w:rsidR="005E5349" w:rsidRPr="00D429ED">
        <w:rPr>
          <w:rFonts w:asciiTheme="minorHAnsi" w:hAnsiTheme="minorHAnsi"/>
          <w:sz w:val="22"/>
          <w:szCs w:val="22"/>
        </w:rPr>
        <w:t xml:space="preserve">So many providers would </w:t>
      </w:r>
      <w:r w:rsidR="005E5349" w:rsidRPr="00D429ED">
        <w:rPr>
          <w:rFonts w:asciiTheme="minorHAnsi" w:hAnsiTheme="minorHAnsi"/>
          <w:sz w:val="22"/>
          <w:szCs w:val="22"/>
        </w:rPr>
        <w:lastRenderedPageBreak/>
        <w:t xml:space="preserve">likely have to maintain a portal to succeed under other MU objectives. </w:t>
      </w:r>
      <w:r w:rsidR="00A46001" w:rsidRPr="00D429ED">
        <w:rPr>
          <w:rFonts w:asciiTheme="minorHAnsi" w:hAnsiTheme="minorHAnsi"/>
          <w:sz w:val="22"/>
          <w:szCs w:val="22"/>
        </w:rPr>
        <w:t xml:space="preserve"> </w:t>
      </w:r>
      <w:r w:rsidR="005E5349" w:rsidRPr="00D429ED">
        <w:rPr>
          <w:rFonts w:asciiTheme="minorHAnsi" w:hAnsiTheme="minorHAnsi"/>
          <w:sz w:val="22"/>
          <w:szCs w:val="22"/>
        </w:rPr>
        <w:t xml:space="preserve">From the patient perspective, an API enabled by a provider could empower the patient to receive information from the provider in the manner that is most valuable to that particular patient – if the API works for the patient’s preferred app.  Although it is </w:t>
      </w:r>
      <w:r w:rsidR="00A46001" w:rsidRPr="00D429ED">
        <w:rPr>
          <w:rFonts w:asciiTheme="minorHAnsi" w:hAnsiTheme="minorHAnsi"/>
          <w:sz w:val="22"/>
          <w:szCs w:val="22"/>
        </w:rPr>
        <w:t xml:space="preserve">unclear whether an API-based approach could lead to a proliferation of apps, particularly in cases where the patient has multiple providers, all of whom use different proprietary APIs that feed into different apps that, in the </w:t>
      </w:r>
      <w:r w:rsidR="00A46001" w:rsidRPr="00D429ED">
        <w:rPr>
          <w:rFonts w:asciiTheme="minorHAnsi" w:eastAsiaTheme="majorEastAsia" w:hAnsiTheme="minorHAnsi" w:cstheme="majorBidi"/>
          <w:bCs/>
          <w:sz w:val="22"/>
          <w:szCs w:val="22"/>
        </w:rPr>
        <w:t>end, make it more complex for the patient to have one “home” (of their choosing) for their health information.</w:t>
      </w:r>
    </w:p>
    <w:p w:rsidR="008B2FE5" w:rsidRPr="00C94776" w:rsidRDefault="008B2FE5" w:rsidP="00C94776">
      <w:pPr>
        <w:pStyle w:val="ListParagraph"/>
        <w:numPr>
          <w:ilvl w:val="0"/>
          <w:numId w:val="16"/>
        </w:numPr>
        <w:rPr>
          <w:rFonts w:asciiTheme="minorHAnsi" w:hAnsiTheme="minorHAnsi"/>
          <w:sz w:val="22"/>
          <w:szCs w:val="22"/>
        </w:rPr>
      </w:pPr>
      <w:r w:rsidRPr="00C94776">
        <w:rPr>
          <w:rFonts w:asciiTheme="minorHAnsi" w:hAnsiTheme="minorHAnsi"/>
          <w:sz w:val="22"/>
          <w:szCs w:val="22"/>
        </w:rPr>
        <w:t xml:space="preserve">As far as measurement is concerned, the API should be able to measure downloads in the same way as the current VDT/portal.  </w:t>
      </w:r>
      <w:r w:rsidR="00C94776" w:rsidRPr="00C94776">
        <w:rPr>
          <w:rFonts w:asciiTheme="minorHAnsi" w:hAnsiTheme="minorHAnsi"/>
          <w:sz w:val="22"/>
          <w:szCs w:val="22"/>
        </w:rPr>
        <w:t>It is not sufficient to measure API by ensuring that “at least one application</w:t>
      </w:r>
      <w:r w:rsidR="00C94776">
        <w:rPr>
          <w:rFonts w:asciiTheme="minorHAnsi" w:hAnsiTheme="minorHAnsi"/>
          <w:sz w:val="22"/>
          <w:szCs w:val="22"/>
        </w:rPr>
        <w:t xml:space="preserve"> </w:t>
      </w:r>
      <w:r w:rsidR="00C94776" w:rsidRPr="00C94776">
        <w:rPr>
          <w:rFonts w:asciiTheme="minorHAnsi" w:hAnsiTheme="minorHAnsi"/>
          <w:sz w:val="22"/>
          <w:szCs w:val="22"/>
        </w:rPr>
        <w:t>which leverages the API is available to patients (or the patient-authorized representatives) to retrieve health information from the provider's certified EHR.</w:t>
      </w:r>
      <w:r w:rsidR="00C94776">
        <w:rPr>
          <w:rFonts w:asciiTheme="minorHAnsi" w:hAnsiTheme="minorHAnsi"/>
          <w:sz w:val="22"/>
          <w:szCs w:val="22"/>
        </w:rPr>
        <w:t xml:space="preserve">” Downloads must be measured under Objective 6. </w:t>
      </w:r>
    </w:p>
    <w:p w:rsidR="00D429ED" w:rsidRPr="00D429ED" w:rsidRDefault="00D429ED" w:rsidP="008B2FE5">
      <w:pPr>
        <w:pStyle w:val="ListParagraph"/>
        <w:numPr>
          <w:ilvl w:val="0"/>
          <w:numId w:val="16"/>
        </w:numPr>
        <w:rPr>
          <w:rFonts w:asciiTheme="minorHAnsi" w:eastAsiaTheme="majorEastAsia" w:hAnsiTheme="minorHAnsi" w:cstheme="majorBidi"/>
          <w:bCs/>
          <w:sz w:val="22"/>
          <w:szCs w:val="22"/>
        </w:rPr>
      </w:pPr>
      <w:r w:rsidRPr="00D429ED">
        <w:rPr>
          <w:rFonts w:asciiTheme="minorHAnsi" w:eastAsiaTheme="majorEastAsia" w:hAnsiTheme="minorHAnsi" w:cstheme="majorBidi"/>
          <w:bCs/>
          <w:sz w:val="22"/>
          <w:szCs w:val="22"/>
        </w:rPr>
        <w:t xml:space="preserve">ONC should consider whether more functions should be added to the API certification </w:t>
      </w:r>
      <w:r w:rsidR="00AE12AE">
        <w:rPr>
          <w:rFonts w:asciiTheme="minorHAnsi" w:eastAsiaTheme="majorEastAsia" w:hAnsiTheme="minorHAnsi" w:cstheme="majorBidi"/>
          <w:bCs/>
          <w:sz w:val="22"/>
          <w:szCs w:val="22"/>
        </w:rPr>
        <w:t>proposal</w:t>
      </w:r>
      <w:r w:rsidRPr="00D429ED">
        <w:rPr>
          <w:rFonts w:asciiTheme="minorHAnsi" w:eastAsiaTheme="majorEastAsia" w:hAnsiTheme="minorHAnsi" w:cstheme="majorBidi"/>
          <w:bCs/>
          <w:sz w:val="22"/>
          <w:szCs w:val="22"/>
        </w:rPr>
        <w:t>. Functions such as secure messaging, online medication refills, appointment scheduling, etc. are part of many portals today, and allowing providers to discontinue these functions</w:t>
      </w:r>
      <w:r w:rsidR="00AE12AE">
        <w:rPr>
          <w:rFonts w:asciiTheme="minorHAnsi" w:eastAsiaTheme="majorEastAsia" w:hAnsiTheme="minorHAnsi" w:cstheme="majorBidi"/>
          <w:bCs/>
          <w:sz w:val="22"/>
          <w:szCs w:val="22"/>
        </w:rPr>
        <w:t xml:space="preserve"> (largely for financial reasons) without a reasonable replacement</w:t>
      </w:r>
      <w:r w:rsidRPr="00D429ED">
        <w:rPr>
          <w:rFonts w:asciiTheme="minorHAnsi" w:eastAsiaTheme="majorEastAsia" w:hAnsiTheme="minorHAnsi" w:cstheme="majorBidi"/>
          <w:bCs/>
          <w:sz w:val="22"/>
          <w:szCs w:val="22"/>
        </w:rPr>
        <w:t xml:space="preserve"> may be highly disruptive for patients and families. </w:t>
      </w:r>
    </w:p>
    <w:p w:rsidR="005E5349" w:rsidRDefault="005E5349" w:rsidP="005E5349">
      <w:pPr>
        <w:pStyle w:val="Heading1"/>
        <w:spacing w:before="0" w:line="240" w:lineRule="auto"/>
        <w:ind w:left="720"/>
      </w:pPr>
    </w:p>
    <w:p w:rsidR="00B833E4" w:rsidRDefault="006030B4" w:rsidP="00F938E1">
      <w:pPr>
        <w:pStyle w:val="Heading1"/>
        <w:spacing w:before="0" w:line="240" w:lineRule="auto"/>
        <w:rPr>
          <w:rFonts w:asciiTheme="minorHAnsi" w:hAnsiTheme="minorHAnsi"/>
          <w:b w:val="0"/>
          <w:color w:val="auto"/>
          <w:sz w:val="22"/>
          <w:szCs w:val="22"/>
        </w:rPr>
      </w:pPr>
      <w:r w:rsidRPr="005E5349">
        <w:rPr>
          <w:rFonts w:asciiTheme="minorHAnsi" w:hAnsiTheme="minorHAnsi"/>
          <w:color w:val="auto"/>
          <w:sz w:val="22"/>
          <w:szCs w:val="22"/>
          <w:u w:val="single"/>
        </w:rPr>
        <w:t>Privacy and Security</w:t>
      </w:r>
      <w:r w:rsidRPr="005E5349">
        <w:rPr>
          <w:rFonts w:asciiTheme="minorHAnsi" w:hAnsiTheme="minorHAnsi"/>
          <w:b w:val="0"/>
          <w:color w:val="auto"/>
          <w:sz w:val="22"/>
          <w:szCs w:val="22"/>
        </w:rPr>
        <w:t xml:space="preserve">: </w:t>
      </w:r>
      <w:r w:rsidR="00A20437" w:rsidRPr="005E5349">
        <w:rPr>
          <w:rFonts w:asciiTheme="minorHAnsi" w:hAnsiTheme="minorHAnsi"/>
          <w:b w:val="0"/>
          <w:color w:val="auto"/>
          <w:sz w:val="22"/>
          <w:szCs w:val="22"/>
        </w:rPr>
        <w:t xml:space="preserve">There </w:t>
      </w:r>
      <w:r w:rsidR="004A0D2E" w:rsidRPr="005E5349">
        <w:rPr>
          <w:rFonts w:asciiTheme="minorHAnsi" w:hAnsiTheme="minorHAnsi"/>
          <w:b w:val="0"/>
          <w:color w:val="auto"/>
          <w:sz w:val="22"/>
          <w:szCs w:val="22"/>
        </w:rPr>
        <w:t>are</w:t>
      </w:r>
      <w:r w:rsidR="00A20437" w:rsidRPr="005E5349">
        <w:rPr>
          <w:rFonts w:asciiTheme="minorHAnsi" w:hAnsiTheme="minorHAnsi"/>
          <w:b w:val="0"/>
          <w:color w:val="auto"/>
          <w:sz w:val="22"/>
          <w:szCs w:val="22"/>
        </w:rPr>
        <w:t xml:space="preserve"> continuing concern</w:t>
      </w:r>
      <w:r w:rsidR="004A0D2E" w:rsidRPr="005E5349">
        <w:rPr>
          <w:rFonts w:asciiTheme="minorHAnsi" w:hAnsiTheme="minorHAnsi"/>
          <w:b w:val="0"/>
          <w:color w:val="auto"/>
          <w:sz w:val="22"/>
          <w:szCs w:val="22"/>
        </w:rPr>
        <w:t>s</w:t>
      </w:r>
      <w:r w:rsidR="00A20437" w:rsidRPr="005E5349">
        <w:rPr>
          <w:rFonts w:asciiTheme="minorHAnsi" w:hAnsiTheme="minorHAnsi"/>
          <w:b w:val="0"/>
          <w:color w:val="auto"/>
          <w:sz w:val="22"/>
          <w:szCs w:val="22"/>
        </w:rPr>
        <w:t xml:space="preserve"> about </w:t>
      </w:r>
      <w:r w:rsidR="004A0D2E" w:rsidRPr="005E5349">
        <w:rPr>
          <w:rFonts w:asciiTheme="minorHAnsi" w:hAnsiTheme="minorHAnsi"/>
          <w:b w:val="0"/>
          <w:color w:val="auto"/>
          <w:sz w:val="22"/>
          <w:szCs w:val="22"/>
        </w:rPr>
        <w:t xml:space="preserve">the </w:t>
      </w:r>
      <w:r w:rsidR="00A20437" w:rsidRPr="005E5349">
        <w:rPr>
          <w:rFonts w:asciiTheme="minorHAnsi" w:hAnsiTheme="minorHAnsi"/>
          <w:b w:val="0"/>
          <w:color w:val="auto"/>
          <w:sz w:val="22"/>
          <w:szCs w:val="22"/>
        </w:rPr>
        <w:t>privacy and security</w:t>
      </w:r>
      <w:r w:rsidR="004A0D2E" w:rsidRPr="005E5349">
        <w:rPr>
          <w:rFonts w:asciiTheme="minorHAnsi" w:hAnsiTheme="minorHAnsi"/>
          <w:b w:val="0"/>
          <w:color w:val="auto"/>
          <w:sz w:val="22"/>
          <w:szCs w:val="22"/>
        </w:rPr>
        <w:t xml:space="preserve"> of </w:t>
      </w:r>
      <w:r w:rsidR="00052469" w:rsidRPr="005E5349">
        <w:rPr>
          <w:rFonts w:asciiTheme="minorHAnsi" w:hAnsiTheme="minorHAnsi"/>
          <w:b w:val="0"/>
          <w:color w:val="auto"/>
          <w:sz w:val="22"/>
          <w:szCs w:val="22"/>
        </w:rPr>
        <w:t>patient health information accessed through VDT or API that must be a</w:t>
      </w:r>
      <w:r w:rsidR="005E5349" w:rsidRPr="005E5349">
        <w:rPr>
          <w:rFonts w:asciiTheme="minorHAnsi" w:hAnsiTheme="minorHAnsi"/>
          <w:b w:val="0"/>
          <w:color w:val="auto"/>
          <w:sz w:val="22"/>
          <w:szCs w:val="22"/>
        </w:rPr>
        <w:t>ddressed as we move forward. Specifically</w:t>
      </w:r>
      <w:r w:rsidR="00B833E4" w:rsidRPr="00D14961">
        <w:rPr>
          <w:rFonts w:asciiTheme="minorHAnsi" w:hAnsiTheme="minorHAnsi"/>
          <w:b w:val="0"/>
          <w:color w:val="auto"/>
          <w:sz w:val="22"/>
          <w:szCs w:val="22"/>
        </w:rPr>
        <w:t xml:space="preserve">, </w:t>
      </w:r>
      <w:r w:rsidR="00B833E4">
        <w:rPr>
          <w:rFonts w:asciiTheme="minorHAnsi" w:hAnsiTheme="minorHAnsi"/>
          <w:b w:val="0"/>
          <w:color w:val="auto"/>
          <w:sz w:val="22"/>
          <w:szCs w:val="22"/>
        </w:rPr>
        <w:t xml:space="preserve">we remain concerned about the privacy and security implications of patients who choose to download their data (via a portal or API) and up load it into an app of their choice. We strongly encourage ONC, OCR and CMS to collaborate on ways to both educate patients about their rights, as well as to examine policy options that improve privacy and security for patients using these </w:t>
      </w:r>
      <w:r w:rsidR="005E5349">
        <w:rPr>
          <w:rFonts w:asciiTheme="minorHAnsi" w:hAnsiTheme="minorHAnsi"/>
          <w:b w:val="0"/>
          <w:color w:val="auto"/>
          <w:sz w:val="22"/>
          <w:szCs w:val="22"/>
        </w:rPr>
        <w:t xml:space="preserve">methods to download their data and address the following: </w:t>
      </w:r>
    </w:p>
    <w:p w:rsidR="00052469" w:rsidRDefault="00052469" w:rsidP="005E5349">
      <w:pPr>
        <w:spacing w:after="0" w:line="240" w:lineRule="auto"/>
      </w:pPr>
    </w:p>
    <w:p w:rsidR="00052469" w:rsidRPr="0069028D" w:rsidRDefault="00052469" w:rsidP="00601DAD">
      <w:pPr>
        <w:pStyle w:val="ListParagraph"/>
        <w:numPr>
          <w:ilvl w:val="0"/>
          <w:numId w:val="8"/>
        </w:numPr>
        <w:rPr>
          <w:rFonts w:asciiTheme="minorHAnsi" w:hAnsiTheme="minorHAnsi"/>
          <w:sz w:val="22"/>
          <w:szCs w:val="22"/>
        </w:rPr>
      </w:pPr>
      <w:r w:rsidRPr="0069028D">
        <w:rPr>
          <w:rFonts w:asciiTheme="minorHAnsi" w:hAnsiTheme="minorHAnsi"/>
          <w:sz w:val="22"/>
          <w:szCs w:val="22"/>
        </w:rPr>
        <w:t xml:space="preserve">Once a patient pulls data </w:t>
      </w:r>
      <w:r w:rsidR="008E1179">
        <w:rPr>
          <w:rFonts w:asciiTheme="minorHAnsi" w:hAnsiTheme="minorHAnsi"/>
          <w:sz w:val="22"/>
          <w:szCs w:val="22"/>
        </w:rPr>
        <w:t>in</w:t>
      </w:r>
      <w:r w:rsidRPr="0069028D">
        <w:rPr>
          <w:rFonts w:asciiTheme="minorHAnsi" w:hAnsiTheme="minorHAnsi"/>
          <w:sz w:val="22"/>
          <w:szCs w:val="22"/>
        </w:rPr>
        <w:t>to an app, the data is largely unprotected</w:t>
      </w:r>
      <w:r w:rsidR="0069028D" w:rsidRPr="0069028D">
        <w:rPr>
          <w:rFonts w:asciiTheme="minorHAnsi" w:hAnsiTheme="minorHAnsi"/>
          <w:sz w:val="22"/>
          <w:szCs w:val="22"/>
        </w:rPr>
        <w:t>. Most apps are not under regulation by FTC</w:t>
      </w:r>
      <w:r w:rsidR="008E1179">
        <w:rPr>
          <w:rFonts w:asciiTheme="minorHAnsi" w:hAnsiTheme="minorHAnsi"/>
          <w:sz w:val="22"/>
          <w:szCs w:val="22"/>
        </w:rPr>
        <w:t xml:space="preserve">, OCR or other federal authority. </w:t>
      </w:r>
    </w:p>
    <w:p w:rsidR="008E1179" w:rsidRDefault="008E1179" w:rsidP="00601DAD">
      <w:pPr>
        <w:pStyle w:val="ListParagraph"/>
        <w:numPr>
          <w:ilvl w:val="0"/>
          <w:numId w:val="8"/>
        </w:numPr>
        <w:rPr>
          <w:rFonts w:asciiTheme="minorHAnsi" w:hAnsiTheme="minorHAnsi"/>
          <w:sz w:val="22"/>
          <w:szCs w:val="22"/>
        </w:rPr>
      </w:pPr>
      <w:r>
        <w:rPr>
          <w:rFonts w:asciiTheme="minorHAnsi" w:hAnsiTheme="minorHAnsi"/>
          <w:sz w:val="22"/>
          <w:szCs w:val="22"/>
        </w:rPr>
        <w:t>It is the patient’s,</w:t>
      </w:r>
      <w:r w:rsidR="0069028D" w:rsidRPr="0069028D">
        <w:rPr>
          <w:rFonts w:asciiTheme="minorHAnsi" w:hAnsiTheme="minorHAnsi"/>
          <w:sz w:val="22"/>
          <w:szCs w:val="22"/>
        </w:rPr>
        <w:t xml:space="preserve"> responsibility to understand the privacy security policies associated with the app or device</w:t>
      </w:r>
      <w:r>
        <w:rPr>
          <w:rFonts w:asciiTheme="minorHAnsi" w:hAnsiTheme="minorHAnsi"/>
          <w:sz w:val="22"/>
          <w:szCs w:val="22"/>
        </w:rPr>
        <w:t>, and yet they may assume that HIPAA still protects them</w:t>
      </w:r>
      <w:r w:rsidR="0069028D" w:rsidRPr="0069028D">
        <w:rPr>
          <w:rFonts w:asciiTheme="minorHAnsi" w:hAnsiTheme="minorHAnsi"/>
          <w:sz w:val="22"/>
          <w:szCs w:val="22"/>
        </w:rPr>
        <w:t xml:space="preserve">.  </w:t>
      </w:r>
    </w:p>
    <w:p w:rsidR="0069028D" w:rsidRDefault="0069028D" w:rsidP="00601DAD">
      <w:pPr>
        <w:pStyle w:val="ListParagraph"/>
        <w:numPr>
          <w:ilvl w:val="0"/>
          <w:numId w:val="8"/>
        </w:numPr>
        <w:rPr>
          <w:rFonts w:asciiTheme="minorHAnsi" w:hAnsiTheme="minorHAnsi"/>
          <w:sz w:val="22"/>
          <w:szCs w:val="22"/>
        </w:rPr>
      </w:pPr>
      <w:r w:rsidRPr="0069028D">
        <w:rPr>
          <w:rFonts w:asciiTheme="minorHAnsi" w:hAnsiTheme="minorHAnsi"/>
          <w:sz w:val="22"/>
          <w:szCs w:val="22"/>
        </w:rPr>
        <w:t xml:space="preserve">App/device may have </w:t>
      </w:r>
      <w:r w:rsidR="00A37ADE">
        <w:rPr>
          <w:rFonts w:asciiTheme="minorHAnsi" w:hAnsiTheme="minorHAnsi"/>
          <w:sz w:val="22"/>
          <w:szCs w:val="22"/>
        </w:rPr>
        <w:t>poor</w:t>
      </w:r>
      <w:r w:rsidRPr="0069028D">
        <w:rPr>
          <w:rFonts w:asciiTheme="minorHAnsi" w:hAnsiTheme="minorHAnsi"/>
          <w:sz w:val="22"/>
          <w:szCs w:val="22"/>
        </w:rPr>
        <w:t xml:space="preserve"> privacy policies, weak security controls or policies that </w:t>
      </w:r>
      <w:r w:rsidR="00A37ADE">
        <w:rPr>
          <w:rFonts w:asciiTheme="minorHAnsi" w:hAnsiTheme="minorHAnsi"/>
          <w:sz w:val="22"/>
          <w:szCs w:val="22"/>
        </w:rPr>
        <w:t xml:space="preserve">explicitly share data liberally with third parties or allow </w:t>
      </w:r>
      <w:r w:rsidRPr="0069028D">
        <w:rPr>
          <w:rFonts w:asciiTheme="minorHAnsi" w:hAnsiTheme="minorHAnsi"/>
          <w:sz w:val="22"/>
          <w:szCs w:val="22"/>
        </w:rPr>
        <w:t>broad uses.</w:t>
      </w:r>
    </w:p>
    <w:p w:rsidR="0069028D" w:rsidRDefault="00A37ADE" w:rsidP="00601DAD">
      <w:pPr>
        <w:pStyle w:val="ListParagraph"/>
        <w:numPr>
          <w:ilvl w:val="0"/>
          <w:numId w:val="8"/>
        </w:numPr>
        <w:rPr>
          <w:rFonts w:asciiTheme="minorHAnsi" w:hAnsiTheme="minorHAnsi"/>
          <w:sz w:val="22"/>
          <w:szCs w:val="22"/>
        </w:rPr>
      </w:pPr>
      <w:r>
        <w:rPr>
          <w:rFonts w:asciiTheme="minorHAnsi" w:hAnsiTheme="minorHAnsi"/>
          <w:sz w:val="22"/>
          <w:szCs w:val="22"/>
        </w:rPr>
        <w:t>Patients are largely</w:t>
      </w:r>
      <w:r w:rsidR="0069028D">
        <w:rPr>
          <w:rFonts w:asciiTheme="minorHAnsi" w:hAnsiTheme="minorHAnsi"/>
          <w:sz w:val="22"/>
          <w:szCs w:val="22"/>
        </w:rPr>
        <w:t xml:space="preserve"> </w:t>
      </w:r>
      <w:r>
        <w:rPr>
          <w:rFonts w:asciiTheme="minorHAnsi" w:hAnsiTheme="minorHAnsi"/>
          <w:sz w:val="22"/>
          <w:szCs w:val="22"/>
        </w:rPr>
        <w:t>un</w:t>
      </w:r>
      <w:r w:rsidR="0069028D">
        <w:rPr>
          <w:rFonts w:asciiTheme="minorHAnsi" w:hAnsiTheme="minorHAnsi"/>
          <w:sz w:val="22"/>
          <w:szCs w:val="22"/>
        </w:rPr>
        <w:t xml:space="preserve">informed </w:t>
      </w:r>
      <w:r>
        <w:rPr>
          <w:rFonts w:asciiTheme="minorHAnsi" w:hAnsiTheme="minorHAnsi"/>
          <w:sz w:val="22"/>
          <w:szCs w:val="22"/>
        </w:rPr>
        <w:t xml:space="preserve">about </w:t>
      </w:r>
      <w:r w:rsidR="00B06C7B">
        <w:rPr>
          <w:rFonts w:asciiTheme="minorHAnsi" w:hAnsiTheme="minorHAnsi"/>
          <w:sz w:val="22"/>
          <w:szCs w:val="22"/>
        </w:rPr>
        <w:t xml:space="preserve">steps </w:t>
      </w:r>
      <w:r>
        <w:rPr>
          <w:rFonts w:asciiTheme="minorHAnsi" w:hAnsiTheme="minorHAnsi"/>
          <w:sz w:val="22"/>
          <w:szCs w:val="22"/>
        </w:rPr>
        <w:t xml:space="preserve">they should take </w:t>
      </w:r>
      <w:r w:rsidR="00B06C7B">
        <w:rPr>
          <w:rFonts w:asciiTheme="minorHAnsi" w:hAnsiTheme="minorHAnsi"/>
          <w:sz w:val="22"/>
          <w:szCs w:val="22"/>
        </w:rPr>
        <w:t>to protect their data.</w:t>
      </w:r>
      <w:r w:rsidR="00437E49">
        <w:rPr>
          <w:rFonts w:asciiTheme="minorHAnsi" w:hAnsiTheme="minorHAnsi"/>
          <w:sz w:val="22"/>
          <w:szCs w:val="22"/>
        </w:rPr>
        <w:br/>
      </w:r>
      <w:r w:rsidR="00B06C7B">
        <w:rPr>
          <w:rFonts w:asciiTheme="minorHAnsi" w:hAnsiTheme="minorHAnsi"/>
          <w:sz w:val="22"/>
          <w:szCs w:val="22"/>
        </w:rPr>
        <w:br/>
      </w:r>
    </w:p>
    <w:p w:rsidR="003F3894" w:rsidRDefault="00B06C7B" w:rsidP="002A3DB3">
      <w:pPr>
        <w:widowControl w:val="0"/>
        <w:autoSpaceDE w:val="0"/>
        <w:autoSpaceDN w:val="0"/>
        <w:adjustRightInd w:val="0"/>
        <w:spacing w:after="0" w:line="240" w:lineRule="auto"/>
      </w:pPr>
      <w:r>
        <w:rPr>
          <w:b/>
          <w:u w:val="single"/>
        </w:rPr>
        <w:t>Exclusion Criteria:</w:t>
      </w:r>
      <w:r w:rsidR="002D44F2">
        <w:t xml:space="preserve"> </w:t>
      </w:r>
      <w:r w:rsidR="00437E49">
        <w:br/>
      </w:r>
      <w:r w:rsidR="00ED2D67">
        <w:br/>
      </w:r>
      <w:r w:rsidR="00ED2D67" w:rsidRPr="00ED2D67">
        <w:rPr>
          <w:i/>
          <w:u w:val="single"/>
        </w:rPr>
        <w:t>Insufficient broadband</w:t>
      </w:r>
      <w:r w:rsidR="00ED2D67">
        <w:t xml:space="preserve">: </w:t>
      </w:r>
      <w:r w:rsidR="002A3DB3">
        <w:t xml:space="preserve">CMS asks about the current broadband exclusion.  This exclusion would allow providers </w:t>
      </w:r>
      <w:r w:rsidR="002A3DB3" w:rsidRPr="002A3DB3">
        <w:t xml:space="preserve">in a </w:t>
      </w:r>
      <w:r w:rsidR="002A3DB3">
        <w:t>county t</w:t>
      </w:r>
      <w:r w:rsidR="002A3DB3" w:rsidRPr="002A3DB3">
        <w:t>hat does not have 50 percent or more of its housing units with 4Mbps broadband</w:t>
      </w:r>
      <w:r w:rsidR="002A3DB3">
        <w:t xml:space="preserve"> available</w:t>
      </w:r>
      <w:r w:rsidR="002A3DB3" w:rsidRPr="002A3DB3">
        <w:t xml:space="preserve"> on the first day of the EHR reporting period to </w:t>
      </w:r>
      <w:r w:rsidR="002A3DB3">
        <w:t>skip</w:t>
      </w:r>
      <w:r w:rsidR="002A3DB3" w:rsidRPr="002A3DB3">
        <w:t xml:space="preserve"> the VDT and API measures. </w:t>
      </w:r>
      <w:r w:rsidR="002A3DB3">
        <w:t xml:space="preserve">We comment that </w:t>
      </w:r>
      <w:r w:rsidR="003E2D8F">
        <w:t>the</w:t>
      </w:r>
      <w:r w:rsidR="00ED2D67">
        <w:t xml:space="preserve"> number of mobile users is increasing</w:t>
      </w:r>
      <w:r w:rsidR="003E2D8F">
        <w:t>,</w:t>
      </w:r>
      <w:r w:rsidR="00ED2D67">
        <w:t xml:space="preserve"> and </w:t>
      </w:r>
      <w:r w:rsidR="005E5349">
        <w:t xml:space="preserve">CMS should consider the extent to which </w:t>
      </w:r>
      <w:r w:rsidR="00ED2D67">
        <w:t xml:space="preserve">consumers are using mobile apps </w:t>
      </w:r>
      <w:r w:rsidR="005E5349">
        <w:t xml:space="preserve">via </w:t>
      </w:r>
      <w:r w:rsidR="003E2D8F">
        <w:t>cellular</w:t>
      </w:r>
      <w:r w:rsidR="005E5349">
        <w:t xml:space="preserve"> data, which could be used in place of broadband </w:t>
      </w:r>
      <w:r w:rsidR="00ED2D67">
        <w:t>to</w:t>
      </w:r>
      <w:r w:rsidR="002F0FBA">
        <w:t xml:space="preserve"> access health</w:t>
      </w:r>
      <w:r w:rsidR="00ED2D67">
        <w:t xml:space="preserve"> information.  </w:t>
      </w:r>
      <w:r w:rsidR="005E5349">
        <w:t>Individuals with limited broadband at home also may want to access their health information</w:t>
      </w:r>
      <w:r w:rsidR="00ED2D67">
        <w:t xml:space="preserve"> through libraries and churches.</w:t>
      </w:r>
      <w:r w:rsidR="005E5349">
        <w:t xml:space="preserve">  A broadband ex</w:t>
      </w:r>
      <w:r w:rsidR="003E2D8F">
        <w:t xml:space="preserve">clusion would mean patients in these counties would not always be offered electronic access.  An alternative would be to allow providers in low broadband counties to offer the access and promote it to patients, but allow them to be excluded </w:t>
      </w:r>
      <w:r w:rsidR="003E2D8F">
        <w:lastRenderedPageBreak/>
        <w:t xml:space="preserve">from the requirement that a percentage of their patients actually logon and view, download or transmit their health information once in the reporting period. </w:t>
      </w:r>
      <w:r w:rsidR="00ED2D67">
        <w:br/>
      </w:r>
      <w:r w:rsidR="00ED2D67">
        <w:br/>
      </w:r>
      <w:r w:rsidR="00ED2D67" w:rsidRPr="00ED2D67">
        <w:rPr>
          <w:i/>
          <w:u w:val="single"/>
        </w:rPr>
        <w:t>EP with no office visit:</w:t>
      </w:r>
      <w:r w:rsidR="00ED2D67">
        <w:t xml:space="preserve">  </w:t>
      </w:r>
      <w:r w:rsidR="003E2D8F">
        <w:t>The workgroup also suggests that CMS consider whether the Office Vi</w:t>
      </w:r>
      <w:r w:rsidR="00DF518C">
        <w:t>sit</w:t>
      </w:r>
      <w:r w:rsidR="003E2D8F">
        <w:t xml:space="preserve"> or encounter</w:t>
      </w:r>
      <w:r w:rsidR="00DF518C">
        <w:t xml:space="preserve"> is the right denominator. </w:t>
      </w:r>
      <w:r w:rsidR="003E2D8F">
        <w:t xml:space="preserve"> There may be providers who have no office visits, but who hold important data about patients that should be available to them.  In addition, t</w:t>
      </w:r>
      <w:r w:rsidR="00DF518C">
        <w:t>here are</w:t>
      </w:r>
      <w:r w:rsidR="003E2D8F">
        <w:t xml:space="preserve"> also</w:t>
      </w:r>
      <w:r w:rsidR="00DF518C">
        <w:t xml:space="preserve"> providers (example: optometrist</w:t>
      </w:r>
      <w:r w:rsidR="003E2D8F">
        <w:t>s</w:t>
      </w:r>
      <w:r w:rsidR="00DF518C">
        <w:t xml:space="preserve">) with a </w:t>
      </w:r>
      <w:r w:rsidR="003E2D8F">
        <w:t xml:space="preserve">far more </w:t>
      </w:r>
      <w:r w:rsidR="00DF518C">
        <w:t>limited data set</w:t>
      </w:r>
      <w:r w:rsidR="003F3894">
        <w:t xml:space="preserve"> who need a mechanism, perhaps</w:t>
      </w:r>
      <w:r w:rsidR="00DF518C">
        <w:t xml:space="preserve"> through an API</w:t>
      </w:r>
      <w:r w:rsidR="003F3894">
        <w:t>,</w:t>
      </w:r>
      <w:r w:rsidR="00DF518C">
        <w:t xml:space="preserve"> to transfer data to a patient’s record. </w:t>
      </w:r>
      <w:r w:rsidR="00C80B95">
        <w:t>These providers should be able to attest that the</w:t>
      </w:r>
      <w:r w:rsidR="003F3894">
        <w:t xml:space="preserve">y have proactively provided the education and technology that allows patients to download their data, but does not require them to implement a portal, use secure messaging or provide electronic patient education materials. </w:t>
      </w:r>
    </w:p>
    <w:p w:rsidR="002D44F2" w:rsidRDefault="002D44F2" w:rsidP="002A3DB3">
      <w:pPr>
        <w:widowControl w:val="0"/>
        <w:autoSpaceDE w:val="0"/>
        <w:autoSpaceDN w:val="0"/>
        <w:adjustRightInd w:val="0"/>
        <w:spacing w:after="0" w:line="240" w:lineRule="auto"/>
      </w:pPr>
    </w:p>
    <w:p w:rsidR="002D44F2" w:rsidRDefault="009F0BA3" w:rsidP="009F0BA3">
      <w:pPr>
        <w:widowControl w:val="0"/>
        <w:autoSpaceDE w:val="0"/>
        <w:autoSpaceDN w:val="0"/>
        <w:adjustRightInd w:val="0"/>
        <w:spacing w:after="0" w:line="240" w:lineRule="auto"/>
      </w:pPr>
      <w:r>
        <w:t xml:space="preserve">To clarify: </w:t>
      </w:r>
      <w:r w:rsidR="009D0A31">
        <w:t xml:space="preserve">In Stage 2, </w:t>
      </w:r>
      <w:r w:rsidR="002D44F2">
        <w:t>A</w:t>
      </w:r>
      <w:r w:rsidR="009D0A31" w:rsidRPr="009F0BA3">
        <w:t xml:space="preserve">ny EP who </w:t>
      </w:r>
      <w:r w:rsidR="009D0A31">
        <w:t>n</w:t>
      </w:r>
      <w:r w:rsidR="002D44F2">
        <w:t xml:space="preserve">either orders nor creates any of the information listed for inclusion as part of both measures, except for "Patient name" and "Provider's name and office contact information,” may exclude </w:t>
      </w:r>
      <w:r w:rsidR="002D44F2" w:rsidRPr="009F0BA3">
        <w:t xml:space="preserve">both </w:t>
      </w:r>
      <w:r w:rsidR="002D44F2">
        <w:t>measures</w:t>
      </w:r>
      <w:r w:rsidR="009D0A31">
        <w:t xml:space="preserve"> (VDT and use)</w:t>
      </w:r>
      <w:r w:rsidR="002D44F2">
        <w:t xml:space="preserve">. </w:t>
      </w:r>
      <w:r w:rsidR="009D0A31">
        <w:t xml:space="preserve"> The measure set includes the following data:</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Patient name</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Sex</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Date of birth</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Race</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Ethnicity</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Preferred language</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Care team member(s)</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Medication Allergies</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Medications</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Care plan field(s) should include goals and instructions</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Problems</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Laboratory test(s)</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Laboratory value(s)/result(s)</w:t>
      </w:r>
    </w:p>
    <w:p w:rsidR="009D0A31" w:rsidRP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Procedures</w:t>
      </w:r>
    </w:p>
    <w:p w:rsidR="009D0A31" w:rsidRDefault="009D0A31" w:rsidP="009D0A31">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Smoking status</w:t>
      </w:r>
    </w:p>
    <w:p w:rsidR="009D0A31" w:rsidRDefault="009D0A31" w:rsidP="002A3DB3">
      <w:pPr>
        <w:widowControl w:val="0"/>
        <w:numPr>
          <w:ilvl w:val="0"/>
          <w:numId w:val="20"/>
        </w:numPr>
        <w:tabs>
          <w:tab w:val="left" w:pos="220"/>
          <w:tab w:val="left" w:pos="720"/>
        </w:tabs>
        <w:autoSpaceDE w:val="0"/>
        <w:autoSpaceDN w:val="0"/>
        <w:adjustRightInd w:val="0"/>
        <w:spacing w:after="0" w:line="240" w:lineRule="auto"/>
        <w:ind w:hanging="720"/>
        <w:rPr>
          <w:rFonts w:cs="Arial"/>
        </w:rPr>
      </w:pPr>
      <w:r w:rsidRPr="009D0A31">
        <w:rPr>
          <w:rFonts w:cs="Arial"/>
        </w:rPr>
        <w:t>Vital signs</w:t>
      </w:r>
    </w:p>
    <w:p w:rsidR="009D0A31" w:rsidRDefault="009D0A31" w:rsidP="009D0A31">
      <w:pPr>
        <w:widowControl w:val="0"/>
        <w:tabs>
          <w:tab w:val="left" w:pos="220"/>
          <w:tab w:val="left" w:pos="720"/>
        </w:tabs>
        <w:autoSpaceDE w:val="0"/>
        <w:autoSpaceDN w:val="0"/>
        <w:adjustRightInd w:val="0"/>
        <w:spacing w:after="0" w:line="240" w:lineRule="auto"/>
        <w:ind w:left="720"/>
        <w:rPr>
          <w:rFonts w:cs="Arial"/>
        </w:rPr>
      </w:pPr>
    </w:p>
    <w:p w:rsidR="009D0A31" w:rsidRDefault="009D0A31" w:rsidP="009D0A31">
      <w:pPr>
        <w:widowControl w:val="0"/>
        <w:tabs>
          <w:tab w:val="left" w:pos="220"/>
          <w:tab w:val="left" w:pos="720"/>
        </w:tabs>
        <w:autoSpaceDE w:val="0"/>
        <w:autoSpaceDN w:val="0"/>
        <w:adjustRightInd w:val="0"/>
        <w:spacing w:after="0" w:line="240" w:lineRule="auto"/>
        <w:rPr>
          <w:rFonts w:cs="Arial"/>
        </w:rPr>
      </w:pPr>
      <w:r>
        <w:rPr>
          <w:rFonts w:cs="Arial"/>
        </w:rPr>
        <w:t xml:space="preserve">CMS should consider whether providers who neither order nor create any of the above data below Care Team Members could be excluded from the workgroup’s proposal to require both API and VDT through a mechanism such as a portal, but still be required to make relevant data available through an API, without a patient use/download requirement. </w:t>
      </w:r>
    </w:p>
    <w:p w:rsidR="00D014A8" w:rsidRPr="009D0A31" w:rsidRDefault="00ED2D67" w:rsidP="009D0A31">
      <w:pPr>
        <w:widowControl w:val="0"/>
        <w:tabs>
          <w:tab w:val="left" w:pos="220"/>
          <w:tab w:val="left" w:pos="720"/>
        </w:tabs>
        <w:autoSpaceDE w:val="0"/>
        <w:autoSpaceDN w:val="0"/>
        <w:adjustRightInd w:val="0"/>
        <w:spacing w:after="0" w:line="240" w:lineRule="auto"/>
        <w:rPr>
          <w:rFonts w:cs="Arial"/>
        </w:rPr>
      </w:pPr>
      <w:r>
        <w:br/>
      </w:r>
      <w:r w:rsidR="00DF518C" w:rsidRPr="009D0A31">
        <w:rPr>
          <w:b/>
          <w:u w:val="single"/>
        </w:rPr>
        <w:t>Objective 6: Care Coordination through Patient Engagement</w:t>
      </w:r>
      <w:r w:rsidR="00DF518C" w:rsidRPr="009D0A31">
        <w:rPr>
          <w:b/>
          <w:u w:val="single"/>
        </w:rPr>
        <w:br/>
      </w:r>
      <w:r w:rsidR="00F938E1" w:rsidRPr="009D0A31">
        <w:rPr>
          <w:b/>
          <w:bCs/>
          <w:i/>
        </w:rPr>
        <w:t xml:space="preserve">Proposed </w:t>
      </w:r>
      <w:r w:rsidR="00DF518C" w:rsidRPr="009D0A31">
        <w:rPr>
          <w:b/>
          <w:bCs/>
          <w:i/>
        </w:rPr>
        <w:t>Objective:</w:t>
      </w:r>
      <w:r w:rsidR="00DF518C" w:rsidRPr="009D0A31">
        <w:rPr>
          <w:bCs/>
          <w:i/>
        </w:rPr>
        <w:t xml:space="preserve"> Use communication functions of certified EHR technology to engage patients or their authorized representatives about patient care. </w:t>
      </w:r>
      <w:r w:rsidR="00AD0872" w:rsidRPr="009D0A31">
        <w:rPr>
          <w:bCs/>
          <w:i/>
        </w:rPr>
        <w:t xml:space="preserve"> </w:t>
      </w:r>
      <w:r w:rsidR="00DF518C" w:rsidRPr="009D0A31">
        <w:rPr>
          <w:bCs/>
          <w:i/>
          <w:u w:val="single"/>
        </w:rPr>
        <w:t>Must meet 2 of 3 measures</w:t>
      </w:r>
    </w:p>
    <w:p w:rsidR="00F938E1" w:rsidRDefault="00F938E1" w:rsidP="00601DAD">
      <w:pPr>
        <w:spacing w:after="0" w:line="240" w:lineRule="auto"/>
      </w:pPr>
      <w:r>
        <w:rPr>
          <w:b/>
        </w:rPr>
        <w:t xml:space="preserve">Proposed </w:t>
      </w:r>
      <w:r w:rsidR="00D014A8" w:rsidRPr="00AD0872">
        <w:rPr>
          <w:b/>
        </w:rPr>
        <w:t xml:space="preserve">Measure 1: </w:t>
      </w:r>
      <w:r w:rsidR="00D014A8" w:rsidRPr="00AD0872">
        <w:rPr>
          <w:i/>
        </w:rPr>
        <w:t xml:space="preserve">&gt; 25% of unique patients, view, download or transmit health information </w:t>
      </w:r>
      <w:r w:rsidR="00D014A8" w:rsidRPr="00AD0872">
        <w:rPr>
          <w:i/>
          <w:u w:val="single"/>
        </w:rPr>
        <w:t>or</w:t>
      </w:r>
      <w:r w:rsidR="00D014A8" w:rsidRPr="00AD0872">
        <w:rPr>
          <w:i/>
        </w:rPr>
        <w:t xml:space="preserve"> use ONC-approved API to access information.</w:t>
      </w:r>
      <w:r w:rsidR="00D014A8">
        <w:rPr>
          <w:i/>
        </w:rPr>
        <w:br/>
      </w:r>
      <w:r>
        <w:rPr>
          <w:b/>
        </w:rPr>
        <w:t xml:space="preserve">Proposed </w:t>
      </w:r>
      <w:r w:rsidR="00D014A8" w:rsidRPr="00F0161F">
        <w:rPr>
          <w:b/>
        </w:rPr>
        <w:t>Measure 2:</w:t>
      </w:r>
      <w:r w:rsidR="00D014A8">
        <w:rPr>
          <w:b/>
        </w:rPr>
        <w:t xml:space="preserve"> </w:t>
      </w:r>
      <w:r w:rsidR="00D014A8" w:rsidRPr="00F0161F">
        <w:rPr>
          <w:i/>
        </w:rPr>
        <w:t>For 35%  of unique patients, a secure message is sent to patient or in response to secure message sent by patient.</w:t>
      </w:r>
      <w:r w:rsidR="00D014A8">
        <w:rPr>
          <w:i/>
        </w:rPr>
        <w:br/>
      </w:r>
      <w:r>
        <w:rPr>
          <w:b/>
        </w:rPr>
        <w:t xml:space="preserve">Proposed </w:t>
      </w:r>
      <w:r w:rsidR="00D014A8" w:rsidRPr="00D014A8">
        <w:rPr>
          <w:b/>
          <w:bCs/>
        </w:rPr>
        <w:t>Measure 3</w:t>
      </w:r>
      <w:r w:rsidR="00D014A8">
        <w:rPr>
          <w:bCs/>
        </w:rPr>
        <w:t xml:space="preserve">: </w:t>
      </w:r>
      <w:r w:rsidR="00D014A8" w:rsidRPr="00D014A8">
        <w:rPr>
          <w:bCs/>
          <w:i/>
        </w:rPr>
        <w:t>For 15% of unique patients, either patient-generated health data or data from a non-clinical setting is incorporated in the EHR.</w:t>
      </w:r>
      <w:r w:rsidR="00D014A8">
        <w:br/>
      </w:r>
      <w:r w:rsidR="00AD0872">
        <w:rPr>
          <w:b/>
          <w:u w:val="single"/>
        </w:rPr>
        <w:br/>
        <w:t xml:space="preserve">Comments: </w:t>
      </w:r>
      <w:r w:rsidR="00AD0872">
        <w:br/>
      </w:r>
      <w:r>
        <w:lastRenderedPageBreak/>
        <w:t>The workgroup strongly</w:t>
      </w:r>
      <w:r w:rsidR="006030B4">
        <w:t xml:space="preserve"> support</w:t>
      </w:r>
      <w:r>
        <w:t>s</w:t>
      </w:r>
      <w:r w:rsidR="006030B4">
        <w:t xml:space="preserve"> patient engagement </w:t>
      </w:r>
      <w:r>
        <w:t>and</w:t>
      </w:r>
      <w:r w:rsidR="006030B4">
        <w:t xml:space="preserve"> car</w:t>
      </w:r>
      <w:r>
        <w:t>e coordination, as two distinct concepts</w:t>
      </w:r>
      <w:r w:rsidR="006030B4">
        <w:t xml:space="preserve">. </w:t>
      </w:r>
      <w:r>
        <w:t>Both are</w:t>
      </w:r>
      <w:r w:rsidR="00C80B95">
        <w:t xml:space="preserve"> key component</w:t>
      </w:r>
      <w:r>
        <w:t>s</w:t>
      </w:r>
      <w:r w:rsidR="00C80B95">
        <w:t xml:space="preserve"> of new models of care,</w:t>
      </w:r>
      <w:r>
        <w:t xml:space="preserve"> and essential to success in delivery system reform</w:t>
      </w:r>
      <w:r w:rsidR="00C80B95">
        <w:t xml:space="preserve">. </w:t>
      </w:r>
      <w:r w:rsidR="00AD0872">
        <w:t xml:space="preserve"> </w:t>
      </w:r>
      <w:r>
        <w:t xml:space="preserve">However, the rule combines the concepts and does so in a way that would allow providers to </w:t>
      </w:r>
      <w:r w:rsidRPr="007A7084">
        <w:rPr>
          <w:b/>
        </w:rPr>
        <w:t xml:space="preserve">skip patient engagement altogether. </w:t>
      </w:r>
      <w:r>
        <w:t xml:space="preserve"> By enabling providers to select two of three measures, they could select a) sending a secure message, and b) getting data from a “non-clinical” (e.g., non-MU eligible) provider.  These are both essential to care coordination, but they have </w:t>
      </w:r>
      <w:r w:rsidR="007A7084">
        <w:t xml:space="preserve">meaningful </w:t>
      </w:r>
      <w:r>
        <w:t xml:space="preserve">no role for the patient. </w:t>
      </w:r>
    </w:p>
    <w:p w:rsidR="00F938E1" w:rsidRDefault="00F938E1" w:rsidP="00601DAD">
      <w:pPr>
        <w:spacing w:after="0" w:line="240" w:lineRule="auto"/>
      </w:pPr>
    </w:p>
    <w:p w:rsidR="00C94776" w:rsidRPr="009902F5" w:rsidRDefault="00F938E1" w:rsidP="009902F5">
      <w:pPr>
        <w:spacing w:after="0" w:line="240" w:lineRule="auto"/>
      </w:pPr>
      <w:r>
        <w:t xml:space="preserve">Instead, we suggest that these concepts be separated. Below we provide options for doing so.  Our preferred option is </w:t>
      </w:r>
      <w:r w:rsidRPr="00F938E1">
        <w:rPr>
          <w:i/>
        </w:rPr>
        <w:t>OPTION X (To Be Selected by WG in Next Call)…..</w:t>
      </w:r>
      <w:r w:rsidR="00F0161F">
        <w:br/>
      </w:r>
    </w:p>
    <w:p w:rsidR="00284A51" w:rsidRPr="00DA6B4E" w:rsidRDefault="00F938E1" w:rsidP="00C94776">
      <w:pPr>
        <w:spacing w:after="0" w:line="240" w:lineRule="auto"/>
      </w:pPr>
      <w:r w:rsidRPr="00822D68">
        <w:rPr>
          <w:u w:val="single"/>
        </w:rPr>
        <w:t>Option A:</w:t>
      </w:r>
      <w:r w:rsidRPr="00DA6B4E">
        <w:t xml:space="preserve"> </w:t>
      </w:r>
      <w:r w:rsidR="009477D3" w:rsidRPr="00DA6B4E">
        <w:t xml:space="preserve">All three measures </w:t>
      </w:r>
      <w:r w:rsidR="00822D68">
        <w:t xml:space="preserve">should be </w:t>
      </w:r>
      <w:r w:rsidR="009477D3" w:rsidRPr="00DA6B4E">
        <w:t>required.</w:t>
      </w:r>
      <w:r w:rsidR="00284A51" w:rsidRPr="00DA6B4E">
        <w:t xml:space="preserve"> Allowing people to attest to all three but not meet the threshold </w:t>
      </w:r>
      <w:r w:rsidR="00822D68">
        <w:t xml:space="preserve"> of performance </w:t>
      </w:r>
      <w:r w:rsidR="00284A51" w:rsidRPr="00DA6B4E">
        <w:t>means that one</w:t>
      </w:r>
      <w:r w:rsidR="00DA6B4E">
        <w:t xml:space="preserve"> measure</w:t>
      </w:r>
      <w:r w:rsidR="00284A51" w:rsidRPr="00DA6B4E">
        <w:t xml:space="preserve"> is essentially optional.</w:t>
      </w:r>
      <w:r w:rsidR="009477D3" w:rsidRPr="00DA6B4E">
        <w:t xml:space="preserve"> </w:t>
      </w:r>
      <w:r w:rsidR="00822D68">
        <w:t xml:space="preserve"> </w:t>
      </w:r>
      <w:r w:rsidR="00DA6B4E">
        <w:t>All three measures must be required if this is to count as “patient and family engagement” instead of just “care coordination</w:t>
      </w:r>
      <w:r w:rsidR="00822D68">
        <w:t>:</w:t>
      </w:r>
      <w:r w:rsidR="00DA6B4E">
        <w:t>”</w:t>
      </w:r>
      <w:r w:rsidR="009477D3" w:rsidRPr="00DA6B4E">
        <w:t xml:space="preserve"> </w:t>
      </w:r>
    </w:p>
    <w:p w:rsidR="00284A51" w:rsidRPr="00DA6B4E" w:rsidRDefault="00DA6B4E" w:rsidP="00284A51">
      <w:pPr>
        <w:pStyle w:val="ListParagraph"/>
        <w:numPr>
          <w:ilvl w:val="0"/>
          <w:numId w:val="17"/>
        </w:numPr>
        <w:rPr>
          <w:rFonts w:asciiTheme="minorHAnsi" w:hAnsiTheme="minorHAnsi"/>
          <w:sz w:val="22"/>
          <w:szCs w:val="22"/>
        </w:rPr>
      </w:pPr>
      <w:r>
        <w:rPr>
          <w:rFonts w:asciiTheme="minorHAnsi" w:hAnsiTheme="minorHAnsi"/>
          <w:sz w:val="22"/>
          <w:szCs w:val="22"/>
        </w:rPr>
        <w:t xml:space="preserve">As proposed, </w:t>
      </w:r>
      <w:r w:rsidR="00284A51" w:rsidRPr="00DA6B4E">
        <w:rPr>
          <w:rFonts w:asciiTheme="minorHAnsi" w:hAnsiTheme="minorHAnsi"/>
          <w:sz w:val="22"/>
          <w:szCs w:val="22"/>
        </w:rPr>
        <w:t xml:space="preserve">25% </w:t>
      </w:r>
      <w:r>
        <w:rPr>
          <w:rFonts w:asciiTheme="minorHAnsi" w:hAnsiTheme="minorHAnsi"/>
          <w:sz w:val="22"/>
          <w:szCs w:val="22"/>
        </w:rPr>
        <w:t xml:space="preserve">of patients view, download or transmit their health info through portal </w:t>
      </w:r>
      <w:r w:rsidR="00284A51" w:rsidRPr="00DA6B4E">
        <w:rPr>
          <w:rFonts w:asciiTheme="minorHAnsi" w:hAnsiTheme="minorHAnsi"/>
          <w:sz w:val="22"/>
          <w:szCs w:val="22"/>
        </w:rPr>
        <w:t>or API</w:t>
      </w:r>
    </w:p>
    <w:p w:rsidR="00DA6B4E" w:rsidRPr="00DA6B4E" w:rsidRDefault="00DA6B4E" w:rsidP="00DA6B4E">
      <w:pPr>
        <w:pStyle w:val="ListParagraph"/>
        <w:numPr>
          <w:ilvl w:val="0"/>
          <w:numId w:val="17"/>
        </w:numPr>
        <w:rPr>
          <w:rFonts w:asciiTheme="minorHAnsi" w:hAnsiTheme="minorHAnsi"/>
          <w:sz w:val="22"/>
          <w:szCs w:val="22"/>
        </w:rPr>
      </w:pPr>
      <w:r>
        <w:rPr>
          <w:rFonts w:asciiTheme="minorHAnsi" w:hAnsiTheme="minorHAnsi"/>
          <w:sz w:val="22"/>
          <w:szCs w:val="22"/>
        </w:rPr>
        <w:t>As proposed, a</w:t>
      </w:r>
      <w:r w:rsidRPr="00DA6B4E">
        <w:rPr>
          <w:rFonts w:asciiTheme="minorHAnsi" w:hAnsiTheme="minorHAnsi"/>
          <w:sz w:val="22"/>
          <w:szCs w:val="22"/>
        </w:rPr>
        <w:t xml:space="preserve"> secure message was sent to more than 35% of all unique patients</w:t>
      </w:r>
      <w:r>
        <w:rPr>
          <w:rFonts w:asciiTheme="minorHAnsi" w:hAnsiTheme="minorHAnsi"/>
          <w:sz w:val="22"/>
          <w:szCs w:val="22"/>
        </w:rPr>
        <w:t xml:space="preserve"> </w:t>
      </w:r>
      <w:r w:rsidRPr="00DA6B4E">
        <w:rPr>
          <w:rFonts w:asciiTheme="minorHAnsi" w:hAnsiTheme="minorHAnsi"/>
          <w:sz w:val="22"/>
          <w:szCs w:val="22"/>
        </w:rPr>
        <w:t>(or the patient</w:t>
      </w:r>
      <w:r>
        <w:rPr>
          <w:rFonts w:asciiTheme="minorHAnsi" w:hAnsiTheme="minorHAnsi"/>
          <w:sz w:val="22"/>
          <w:szCs w:val="22"/>
        </w:rPr>
        <w:t>'s authorized representatives)</w:t>
      </w:r>
      <w:r w:rsidRPr="00DA6B4E">
        <w:rPr>
          <w:rFonts w:asciiTheme="minorHAnsi" w:hAnsiTheme="minorHAnsi"/>
          <w:sz w:val="22"/>
          <w:szCs w:val="22"/>
        </w:rPr>
        <w:t xml:space="preserve"> using the electronic messaging function of CEHRT or in response to a secure message sent by the patient (or the</w:t>
      </w:r>
      <w:r>
        <w:rPr>
          <w:rFonts w:asciiTheme="minorHAnsi" w:hAnsiTheme="minorHAnsi"/>
          <w:sz w:val="22"/>
          <w:szCs w:val="22"/>
        </w:rPr>
        <w:t xml:space="preserve"> </w:t>
      </w:r>
      <w:r w:rsidRPr="00DA6B4E">
        <w:rPr>
          <w:rFonts w:asciiTheme="minorHAnsi" w:hAnsiTheme="minorHAnsi"/>
          <w:sz w:val="22"/>
          <w:szCs w:val="22"/>
        </w:rPr>
        <w:t>patient's authorized representative).</w:t>
      </w:r>
    </w:p>
    <w:p w:rsidR="00135F28" w:rsidRPr="00135F28" w:rsidRDefault="00DA6B4E" w:rsidP="00135F28">
      <w:pPr>
        <w:pStyle w:val="ListParagraph"/>
        <w:numPr>
          <w:ilvl w:val="0"/>
          <w:numId w:val="17"/>
        </w:numPr>
        <w:rPr>
          <w:rFonts w:asciiTheme="minorHAnsi" w:hAnsiTheme="minorHAnsi"/>
          <w:sz w:val="22"/>
          <w:szCs w:val="22"/>
        </w:rPr>
      </w:pPr>
      <w:r>
        <w:rPr>
          <w:rFonts w:asciiTheme="minorHAnsi" w:hAnsiTheme="minorHAnsi"/>
          <w:sz w:val="22"/>
          <w:szCs w:val="22"/>
        </w:rPr>
        <w:t xml:space="preserve">As </w:t>
      </w:r>
      <w:r w:rsidRPr="008B2FE5">
        <w:rPr>
          <w:rFonts w:asciiTheme="minorHAnsi" w:hAnsiTheme="minorHAnsi"/>
          <w:sz w:val="22"/>
          <w:szCs w:val="22"/>
        </w:rPr>
        <w:t xml:space="preserve">proposed, </w:t>
      </w:r>
      <w:r w:rsidR="008B2FE5">
        <w:rPr>
          <w:rFonts w:ascii="Calibri" w:hAnsi="Calibri"/>
          <w:sz w:val="22"/>
          <w:szCs w:val="22"/>
        </w:rPr>
        <w:t>p</w:t>
      </w:r>
      <w:r w:rsidRPr="008B2FE5">
        <w:rPr>
          <w:rFonts w:ascii="Calibri" w:hAnsi="Calibri"/>
          <w:sz w:val="22"/>
          <w:szCs w:val="22"/>
        </w:rPr>
        <w:t xml:space="preserve">atient-generated health data </w:t>
      </w:r>
      <w:r w:rsidRPr="008B2FE5">
        <w:rPr>
          <w:rFonts w:ascii="Calibri" w:hAnsi="Calibri"/>
          <w:sz w:val="22"/>
          <w:szCs w:val="22"/>
          <w:u w:val="single"/>
        </w:rPr>
        <w:t>or</w:t>
      </w:r>
      <w:r w:rsidRPr="008B2FE5">
        <w:rPr>
          <w:rFonts w:ascii="Calibri" w:hAnsi="Calibri"/>
          <w:sz w:val="22"/>
          <w:szCs w:val="22"/>
        </w:rPr>
        <w:t xml:space="preserve"> data from a non-clinical setting is incorporated into the certified EHR technology for more than 15 percent of all unique patients</w:t>
      </w:r>
      <w:r w:rsidR="00135F28">
        <w:rPr>
          <w:rFonts w:ascii="Calibri" w:hAnsi="Calibri"/>
          <w:sz w:val="22"/>
          <w:szCs w:val="22"/>
        </w:rPr>
        <w:t xml:space="preserve"> for both EPs and EHs. </w:t>
      </w:r>
    </w:p>
    <w:p w:rsidR="008B2FE5" w:rsidRPr="00135F28" w:rsidRDefault="008B2FE5" w:rsidP="00135F28">
      <w:pPr>
        <w:pStyle w:val="ListParagraph"/>
        <w:numPr>
          <w:ilvl w:val="1"/>
          <w:numId w:val="17"/>
        </w:numPr>
        <w:rPr>
          <w:rFonts w:ascii="Calibri" w:hAnsi="Calibri"/>
          <w:sz w:val="22"/>
          <w:szCs w:val="22"/>
        </w:rPr>
      </w:pPr>
      <w:r w:rsidRPr="00135F28">
        <w:rPr>
          <w:rFonts w:ascii="Calibri" w:hAnsi="Calibri"/>
          <w:sz w:val="22"/>
          <w:szCs w:val="22"/>
        </w:rPr>
        <w:t>We note that</w:t>
      </w:r>
      <w:r w:rsidR="00971B46">
        <w:rPr>
          <w:rFonts w:ascii="Calibri" w:hAnsi="Calibri"/>
          <w:sz w:val="22"/>
          <w:szCs w:val="22"/>
        </w:rPr>
        <w:t>, as an overall comment,</w:t>
      </w:r>
      <w:r w:rsidRPr="00135F28">
        <w:rPr>
          <w:rFonts w:ascii="Calibri" w:hAnsi="Calibri"/>
          <w:sz w:val="22"/>
          <w:szCs w:val="22"/>
        </w:rPr>
        <w:t xml:space="preserve"> PGHD should be “provider-requested.”</w:t>
      </w:r>
      <w:r w:rsidR="00135F28" w:rsidRPr="00135F28">
        <w:rPr>
          <w:rFonts w:ascii="Calibri" w:hAnsi="Calibri"/>
          <w:sz w:val="22"/>
          <w:szCs w:val="22"/>
        </w:rPr>
        <w:t xml:space="preserve"> </w:t>
      </w:r>
      <w:r w:rsidR="00971B46">
        <w:rPr>
          <w:rFonts w:ascii="Calibri" w:hAnsi="Calibri"/>
          <w:sz w:val="22"/>
          <w:szCs w:val="22"/>
        </w:rPr>
        <w:t>I</w:t>
      </w:r>
      <w:r w:rsidR="00971B46" w:rsidRPr="00135F28">
        <w:rPr>
          <w:rFonts w:ascii="Calibri" w:hAnsi="Calibri"/>
          <w:sz w:val="22"/>
          <w:szCs w:val="22"/>
        </w:rPr>
        <w:t xml:space="preserve">f PGHD is provider-requested, </w:t>
      </w:r>
      <w:r w:rsidR="00971B46">
        <w:rPr>
          <w:rFonts w:ascii="Calibri" w:hAnsi="Calibri"/>
          <w:sz w:val="22"/>
          <w:szCs w:val="22"/>
        </w:rPr>
        <w:t>providers</w:t>
      </w:r>
      <w:r w:rsidR="00971B46" w:rsidRPr="00135F28">
        <w:rPr>
          <w:rFonts w:ascii="Calibri" w:hAnsi="Calibri"/>
          <w:sz w:val="22"/>
          <w:szCs w:val="22"/>
        </w:rPr>
        <w:t xml:space="preserve"> will build the appropriate workflows as a natural byproduct of succeeding on this measure. </w:t>
      </w:r>
      <w:r w:rsidR="00971B46">
        <w:rPr>
          <w:rFonts w:ascii="Calibri" w:hAnsi="Calibri"/>
          <w:sz w:val="22"/>
          <w:szCs w:val="22"/>
        </w:rPr>
        <w:t xml:space="preserve">This </w:t>
      </w:r>
      <w:r w:rsidR="00135F28">
        <w:rPr>
          <w:rFonts w:ascii="Calibri" w:hAnsi="Calibri"/>
          <w:sz w:val="22"/>
          <w:szCs w:val="22"/>
        </w:rPr>
        <w:t>eliminates concerns and questions about automating or validating data</w:t>
      </w:r>
      <w:r w:rsidR="00135F28" w:rsidRPr="00135F28">
        <w:rPr>
          <w:rFonts w:ascii="Calibri" w:hAnsi="Calibri"/>
          <w:sz w:val="22"/>
          <w:szCs w:val="22"/>
        </w:rPr>
        <w:t>.</w:t>
      </w:r>
      <w:r w:rsidR="00135F28">
        <w:rPr>
          <w:rFonts w:ascii="Calibri" w:hAnsi="Calibri"/>
          <w:sz w:val="22"/>
          <w:szCs w:val="22"/>
        </w:rPr>
        <w:t xml:space="preserve"> If the provider requests it, they will plan the </w:t>
      </w:r>
      <w:r w:rsidR="00971B46">
        <w:rPr>
          <w:rFonts w:ascii="Calibri" w:hAnsi="Calibri"/>
          <w:sz w:val="22"/>
          <w:szCs w:val="22"/>
        </w:rPr>
        <w:t>appropriate</w:t>
      </w:r>
      <w:r w:rsidR="00135F28">
        <w:rPr>
          <w:rFonts w:ascii="Calibri" w:hAnsi="Calibri"/>
          <w:sz w:val="22"/>
          <w:szCs w:val="22"/>
        </w:rPr>
        <w:t xml:space="preserve"> workflows and decide what kinds of data could be</w:t>
      </w:r>
      <w:r w:rsidR="00135F28" w:rsidRPr="00135F28">
        <w:rPr>
          <w:rFonts w:ascii="Calibri" w:hAnsi="Calibri"/>
          <w:sz w:val="22"/>
          <w:szCs w:val="22"/>
        </w:rPr>
        <w:t xml:space="preserve"> automatically incorporated into the EHR</w:t>
      </w:r>
      <w:r w:rsidR="00135F28">
        <w:rPr>
          <w:rFonts w:ascii="Calibri" w:hAnsi="Calibri"/>
          <w:sz w:val="22"/>
          <w:szCs w:val="22"/>
        </w:rPr>
        <w:t xml:space="preserve">, which data will need review prior to incorporation, how to handle alerts for </w:t>
      </w:r>
      <w:r w:rsidR="00135F28" w:rsidRPr="00135F28">
        <w:rPr>
          <w:rFonts w:ascii="Calibri" w:hAnsi="Calibri"/>
          <w:sz w:val="22"/>
          <w:szCs w:val="22"/>
        </w:rPr>
        <w:t xml:space="preserve">values </w:t>
      </w:r>
      <w:r w:rsidR="00135F28">
        <w:rPr>
          <w:rFonts w:ascii="Calibri" w:hAnsi="Calibri"/>
          <w:sz w:val="22"/>
          <w:szCs w:val="22"/>
        </w:rPr>
        <w:t xml:space="preserve">that </w:t>
      </w:r>
      <w:r w:rsidR="00135F28" w:rsidRPr="00135F28">
        <w:rPr>
          <w:rFonts w:ascii="Calibri" w:hAnsi="Calibri"/>
          <w:sz w:val="22"/>
          <w:szCs w:val="22"/>
        </w:rPr>
        <w:t>are out of range</w:t>
      </w:r>
      <w:r w:rsidR="00135F28">
        <w:rPr>
          <w:rFonts w:ascii="Calibri" w:hAnsi="Calibri"/>
          <w:sz w:val="22"/>
          <w:szCs w:val="22"/>
        </w:rPr>
        <w:t>, etc</w:t>
      </w:r>
      <w:r w:rsidR="00135F28" w:rsidRPr="00135F28">
        <w:rPr>
          <w:rFonts w:ascii="Calibri" w:hAnsi="Calibri"/>
          <w:sz w:val="22"/>
          <w:szCs w:val="22"/>
        </w:rPr>
        <w:t xml:space="preserve">. </w:t>
      </w:r>
    </w:p>
    <w:p w:rsidR="008B2FE5" w:rsidRPr="009902F5" w:rsidRDefault="00135F28" w:rsidP="008B2FE5">
      <w:pPr>
        <w:pStyle w:val="ListParagraph"/>
        <w:numPr>
          <w:ilvl w:val="1"/>
          <w:numId w:val="17"/>
        </w:numPr>
        <w:rPr>
          <w:rFonts w:asciiTheme="minorHAnsi" w:hAnsiTheme="minorHAnsi"/>
          <w:sz w:val="22"/>
          <w:szCs w:val="22"/>
        </w:rPr>
      </w:pPr>
      <w:r>
        <w:rPr>
          <w:rFonts w:ascii="Calibri" w:hAnsi="Calibri"/>
          <w:sz w:val="22"/>
          <w:szCs w:val="22"/>
        </w:rPr>
        <w:t xml:space="preserve">We also note that some providers can use secure messaging to solicit PGHD. </w:t>
      </w:r>
    </w:p>
    <w:p w:rsidR="009902F5" w:rsidRPr="009902F5" w:rsidRDefault="009902F5" w:rsidP="009902F5">
      <w:pPr>
        <w:pStyle w:val="ListParagraph"/>
        <w:ind w:left="1440"/>
        <w:rPr>
          <w:rFonts w:asciiTheme="minorHAnsi" w:hAnsiTheme="minorHAnsi"/>
          <w:sz w:val="22"/>
          <w:szCs w:val="22"/>
        </w:rPr>
      </w:pPr>
    </w:p>
    <w:p w:rsidR="008B2FE5" w:rsidRPr="00DA6B4E" w:rsidRDefault="008B2FE5" w:rsidP="008B2FE5">
      <w:pPr>
        <w:spacing w:after="0" w:line="240" w:lineRule="auto"/>
      </w:pPr>
      <w:r w:rsidRPr="00DA6B4E">
        <w:t xml:space="preserve">Option </w:t>
      </w:r>
      <w:r>
        <w:t>B</w:t>
      </w:r>
      <w:r w:rsidRPr="00DA6B4E">
        <w:t>: All three measures are</w:t>
      </w:r>
      <w:r>
        <w:t xml:space="preserve"> be required, </w:t>
      </w:r>
      <w:r w:rsidR="009902F5">
        <w:t>but</w:t>
      </w:r>
      <w:r>
        <w:t xml:space="preserve"> the PGHD measure is revised:</w:t>
      </w:r>
    </w:p>
    <w:p w:rsidR="008B2FE5" w:rsidRPr="00DA6B4E" w:rsidRDefault="008B2FE5" w:rsidP="008B2FE5">
      <w:pPr>
        <w:pStyle w:val="ListParagraph"/>
        <w:numPr>
          <w:ilvl w:val="0"/>
          <w:numId w:val="17"/>
        </w:numPr>
        <w:rPr>
          <w:rFonts w:asciiTheme="minorHAnsi" w:hAnsiTheme="minorHAnsi"/>
          <w:sz w:val="22"/>
          <w:szCs w:val="22"/>
        </w:rPr>
      </w:pPr>
      <w:r>
        <w:rPr>
          <w:rFonts w:asciiTheme="minorHAnsi" w:hAnsiTheme="minorHAnsi"/>
          <w:sz w:val="22"/>
          <w:szCs w:val="22"/>
        </w:rPr>
        <w:t xml:space="preserve">As proposed, </w:t>
      </w:r>
      <w:r w:rsidRPr="00DA6B4E">
        <w:rPr>
          <w:rFonts w:asciiTheme="minorHAnsi" w:hAnsiTheme="minorHAnsi"/>
          <w:sz w:val="22"/>
          <w:szCs w:val="22"/>
        </w:rPr>
        <w:t xml:space="preserve">25% </w:t>
      </w:r>
      <w:r>
        <w:rPr>
          <w:rFonts w:asciiTheme="minorHAnsi" w:hAnsiTheme="minorHAnsi"/>
          <w:sz w:val="22"/>
          <w:szCs w:val="22"/>
        </w:rPr>
        <w:t xml:space="preserve">of patients view, download or transmit their health info through portal </w:t>
      </w:r>
      <w:r w:rsidRPr="00DA6B4E">
        <w:rPr>
          <w:rFonts w:asciiTheme="minorHAnsi" w:hAnsiTheme="minorHAnsi"/>
          <w:sz w:val="22"/>
          <w:szCs w:val="22"/>
        </w:rPr>
        <w:t>or API</w:t>
      </w:r>
    </w:p>
    <w:p w:rsidR="008B2FE5" w:rsidRPr="00DA6B4E" w:rsidRDefault="008B2FE5" w:rsidP="008B2FE5">
      <w:pPr>
        <w:pStyle w:val="ListParagraph"/>
        <w:numPr>
          <w:ilvl w:val="0"/>
          <w:numId w:val="17"/>
        </w:numPr>
        <w:rPr>
          <w:rFonts w:asciiTheme="minorHAnsi" w:hAnsiTheme="minorHAnsi"/>
          <w:sz w:val="22"/>
          <w:szCs w:val="22"/>
        </w:rPr>
      </w:pPr>
      <w:r>
        <w:rPr>
          <w:rFonts w:asciiTheme="minorHAnsi" w:hAnsiTheme="minorHAnsi"/>
          <w:sz w:val="22"/>
          <w:szCs w:val="22"/>
        </w:rPr>
        <w:t>As proposed, a</w:t>
      </w:r>
      <w:r w:rsidRPr="00DA6B4E">
        <w:rPr>
          <w:rFonts w:asciiTheme="minorHAnsi" w:hAnsiTheme="minorHAnsi"/>
          <w:sz w:val="22"/>
          <w:szCs w:val="22"/>
        </w:rPr>
        <w:t xml:space="preserve"> secure message was sent to more than 35% of all unique patients</w:t>
      </w:r>
      <w:r>
        <w:rPr>
          <w:rFonts w:asciiTheme="minorHAnsi" w:hAnsiTheme="minorHAnsi"/>
          <w:sz w:val="22"/>
          <w:szCs w:val="22"/>
        </w:rPr>
        <w:t xml:space="preserve"> </w:t>
      </w:r>
      <w:r w:rsidRPr="00DA6B4E">
        <w:rPr>
          <w:rFonts w:asciiTheme="minorHAnsi" w:hAnsiTheme="minorHAnsi"/>
          <w:sz w:val="22"/>
          <w:szCs w:val="22"/>
        </w:rPr>
        <w:t>(or the patient</w:t>
      </w:r>
      <w:r>
        <w:rPr>
          <w:rFonts w:asciiTheme="minorHAnsi" w:hAnsiTheme="minorHAnsi"/>
          <w:sz w:val="22"/>
          <w:szCs w:val="22"/>
        </w:rPr>
        <w:t>'s authorized representatives)</w:t>
      </w:r>
      <w:r w:rsidRPr="00DA6B4E">
        <w:rPr>
          <w:rFonts w:asciiTheme="minorHAnsi" w:hAnsiTheme="minorHAnsi"/>
          <w:sz w:val="22"/>
          <w:szCs w:val="22"/>
        </w:rPr>
        <w:t xml:space="preserve"> using the electronic messaging function of CEHRT or in response to a secure message sent by the patient (or the</w:t>
      </w:r>
      <w:r>
        <w:rPr>
          <w:rFonts w:asciiTheme="minorHAnsi" w:hAnsiTheme="minorHAnsi"/>
          <w:sz w:val="22"/>
          <w:szCs w:val="22"/>
        </w:rPr>
        <w:t xml:space="preserve"> </w:t>
      </w:r>
      <w:r w:rsidRPr="00DA6B4E">
        <w:rPr>
          <w:rFonts w:asciiTheme="minorHAnsi" w:hAnsiTheme="minorHAnsi"/>
          <w:sz w:val="22"/>
          <w:szCs w:val="22"/>
        </w:rPr>
        <w:t>patient's authorized representative).</w:t>
      </w:r>
    </w:p>
    <w:p w:rsidR="008B2FE5" w:rsidRPr="008B2FE5" w:rsidRDefault="008B2FE5" w:rsidP="008B2FE5">
      <w:pPr>
        <w:pStyle w:val="ListParagraph"/>
        <w:numPr>
          <w:ilvl w:val="0"/>
          <w:numId w:val="17"/>
        </w:numPr>
        <w:rPr>
          <w:rFonts w:asciiTheme="minorHAnsi" w:hAnsiTheme="minorHAnsi"/>
          <w:sz w:val="22"/>
          <w:szCs w:val="22"/>
        </w:rPr>
      </w:pPr>
      <w:r>
        <w:rPr>
          <w:rFonts w:asciiTheme="minorHAnsi" w:hAnsiTheme="minorHAnsi"/>
          <w:sz w:val="22"/>
          <w:szCs w:val="22"/>
        </w:rPr>
        <w:t>Modification</w:t>
      </w:r>
      <w:r w:rsidR="00822D68">
        <w:rPr>
          <w:rFonts w:asciiTheme="minorHAnsi" w:hAnsiTheme="minorHAnsi"/>
          <w:sz w:val="22"/>
          <w:szCs w:val="22"/>
        </w:rPr>
        <w:t xml:space="preserve">:  </w:t>
      </w:r>
      <w:r w:rsidR="00822D68">
        <w:rPr>
          <w:rFonts w:ascii="Calibri" w:hAnsi="Calibri"/>
          <w:sz w:val="22"/>
          <w:szCs w:val="22"/>
        </w:rPr>
        <w:t>P</w:t>
      </w:r>
      <w:r w:rsidRPr="008B2FE5">
        <w:rPr>
          <w:rFonts w:ascii="Calibri" w:hAnsi="Calibri"/>
          <w:sz w:val="22"/>
          <w:szCs w:val="22"/>
        </w:rPr>
        <w:t xml:space="preserve">atient-generated health data </w:t>
      </w:r>
      <w:r>
        <w:rPr>
          <w:rFonts w:ascii="Calibri" w:hAnsi="Calibri"/>
          <w:sz w:val="22"/>
          <w:szCs w:val="22"/>
        </w:rPr>
        <w:t xml:space="preserve">is </w:t>
      </w:r>
      <w:r w:rsidRPr="008B2FE5">
        <w:rPr>
          <w:rFonts w:ascii="Calibri" w:hAnsi="Calibri"/>
          <w:sz w:val="22"/>
          <w:szCs w:val="22"/>
        </w:rPr>
        <w:t xml:space="preserve">incorporated into the certified EHR technology for more than 15 percent of all </w:t>
      </w:r>
      <w:r>
        <w:rPr>
          <w:rFonts w:ascii="Calibri" w:hAnsi="Calibri"/>
          <w:sz w:val="22"/>
          <w:szCs w:val="22"/>
        </w:rPr>
        <w:t>appropriate</w:t>
      </w:r>
      <w:r w:rsidRPr="008B2FE5">
        <w:rPr>
          <w:rFonts w:ascii="Calibri" w:hAnsi="Calibri"/>
          <w:sz w:val="22"/>
          <w:szCs w:val="22"/>
        </w:rPr>
        <w:t xml:space="preserve"> patients.</w:t>
      </w:r>
      <w:r>
        <w:rPr>
          <w:rFonts w:ascii="Calibri" w:hAnsi="Calibri"/>
          <w:sz w:val="22"/>
          <w:szCs w:val="22"/>
        </w:rPr>
        <w:t xml:space="preserve">  The two modifications are: moving “</w:t>
      </w:r>
      <w:r w:rsidRPr="008B2FE5">
        <w:rPr>
          <w:rFonts w:ascii="Calibri" w:hAnsi="Calibri"/>
          <w:sz w:val="22"/>
          <w:szCs w:val="22"/>
          <w:u w:val="single"/>
        </w:rPr>
        <w:t>or</w:t>
      </w:r>
      <w:r w:rsidRPr="008B2FE5">
        <w:rPr>
          <w:rFonts w:ascii="Calibri" w:hAnsi="Calibri"/>
          <w:sz w:val="22"/>
          <w:szCs w:val="22"/>
        </w:rPr>
        <w:t xml:space="preserve"> dat</w:t>
      </w:r>
      <w:r>
        <w:rPr>
          <w:rFonts w:ascii="Calibri" w:hAnsi="Calibri"/>
          <w:sz w:val="22"/>
          <w:szCs w:val="22"/>
        </w:rPr>
        <w:t xml:space="preserve">a from a non-clinical setting” to the HIE objective (outlined further below), as well as changing the denominator to all “appropriate” instead of “unique” patients.  PGHD that is </w:t>
      </w:r>
      <w:r w:rsidR="00995E18">
        <w:rPr>
          <w:rFonts w:ascii="Calibri" w:hAnsi="Calibri"/>
          <w:sz w:val="22"/>
          <w:szCs w:val="22"/>
        </w:rPr>
        <w:t xml:space="preserve">appropriate only to a small subset of patients should count. </w:t>
      </w:r>
    </w:p>
    <w:p w:rsidR="008B2FE5" w:rsidRDefault="008B2FE5" w:rsidP="008B2FE5"/>
    <w:p w:rsidR="00995E18" w:rsidRDefault="00995E18" w:rsidP="008B2FE5">
      <w:r>
        <w:t>Option C:  Separate care coordination and patient and family engagement measures, and require 2 out of 3 revised measures to be met:</w:t>
      </w:r>
    </w:p>
    <w:p w:rsidR="00D429ED" w:rsidRPr="00DA6B4E" w:rsidRDefault="00D429ED" w:rsidP="00D429ED">
      <w:pPr>
        <w:pStyle w:val="ListParagraph"/>
        <w:numPr>
          <w:ilvl w:val="0"/>
          <w:numId w:val="17"/>
        </w:numPr>
        <w:rPr>
          <w:rFonts w:asciiTheme="minorHAnsi" w:hAnsiTheme="minorHAnsi"/>
          <w:sz w:val="22"/>
          <w:szCs w:val="22"/>
        </w:rPr>
      </w:pPr>
      <w:r>
        <w:rPr>
          <w:rFonts w:asciiTheme="minorHAnsi" w:hAnsiTheme="minorHAnsi"/>
          <w:sz w:val="22"/>
          <w:szCs w:val="22"/>
        </w:rPr>
        <w:t xml:space="preserve">As proposed, </w:t>
      </w:r>
      <w:r w:rsidRPr="00DA6B4E">
        <w:rPr>
          <w:rFonts w:asciiTheme="minorHAnsi" w:hAnsiTheme="minorHAnsi"/>
          <w:sz w:val="22"/>
          <w:szCs w:val="22"/>
        </w:rPr>
        <w:t xml:space="preserve">25% </w:t>
      </w:r>
      <w:r>
        <w:rPr>
          <w:rFonts w:asciiTheme="minorHAnsi" w:hAnsiTheme="minorHAnsi"/>
          <w:sz w:val="22"/>
          <w:szCs w:val="22"/>
        </w:rPr>
        <w:t xml:space="preserve">of patients view, download or transmit their health info through portal </w:t>
      </w:r>
      <w:r w:rsidRPr="00DA6B4E">
        <w:rPr>
          <w:rFonts w:asciiTheme="minorHAnsi" w:hAnsiTheme="minorHAnsi"/>
          <w:sz w:val="22"/>
          <w:szCs w:val="22"/>
        </w:rPr>
        <w:t>or API</w:t>
      </w:r>
    </w:p>
    <w:p w:rsidR="00995E18" w:rsidRPr="00995E18" w:rsidRDefault="00995E18" w:rsidP="00995E18">
      <w:pPr>
        <w:pStyle w:val="ListParagraph"/>
        <w:numPr>
          <w:ilvl w:val="0"/>
          <w:numId w:val="17"/>
        </w:numPr>
        <w:rPr>
          <w:rFonts w:asciiTheme="minorHAnsi" w:hAnsiTheme="minorHAnsi"/>
          <w:sz w:val="22"/>
          <w:szCs w:val="22"/>
        </w:rPr>
      </w:pPr>
      <w:r w:rsidRPr="00995E18">
        <w:rPr>
          <w:rFonts w:asciiTheme="minorHAnsi" w:hAnsiTheme="minorHAnsi"/>
          <w:sz w:val="22"/>
          <w:szCs w:val="22"/>
        </w:rPr>
        <w:lastRenderedPageBreak/>
        <w:t>Move the proposed secure messaging requirement to th</w:t>
      </w:r>
      <w:r>
        <w:rPr>
          <w:rFonts w:asciiTheme="minorHAnsi" w:hAnsiTheme="minorHAnsi"/>
          <w:sz w:val="22"/>
          <w:szCs w:val="22"/>
        </w:rPr>
        <w:t xml:space="preserve">e HIE Objective, </w:t>
      </w:r>
      <w:r w:rsidRPr="00995E18">
        <w:rPr>
          <w:rFonts w:asciiTheme="minorHAnsi" w:hAnsiTheme="minorHAnsi"/>
          <w:sz w:val="22"/>
          <w:szCs w:val="22"/>
          <w:u w:val="single"/>
        </w:rPr>
        <w:t>and</w:t>
      </w:r>
      <w:r>
        <w:rPr>
          <w:rFonts w:asciiTheme="minorHAnsi" w:hAnsiTheme="minorHAnsi"/>
          <w:sz w:val="22"/>
          <w:szCs w:val="22"/>
        </w:rPr>
        <w:t xml:space="preserve"> continue the Stage 2 Secure Messaging requirement in Objective 6 that 5% of patients send one secure message during the 12 month reporting period. </w:t>
      </w:r>
      <w:r w:rsidR="00D429ED">
        <w:rPr>
          <w:rFonts w:asciiTheme="minorHAnsi" w:hAnsiTheme="minorHAnsi"/>
          <w:sz w:val="22"/>
          <w:szCs w:val="22"/>
        </w:rPr>
        <w:t xml:space="preserve"> This should apply to EPs only, as hospitals did not have a Stage 2 requirement.  The HIE secure messaging option would apply to hospitals, and they should have this function available to patients (but not require a % threshold of patient use). </w:t>
      </w:r>
    </w:p>
    <w:p w:rsidR="00995E18" w:rsidRDefault="00995E18" w:rsidP="00D429ED">
      <w:pPr>
        <w:pStyle w:val="ListParagraph"/>
        <w:numPr>
          <w:ilvl w:val="0"/>
          <w:numId w:val="17"/>
        </w:numPr>
        <w:rPr>
          <w:rFonts w:asciiTheme="minorHAnsi" w:hAnsiTheme="minorHAnsi"/>
          <w:sz w:val="22"/>
          <w:szCs w:val="22"/>
        </w:rPr>
      </w:pPr>
      <w:r w:rsidRPr="00995E18">
        <w:rPr>
          <w:rFonts w:asciiTheme="minorHAnsi" w:hAnsiTheme="minorHAnsi"/>
          <w:sz w:val="22"/>
          <w:szCs w:val="22"/>
        </w:rPr>
        <w:t xml:space="preserve">Move the portion of the proposed PGHD </w:t>
      </w:r>
      <w:r>
        <w:rPr>
          <w:rFonts w:asciiTheme="minorHAnsi" w:hAnsiTheme="minorHAnsi"/>
          <w:sz w:val="22"/>
          <w:szCs w:val="22"/>
        </w:rPr>
        <w:t>measure that focuses on data from</w:t>
      </w:r>
      <w:r w:rsidRPr="00995E18">
        <w:rPr>
          <w:rFonts w:asciiTheme="minorHAnsi" w:hAnsiTheme="minorHAnsi"/>
          <w:sz w:val="22"/>
          <w:szCs w:val="22"/>
        </w:rPr>
        <w:t xml:space="preserve"> </w:t>
      </w:r>
      <w:r>
        <w:rPr>
          <w:rFonts w:asciiTheme="minorHAnsi" w:hAnsiTheme="minorHAnsi"/>
          <w:sz w:val="22"/>
          <w:szCs w:val="22"/>
        </w:rPr>
        <w:t>a</w:t>
      </w:r>
      <w:r w:rsidRPr="00995E18">
        <w:rPr>
          <w:rFonts w:asciiTheme="minorHAnsi" w:hAnsiTheme="minorHAnsi"/>
          <w:sz w:val="22"/>
          <w:szCs w:val="22"/>
        </w:rPr>
        <w:t xml:space="preserve"> “non-clinical” </w:t>
      </w:r>
      <w:r>
        <w:rPr>
          <w:rFonts w:asciiTheme="minorHAnsi" w:hAnsiTheme="minorHAnsi"/>
          <w:sz w:val="22"/>
          <w:szCs w:val="22"/>
        </w:rPr>
        <w:t xml:space="preserve">setting to the HIE Objective, </w:t>
      </w:r>
      <w:r>
        <w:rPr>
          <w:rFonts w:asciiTheme="minorHAnsi" w:hAnsiTheme="minorHAnsi"/>
          <w:sz w:val="22"/>
          <w:szCs w:val="22"/>
          <w:u w:val="single"/>
        </w:rPr>
        <w:t>and</w:t>
      </w:r>
      <w:r>
        <w:rPr>
          <w:rFonts w:asciiTheme="minorHAnsi" w:hAnsiTheme="minorHAnsi"/>
          <w:sz w:val="22"/>
          <w:szCs w:val="22"/>
        </w:rPr>
        <w:t xml:space="preserve"> maintain the provider-requested PGHD measure in Objective 6</w:t>
      </w:r>
    </w:p>
    <w:p w:rsidR="009902F5" w:rsidRPr="009902F5" w:rsidRDefault="009902F5" w:rsidP="009902F5">
      <w:pPr>
        <w:pStyle w:val="ListParagraph"/>
        <w:rPr>
          <w:rFonts w:asciiTheme="minorHAnsi" w:hAnsiTheme="minorHAnsi"/>
          <w:sz w:val="22"/>
          <w:szCs w:val="22"/>
        </w:rPr>
      </w:pPr>
    </w:p>
    <w:p w:rsidR="00D429ED" w:rsidRPr="00D429ED" w:rsidRDefault="00D429ED" w:rsidP="00D429ED">
      <w:r>
        <w:t xml:space="preserve">However, if secure messaging remains in this Objective as the NPRM proposed (meaning that the provider, not the patient, sends the message), then all three measures should be mandatory. </w:t>
      </w:r>
    </w:p>
    <w:p w:rsidR="00284A51" w:rsidRDefault="009902F5" w:rsidP="00601DAD">
      <w:pPr>
        <w:spacing w:after="0" w:line="240" w:lineRule="auto"/>
      </w:pPr>
      <w:r w:rsidRPr="002D44F2">
        <w:t>Under O</w:t>
      </w:r>
      <w:r w:rsidR="00AE12AE" w:rsidRPr="002D44F2">
        <w:t>ption</w:t>
      </w:r>
      <w:r w:rsidRPr="002D44F2">
        <w:t xml:space="preserve"> C</w:t>
      </w:r>
      <w:r w:rsidR="00AE12AE" w:rsidRPr="002D44F2">
        <w:t>, the HIE Objective would</w:t>
      </w:r>
      <w:r w:rsidRPr="002D44F2">
        <w:t xml:space="preserve"> be revised as follows (strikethrough denotes deletions; italics </w:t>
      </w:r>
      <w:r w:rsidR="002D44F2">
        <w:t xml:space="preserve">and underline </w:t>
      </w:r>
      <w:r w:rsidRPr="002D44F2">
        <w:t>denotes additions</w:t>
      </w:r>
      <w:r>
        <w:t>)</w:t>
      </w:r>
      <w:r w:rsidR="00AE12AE">
        <w:t>:</w:t>
      </w:r>
    </w:p>
    <w:p w:rsidR="00AE12AE" w:rsidRDefault="00AE12AE" w:rsidP="00601DAD">
      <w:pPr>
        <w:spacing w:after="0" w:line="240" w:lineRule="auto"/>
      </w:pPr>
    </w:p>
    <w:p w:rsidR="00AE12AE" w:rsidRPr="0057524A" w:rsidRDefault="00AE12AE" w:rsidP="00AE12AE">
      <w:pPr>
        <w:autoSpaceDE w:val="0"/>
        <w:autoSpaceDN w:val="0"/>
        <w:adjustRightInd w:val="0"/>
        <w:rPr>
          <w:rFonts w:ascii="Calibri" w:hAnsi="Calibri" w:cs="Times New Roman"/>
          <w:sz w:val="20"/>
          <w:szCs w:val="20"/>
        </w:rPr>
      </w:pPr>
      <w:r w:rsidRPr="0057524A">
        <w:rPr>
          <w:rFonts w:ascii="Calibri" w:hAnsi="Calibri" w:cs="Times New Roman"/>
          <w:b/>
          <w:bCs/>
          <w:sz w:val="20"/>
          <w:szCs w:val="20"/>
        </w:rPr>
        <w:t xml:space="preserve">Measure 1 </w:t>
      </w:r>
      <w:r w:rsidRPr="00AE12AE">
        <w:rPr>
          <w:rFonts w:ascii="Calibri" w:hAnsi="Calibri" w:cs="Times New Roman"/>
          <w:bCs/>
          <w:sz w:val="20"/>
          <w:szCs w:val="20"/>
        </w:rPr>
        <w:t xml:space="preserve">(send summary of care): </w:t>
      </w:r>
      <w:r w:rsidRPr="0057524A">
        <w:rPr>
          <w:rFonts w:ascii="Calibri" w:hAnsi="Calibri" w:cs="Times New Roman"/>
          <w:sz w:val="20"/>
          <w:szCs w:val="20"/>
        </w:rPr>
        <w:t xml:space="preserve">For more than </w:t>
      </w:r>
      <w:r w:rsidRPr="00AE12AE">
        <w:rPr>
          <w:rFonts w:ascii="Calibri" w:hAnsi="Calibri" w:cs="Times New Roman"/>
          <w:sz w:val="20"/>
          <w:szCs w:val="20"/>
        </w:rPr>
        <w:t>50 percent of</w:t>
      </w:r>
      <w:r w:rsidRPr="0057524A">
        <w:rPr>
          <w:rFonts w:ascii="Calibri" w:hAnsi="Calibri" w:cs="Times New Roman"/>
          <w:sz w:val="20"/>
          <w:szCs w:val="20"/>
        </w:rPr>
        <w:t xml:space="preserve"> transitions of care and referrals, the EP, eligible hospital or CAH that transitions or refers their patient to another setting of care or provider of care: (</w:t>
      </w:r>
      <w:r w:rsidRPr="00D43F59">
        <w:rPr>
          <w:rFonts w:ascii="Calibri" w:hAnsi="Calibri" w:cs="Times New Roman"/>
          <w:sz w:val="20"/>
          <w:szCs w:val="20"/>
        </w:rPr>
        <w:t>1) creates a</w:t>
      </w:r>
      <w:r w:rsidRPr="00AE12AE">
        <w:rPr>
          <w:rFonts w:ascii="Calibri" w:hAnsi="Calibri" w:cs="Times New Roman"/>
          <w:strike/>
          <w:sz w:val="20"/>
          <w:szCs w:val="20"/>
        </w:rPr>
        <w:t xml:space="preserve"> </w:t>
      </w:r>
      <w:r w:rsidRPr="00D43F59">
        <w:rPr>
          <w:rFonts w:ascii="Calibri" w:hAnsi="Calibri" w:cs="Times New Roman"/>
          <w:sz w:val="20"/>
          <w:szCs w:val="20"/>
        </w:rPr>
        <w:t>summary of care record using CEHRT; and</w:t>
      </w:r>
      <w:r w:rsidRPr="00C5225B">
        <w:rPr>
          <w:rFonts w:ascii="Calibri" w:hAnsi="Calibri" w:cs="Times New Roman"/>
          <w:strike/>
          <w:sz w:val="20"/>
          <w:szCs w:val="20"/>
        </w:rPr>
        <w:t xml:space="preserve"> (2)</w:t>
      </w:r>
      <w:r w:rsidRPr="0057524A">
        <w:rPr>
          <w:rFonts w:ascii="Calibri" w:hAnsi="Calibri" w:cs="Times New Roman"/>
          <w:sz w:val="20"/>
          <w:szCs w:val="20"/>
        </w:rPr>
        <w:t xml:space="preserve"> </w:t>
      </w:r>
      <w:r w:rsidRPr="0057524A">
        <w:rPr>
          <w:rFonts w:ascii="Calibri" w:hAnsi="Calibri" w:cs="Times New Roman"/>
          <w:b/>
          <w:i/>
          <w:sz w:val="20"/>
          <w:szCs w:val="20"/>
        </w:rPr>
        <w:t>electronically exchanges</w:t>
      </w:r>
      <w:r w:rsidRPr="0057524A">
        <w:rPr>
          <w:rFonts w:ascii="Calibri" w:hAnsi="Calibri" w:cs="Times New Roman"/>
          <w:sz w:val="20"/>
          <w:szCs w:val="20"/>
        </w:rPr>
        <w:t xml:space="preserve"> the summary of care record.</w:t>
      </w:r>
    </w:p>
    <w:p w:rsidR="00AE12AE" w:rsidRPr="00C5225B" w:rsidRDefault="00AE12AE" w:rsidP="00AE12AE">
      <w:pPr>
        <w:pStyle w:val="ListParagraph"/>
        <w:numPr>
          <w:ilvl w:val="0"/>
          <w:numId w:val="19"/>
        </w:numPr>
        <w:autoSpaceDE w:val="0"/>
        <w:autoSpaceDN w:val="0"/>
        <w:adjustRightInd w:val="0"/>
        <w:rPr>
          <w:rFonts w:ascii="Calibri" w:hAnsi="Calibri"/>
          <w:i/>
          <w:sz w:val="20"/>
          <w:szCs w:val="20"/>
        </w:rPr>
      </w:pPr>
      <w:r w:rsidRPr="0057524A">
        <w:rPr>
          <w:rFonts w:ascii="Calibri" w:hAnsi="Calibri"/>
          <w:sz w:val="20"/>
          <w:szCs w:val="20"/>
        </w:rPr>
        <w:t>Must send Common Clinical Data Set (as defined in voluntary 2015 CEHRT NPRM)</w:t>
      </w:r>
      <w:r w:rsidR="00C5225B">
        <w:rPr>
          <w:rFonts w:ascii="Calibri" w:hAnsi="Calibri"/>
          <w:sz w:val="20"/>
          <w:szCs w:val="20"/>
        </w:rPr>
        <w:t xml:space="preserve"> </w:t>
      </w:r>
      <w:r w:rsidR="00C5225B" w:rsidRPr="00C5225B">
        <w:rPr>
          <w:rFonts w:ascii="Calibri" w:hAnsi="Calibri"/>
          <w:i/>
          <w:sz w:val="20"/>
          <w:szCs w:val="20"/>
          <w:u w:val="single"/>
        </w:rPr>
        <w:t>OR receive clinical information from a non-MU eligible provider</w:t>
      </w:r>
    </w:p>
    <w:p w:rsidR="00C5225B" w:rsidRPr="00C5225B" w:rsidRDefault="00C5225B" w:rsidP="00AE12AE">
      <w:pPr>
        <w:pStyle w:val="ListParagraph"/>
        <w:numPr>
          <w:ilvl w:val="0"/>
          <w:numId w:val="19"/>
        </w:numPr>
        <w:autoSpaceDE w:val="0"/>
        <w:autoSpaceDN w:val="0"/>
        <w:adjustRightInd w:val="0"/>
        <w:rPr>
          <w:rFonts w:ascii="Calibri" w:hAnsi="Calibri"/>
          <w:i/>
          <w:sz w:val="20"/>
          <w:szCs w:val="20"/>
        </w:rPr>
      </w:pPr>
      <w:r>
        <w:rPr>
          <w:rFonts w:ascii="Calibri" w:hAnsi="Calibri"/>
          <w:sz w:val="20"/>
          <w:szCs w:val="20"/>
          <w:u w:val="single"/>
        </w:rPr>
        <w:t>Secure messaging may be u</w:t>
      </w:r>
      <w:r w:rsidR="009902F5">
        <w:rPr>
          <w:rFonts w:ascii="Calibri" w:hAnsi="Calibri"/>
          <w:sz w:val="20"/>
          <w:szCs w:val="20"/>
          <w:u w:val="single"/>
        </w:rPr>
        <w:t xml:space="preserve">sed to fulfill this requirement to send either the CCDS or to communicate/solicit/receive clinical information from a non-MU eligible provider as long as the patient has the ability to view and participate in those messages.  </w:t>
      </w:r>
    </w:p>
    <w:p w:rsidR="00C5225B" w:rsidRDefault="00C5225B" w:rsidP="00C5225B">
      <w:pPr>
        <w:pStyle w:val="ListParagraph"/>
        <w:autoSpaceDE w:val="0"/>
        <w:autoSpaceDN w:val="0"/>
        <w:adjustRightInd w:val="0"/>
        <w:rPr>
          <w:rFonts w:ascii="Calibri" w:hAnsi="Calibri"/>
          <w:i/>
          <w:sz w:val="20"/>
          <w:szCs w:val="20"/>
        </w:rPr>
      </w:pPr>
    </w:p>
    <w:p w:rsidR="009902F5" w:rsidRDefault="009902F5" w:rsidP="009902F5">
      <w:pPr>
        <w:autoSpaceDE w:val="0"/>
        <w:autoSpaceDN w:val="0"/>
        <w:adjustRightInd w:val="0"/>
        <w:spacing w:after="0" w:line="240" w:lineRule="auto"/>
        <w:rPr>
          <w:rFonts w:ascii="Calibri" w:hAnsi="Calibri" w:cs="Times New Roman"/>
          <w:bCs/>
          <w:sz w:val="20"/>
          <w:szCs w:val="20"/>
        </w:rPr>
      </w:pPr>
      <w:r w:rsidRPr="009902F5">
        <w:rPr>
          <w:rFonts w:ascii="Calibri" w:hAnsi="Calibri" w:cs="Times New Roman"/>
          <w:bCs/>
          <w:sz w:val="20"/>
          <w:szCs w:val="20"/>
        </w:rPr>
        <w:t xml:space="preserve">(Note that the NPRM States: </w:t>
      </w:r>
      <w:r>
        <w:rPr>
          <w:rFonts w:ascii="Calibri" w:hAnsi="Calibri" w:cs="Times New Roman"/>
          <w:bCs/>
          <w:sz w:val="20"/>
          <w:szCs w:val="20"/>
        </w:rPr>
        <w:t>“</w:t>
      </w:r>
      <w:r w:rsidRPr="009902F5">
        <w:rPr>
          <w:rFonts w:ascii="Calibri" w:hAnsi="Calibri" w:cs="Times New Roman"/>
          <w:bCs/>
          <w:sz w:val="20"/>
          <w:szCs w:val="20"/>
        </w:rPr>
        <w:t>For measure 2, we propose to include in the measure numerator situations where providers communicate with other care team members using the secure messaging function of certified EHR technology, and the patient is engaged in the message and has the ability to be an active participant in the conversation between care providers.</w:t>
      </w:r>
      <w:r>
        <w:rPr>
          <w:rFonts w:ascii="Calibri" w:hAnsi="Calibri" w:cs="Times New Roman"/>
          <w:bCs/>
          <w:sz w:val="20"/>
          <w:szCs w:val="20"/>
        </w:rPr>
        <w:t>”</w:t>
      </w:r>
      <w:r w:rsidRPr="009902F5">
        <w:rPr>
          <w:rFonts w:ascii="Calibri" w:hAnsi="Calibri" w:cs="Times New Roman"/>
          <w:bCs/>
          <w:sz w:val="20"/>
          <w:szCs w:val="20"/>
        </w:rPr>
        <w:t>)</w:t>
      </w:r>
    </w:p>
    <w:p w:rsidR="009902F5" w:rsidRPr="009902F5" w:rsidRDefault="009902F5" w:rsidP="009902F5">
      <w:pPr>
        <w:autoSpaceDE w:val="0"/>
        <w:autoSpaceDN w:val="0"/>
        <w:adjustRightInd w:val="0"/>
        <w:spacing w:after="0" w:line="240" w:lineRule="auto"/>
        <w:rPr>
          <w:rFonts w:ascii="Calibri" w:hAnsi="Calibri" w:cs="Times New Roman"/>
          <w:bCs/>
          <w:sz w:val="20"/>
          <w:szCs w:val="20"/>
        </w:rPr>
      </w:pPr>
    </w:p>
    <w:p w:rsidR="00B06C7B" w:rsidRPr="002D44F2" w:rsidRDefault="00AE12AE" w:rsidP="002D44F2">
      <w:pPr>
        <w:autoSpaceDE w:val="0"/>
        <w:autoSpaceDN w:val="0"/>
        <w:adjustRightInd w:val="0"/>
        <w:spacing w:after="0" w:line="240" w:lineRule="auto"/>
        <w:rPr>
          <w:rFonts w:ascii="Calibri" w:hAnsi="Calibri" w:cs="Times New Roman"/>
          <w:sz w:val="20"/>
          <w:szCs w:val="20"/>
        </w:rPr>
      </w:pPr>
      <w:r w:rsidRPr="0057524A">
        <w:rPr>
          <w:rFonts w:ascii="Calibri" w:hAnsi="Calibri" w:cs="Times New Roman"/>
          <w:b/>
          <w:bCs/>
          <w:sz w:val="20"/>
          <w:szCs w:val="20"/>
        </w:rPr>
        <w:t xml:space="preserve">Measure 2 </w:t>
      </w:r>
      <w:r w:rsidRPr="00C5225B">
        <w:rPr>
          <w:rFonts w:ascii="Calibri" w:hAnsi="Calibri" w:cs="Times New Roman"/>
          <w:b/>
          <w:bCs/>
          <w:sz w:val="20"/>
          <w:szCs w:val="20"/>
          <w:u w:val="single"/>
        </w:rPr>
        <w:t>(</w:t>
      </w:r>
      <w:r w:rsidR="00C5225B" w:rsidRPr="00C5225B">
        <w:rPr>
          <w:rFonts w:ascii="Calibri" w:hAnsi="Calibri" w:cs="Times New Roman"/>
          <w:bCs/>
          <w:sz w:val="20"/>
          <w:szCs w:val="20"/>
        </w:rPr>
        <w:t>receive summary of care</w:t>
      </w:r>
      <w:r w:rsidRPr="00C5225B">
        <w:rPr>
          <w:rFonts w:ascii="Calibri" w:hAnsi="Calibri" w:cs="Times New Roman"/>
          <w:bCs/>
          <w:sz w:val="20"/>
          <w:szCs w:val="20"/>
        </w:rPr>
        <w:t xml:space="preserve">): </w:t>
      </w:r>
      <w:r w:rsidRPr="00C5225B">
        <w:rPr>
          <w:rFonts w:ascii="Calibri" w:hAnsi="Calibri" w:cs="Times New Roman"/>
          <w:sz w:val="20"/>
          <w:szCs w:val="20"/>
        </w:rPr>
        <w:t xml:space="preserve">For more than 40 percent of transitions or referrals received and patient encounters in which the provider has never </w:t>
      </w:r>
      <w:r w:rsidRPr="0057524A">
        <w:rPr>
          <w:rFonts w:ascii="Calibri" w:hAnsi="Calibri" w:cs="Times New Roman"/>
          <w:sz w:val="20"/>
          <w:szCs w:val="20"/>
        </w:rPr>
        <w:t xml:space="preserve">before encountered the patient, the EP, eligible hospital or CAH </w:t>
      </w:r>
      <w:r w:rsidRPr="0057524A">
        <w:rPr>
          <w:rFonts w:ascii="Calibri" w:hAnsi="Calibri" w:cs="Times New Roman"/>
          <w:b/>
          <w:i/>
          <w:sz w:val="20"/>
          <w:szCs w:val="20"/>
        </w:rPr>
        <w:t>incorporates into the patient's EHR</w:t>
      </w:r>
      <w:r w:rsidRPr="0057524A">
        <w:rPr>
          <w:rFonts w:ascii="Calibri" w:hAnsi="Calibri" w:cs="Times New Roman"/>
          <w:sz w:val="20"/>
          <w:szCs w:val="20"/>
        </w:rPr>
        <w:t xml:space="preserve"> an electronic summary of care document</w:t>
      </w:r>
      <w:r w:rsidR="00C5225B">
        <w:rPr>
          <w:rFonts w:ascii="Calibri" w:hAnsi="Calibri" w:cs="Times New Roman"/>
          <w:sz w:val="20"/>
          <w:szCs w:val="20"/>
        </w:rPr>
        <w:t xml:space="preserve"> </w:t>
      </w:r>
      <w:r w:rsidR="00C5225B" w:rsidRPr="0057524A">
        <w:rPr>
          <w:rFonts w:ascii="Calibri" w:hAnsi="Calibri" w:cs="Times New Roman"/>
          <w:sz w:val="20"/>
          <w:szCs w:val="20"/>
        </w:rPr>
        <w:t>from a source other than the provider's EHR system</w:t>
      </w:r>
      <w:r w:rsidR="00C5225B">
        <w:rPr>
          <w:rFonts w:ascii="Calibri" w:hAnsi="Calibri" w:cs="Times New Roman"/>
          <w:sz w:val="20"/>
          <w:szCs w:val="20"/>
        </w:rPr>
        <w:t xml:space="preserve">, </w:t>
      </w:r>
      <w:r w:rsidR="00C5225B">
        <w:rPr>
          <w:rFonts w:ascii="Calibri" w:hAnsi="Calibri"/>
          <w:i/>
          <w:sz w:val="20"/>
          <w:szCs w:val="20"/>
          <w:u w:val="single"/>
        </w:rPr>
        <w:t>or c</w:t>
      </w:r>
      <w:r w:rsidR="00C5225B" w:rsidRPr="00C5225B">
        <w:rPr>
          <w:rFonts w:ascii="Calibri" w:hAnsi="Calibri"/>
          <w:i/>
          <w:sz w:val="20"/>
          <w:szCs w:val="20"/>
          <w:u w:val="single"/>
        </w:rPr>
        <w:t>linical information from a non-MU eligible provider</w:t>
      </w:r>
      <w:r w:rsidR="002D44F2">
        <w:rPr>
          <w:rFonts w:ascii="Calibri" w:hAnsi="Calibri" w:cs="Times New Roman"/>
          <w:sz w:val="20"/>
          <w:szCs w:val="20"/>
        </w:rPr>
        <w:t>.</w:t>
      </w:r>
    </w:p>
    <w:p w:rsidR="00B06C7B" w:rsidRPr="00B06C7B" w:rsidRDefault="00B06C7B" w:rsidP="009902F5">
      <w:pPr>
        <w:spacing w:after="0" w:line="240" w:lineRule="auto"/>
      </w:pPr>
    </w:p>
    <w:p w:rsidR="00E7690E" w:rsidRDefault="00E7690E" w:rsidP="009902F5">
      <w:pPr>
        <w:spacing w:after="0" w:line="240" w:lineRule="auto"/>
      </w:pPr>
    </w:p>
    <w:p w:rsidR="00E7690E" w:rsidRPr="00E7690E" w:rsidRDefault="00E7690E" w:rsidP="009902F5">
      <w:pPr>
        <w:spacing w:after="0" w:line="240" w:lineRule="auto"/>
      </w:pPr>
    </w:p>
    <w:p w:rsidR="00E7690E" w:rsidRPr="000C5E21" w:rsidRDefault="000C5E21" w:rsidP="009902F5">
      <w:pPr>
        <w:pStyle w:val="ListParagraph"/>
        <w:rPr>
          <w:rFonts w:asciiTheme="minorHAnsi" w:hAnsiTheme="minorHAnsi"/>
          <w:b/>
          <w:i/>
          <w:sz w:val="22"/>
          <w:szCs w:val="22"/>
        </w:rPr>
      </w:pPr>
      <w:r w:rsidRPr="000C5E21">
        <w:rPr>
          <w:rFonts w:asciiTheme="minorHAnsi" w:hAnsiTheme="minorHAnsi"/>
          <w:b/>
          <w:i/>
          <w:sz w:val="22"/>
          <w:szCs w:val="22"/>
          <w:highlight w:val="green"/>
        </w:rPr>
        <w:t>WG Members – this draft is for discussion purposes only. We will add to, revise and finalize on our next call.</w:t>
      </w:r>
    </w:p>
    <w:sectPr w:rsidR="00E7690E" w:rsidRPr="000C5E21" w:rsidSect="00ED19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036" w:rsidRDefault="00E26036" w:rsidP="00A8420C">
      <w:pPr>
        <w:spacing w:after="0" w:line="240" w:lineRule="auto"/>
      </w:pPr>
      <w:r>
        <w:separator/>
      </w:r>
    </w:p>
  </w:endnote>
  <w:endnote w:type="continuationSeparator" w:id="0">
    <w:p w:rsidR="00E26036" w:rsidRDefault="00E26036" w:rsidP="00A8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31" w:rsidRDefault="009D0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135669"/>
      <w:docPartObj>
        <w:docPartGallery w:val="Page Numbers (Bottom of Page)"/>
        <w:docPartUnique/>
      </w:docPartObj>
    </w:sdtPr>
    <w:sdtEndPr>
      <w:rPr>
        <w:noProof/>
      </w:rPr>
    </w:sdtEndPr>
    <w:sdtContent>
      <w:p w:rsidR="009D0A31" w:rsidRDefault="00ED1908">
        <w:pPr>
          <w:pStyle w:val="Footer"/>
        </w:pPr>
        <w:r>
          <w:fldChar w:fldCharType="begin"/>
        </w:r>
        <w:r w:rsidR="009D0A31">
          <w:instrText xml:space="preserve"> PAGE   \* MERGEFORMAT </w:instrText>
        </w:r>
        <w:r>
          <w:fldChar w:fldCharType="separate"/>
        </w:r>
        <w:r w:rsidR="006224F8">
          <w:rPr>
            <w:noProof/>
          </w:rPr>
          <w:t>1</w:t>
        </w:r>
        <w:r>
          <w:rPr>
            <w:noProof/>
          </w:rPr>
          <w:fldChar w:fldCharType="end"/>
        </w:r>
      </w:p>
    </w:sdtContent>
  </w:sdt>
  <w:p w:rsidR="009D0A31" w:rsidRDefault="009D0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31" w:rsidRDefault="009D0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036" w:rsidRDefault="00E26036" w:rsidP="00A8420C">
      <w:pPr>
        <w:spacing w:after="0" w:line="240" w:lineRule="auto"/>
      </w:pPr>
      <w:r>
        <w:separator/>
      </w:r>
    </w:p>
  </w:footnote>
  <w:footnote w:type="continuationSeparator" w:id="0">
    <w:p w:rsidR="00E26036" w:rsidRDefault="00E26036" w:rsidP="00A8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31" w:rsidRDefault="009D0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669320"/>
      <w:docPartObj>
        <w:docPartGallery w:val="Watermarks"/>
        <w:docPartUnique/>
      </w:docPartObj>
    </w:sdtPr>
    <w:sdtEndPr/>
    <w:sdtContent>
      <w:p w:rsidR="009D0A31" w:rsidRDefault="006224F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31" w:rsidRDefault="009D0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347F5"/>
    <w:multiLevelType w:val="hybridMultilevel"/>
    <w:tmpl w:val="ACB6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661DB"/>
    <w:multiLevelType w:val="hybridMultilevel"/>
    <w:tmpl w:val="DDDE0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D0B82"/>
    <w:multiLevelType w:val="hybridMultilevel"/>
    <w:tmpl w:val="4D729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0F7FF2"/>
    <w:multiLevelType w:val="hybridMultilevel"/>
    <w:tmpl w:val="6C7EC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F6C56"/>
    <w:multiLevelType w:val="hybridMultilevel"/>
    <w:tmpl w:val="FB581D5E"/>
    <w:lvl w:ilvl="0" w:tplc="5700EFA8">
      <w:start w:val="1"/>
      <w:numFmt w:val="bullet"/>
      <w:lvlText w:val="•"/>
      <w:lvlJc w:val="left"/>
      <w:pPr>
        <w:tabs>
          <w:tab w:val="num" w:pos="720"/>
        </w:tabs>
        <w:ind w:left="720" w:hanging="360"/>
      </w:pPr>
      <w:rPr>
        <w:rFonts w:ascii="Arial" w:hAnsi="Arial" w:hint="default"/>
      </w:rPr>
    </w:lvl>
    <w:lvl w:ilvl="1" w:tplc="8DF2146C">
      <w:start w:val="2909"/>
      <w:numFmt w:val="bullet"/>
      <w:lvlText w:val="•"/>
      <w:lvlJc w:val="left"/>
      <w:pPr>
        <w:tabs>
          <w:tab w:val="num" w:pos="1440"/>
        </w:tabs>
        <w:ind w:left="1440" w:hanging="360"/>
      </w:pPr>
      <w:rPr>
        <w:rFonts w:ascii="Arial" w:hAnsi="Arial" w:hint="default"/>
      </w:rPr>
    </w:lvl>
    <w:lvl w:ilvl="2" w:tplc="EB408624" w:tentative="1">
      <w:start w:val="1"/>
      <w:numFmt w:val="bullet"/>
      <w:lvlText w:val="•"/>
      <w:lvlJc w:val="left"/>
      <w:pPr>
        <w:tabs>
          <w:tab w:val="num" w:pos="2160"/>
        </w:tabs>
        <w:ind w:left="2160" w:hanging="360"/>
      </w:pPr>
      <w:rPr>
        <w:rFonts w:ascii="Arial" w:hAnsi="Arial" w:hint="default"/>
      </w:rPr>
    </w:lvl>
    <w:lvl w:ilvl="3" w:tplc="825ED014" w:tentative="1">
      <w:start w:val="1"/>
      <w:numFmt w:val="bullet"/>
      <w:lvlText w:val="•"/>
      <w:lvlJc w:val="left"/>
      <w:pPr>
        <w:tabs>
          <w:tab w:val="num" w:pos="2880"/>
        </w:tabs>
        <w:ind w:left="2880" w:hanging="360"/>
      </w:pPr>
      <w:rPr>
        <w:rFonts w:ascii="Arial" w:hAnsi="Arial" w:hint="default"/>
      </w:rPr>
    </w:lvl>
    <w:lvl w:ilvl="4" w:tplc="4532FB76" w:tentative="1">
      <w:start w:val="1"/>
      <w:numFmt w:val="bullet"/>
      <w:lvlText w:val="•"/>
      <w:lvlJc w:val="left"/>
      <w:pPr>
        <w:tabs>
          <w:tab w:val="num" w:pos="3600"/>
        </w:tabs>
        <w:ind w:left="3600" w:hanging="360"/>
      </w:pPr>
      <w:rPr>
        <w:rFonts w:ascii="Arial" w:hAnsi="Arial" w:hint="default"/>
      </w:rPr>
    </w:lvl>
    <w:lvl w:ilvl="5" w:tplc="80001BFC" w:tentative="1">
      <w:start w:val="1"/>
      <w:numFmt w:val="bullet"/>
      <w:lvlText w:val="•"/>
      <w:lvlJc w:val="left"/>
      <w:pPr>
        <w:tabs>
          <w:tab w:val="num" w:pos="4320"/>
        </w:tabs>
        <w:ind w:left="4320" w:hanging="360"/>
      </w:pPr>
      <w:rPr>
        <w:rFonts w:ascii="Arial" w:hAnsi="Arial" w:hint="default"/>
      </w:rPr>
    </w:lvl>
    <w:lvl w:ilvl="6" w:tplc="02CCB038" w:tentative="1">
      <w:start w:val="1"/>
      <w:numFmt w:val="bullet"/>
      <w:lvlText w:val="•"/>
      <w:lvlJc w:val="left"/>
      <w:pPr>
        <w:tabs>
          <w:tab w:val="num" w:pos="5040"/>
        </w:tabs>
        <w:ind w:left="5040" w:hanging="360"/>
      </w:pPr>
      <w:rPr>
        <w:rFonts w:ascii="Arial" w:hAnsi="Arial" w:hint="default"/>
      </w:rPr>
    </w:lvl>
    <w:lvl w:ilvl="7" w:tplc="06B46B64" w:tentative="1">
      <w:start w:val="1"/>
      <w:numFmt w:val="bullet"/>
      <w:lvlText w:val="•"/>
      <w:lvlJc w:val="left"/>
      <w:pPr>
        <w:tabs>
          <w:tab w:val="num" w:pos="5760"/>
        </w:tabs>
        <w:ind w:left="5760" w:hanging="360"/>
      </w:pPr>
      <w:rPr>
        <w:rFonts w:ascii="Arial" w:hAnsi="Arial" w:hint="default"/>
      </w:rPr>
    </w:lvl>
    <w:lvl w:ilvl="8" w:tplc="4C12DAC8" w:tentative="1">
      <w:start w:val="1"/>
      <w:numFmt w:val="bullet"/>
      <w:lvlText w:val="•"/>
      <w:lvlJc w:val="left"/>
      <w:pPr>
        <w:tabs>
          <w:tab w:val="num" w:pos="6480"/>
        </w:tabs>
        <w:ind w:left="6480" w:hanging="360"/>
      </w:pPr>
      <w:rPr>
        <w:rFonts w:ascii="Arial" w:hAnsi="Arial" w:hint="default"/>
      </w:rPr>
    </w:lvl>
  </w:abstractNum>
  <w:abstractNum w:abstractNumId="6">
    <w:nsid w:val="24BB64FA"/>
    <w:multiLevelType w:val="hybridMultilevel"/>
    <w:tmpl w:val="4A2A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7145B"/>
    <w:multiLevelType w:val="hybridMultilevel"/>
    <w:tmpl w:val="33663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F7385"/>
    <w:multiLevelType w:val="hybridMultilevel"/>
    <w:tmpl w:val="F3A81BD2"/>
    <w:lvl w:ilvl="0" w:tplc="97947F52">
      <w:start w:val="1"/>
      <w:numFmt w:val="bullet"/>
      <w:lvlText w:val="•"/>
      <w:lvlJc w:val="left"/>
      <w:pPr>
        <w:tabs>
          <w:tab w:val="num" w:pos="720"/>
        </w:tabs>
        <w:ind w:left="720" w:hanging="360"/>
      </w:pPr>
      <w:rPr>
        <w:rFonts w:ascii="Arial" w:hAnsi="Arial" w:hint="default"/>
      </w:rPr>
    </w:lvl>
    <w:lvl w:ilvl="1" w:tplc="D2F492CA" w:tentative="1">
      <w:start w:val="1"/>
      <w:numFmt w:val="bullet"/>
      <w:lvlText w:val="•"/>
      <w:lvlJc w:val="left"/>
      <w:pPr>
        <w:tabs>
          <w:tab w:val="num" w:pos="1440"/>
        </w:tabs>
        <w:ind w:left="1440" w:hanging="360"/>
      </w:pPr>
      <w:rPr>
        <w:rFonts w:ascii="Arial" w:hAnsi="Arial" w:hint="default"/>
      </w:rPr>
    </w:lvl>
    <w:lvl w:ilvl="2" w:tplc="DAF450BE" w:tentative="1">
      <w:start w:val="1"/>
      <w:numFmt w:val="bullet"/>
      <w:lvlText w:val="•"/>
      <w:lvlJc w:val="left"/>
      <w:pPr>
        <w:tabs>
          <w:tab w:val="num" w:pos="2160"/>
        </w:tabs>
        <w:ind w:left="2160" w:hanging="360"/>
      </w:pPr>
      <w:rPr>
        <w:rFonts w:ascii="Arial" w:hAnsi="Arial" w:hint="default"/>
      </w:rPr>
    </w:lvl>
    <w:lvl w:ilvl="3" w:tplc="F83A8C7A" w:tentative="1">
      <w:start w:val="1"/>
      <w:numFmt w:val="bullet"/>
      <w:lvlText w:val="•"/>
      <w:lvlJc w:val="left"/>
      <w:pPr>
        <w:tabs>
          <w:tab w:val="num" w:pos="2880"/>
        </w:tabs>
        <w:ind w:left="2880" w:hanging="360"/>
      </w:pPr>
      <w:rPr>
        <w:rFonts w:ascii="Arial" w:hAnsi="Arial" w:hint="default"/>
      </w:rPr>
    </w:lvl>
    <w:lvl w:ilvl="4" w:tplc="C49E65DE" w:tentative="1">
      <w:start w:val="1"/>
      <w:numFmt w:val="bullet"/>
      <w:lvlText w:val="•"/>
      <w:lvlJc w:val="left"/>
      <w:pPr>
        <w:tabs>
          <w:tab w:val="num" w:pos="3600"/>
        </w:tabs>
        <w:ind w:left="3600" w:hanging="360"/>
      </w:pPr>
      <w:rPr>
        <w:rFonts w:ascii="Arial" w:hAnsi="Arial" w:hint="default"/>
      </w:rPr>
    </w:lvl>
    <w:lvl w:ilvl="5" w:tplc="96CEFC12" w:tentative="1">
      <w:start w:val="1"/>
      <w:numFmt w:val="bullet"/>
      <w:lvlText w:val="•"/>
      <w:lvlJc w:val="left"/>
      <w:pPr>
        <w:tabs>
          <w:tab w:val="num" w:pos="4320"/>
        </w:tabs>
        <w:ind w:left="4320" w:hanging="360"/>
      </w:pPr>
      <w:rPr>
        <w:rFonts w:ascii="Arial" w:hAnsi="Arial" w:hint="default"/>
      </w:rPr>
    </w:lvl>
    <w:lvl w:ilvl="6" w:tplc="F5D217F2" w:tentative="1">
      <w:start w:val="1"/>
      <w:numFmt w:val="bullet"/>
      <w:lvlText w:val="•"/>
      <w:lvlJc w:val="left"/>
      <w:pPr>
        <w:tabs>
          <w:tab w:val="num" w:pos="5040"/>
        </w:tabs>
        <w:ind w:left="5040" w:hanging="360"/>
      </w:pPr>
      <w:rPr>
        <w:rFonts w:ascii="Arial" w:hAnsi="Arial" w:hint="default"/>
      </w:rPr>
    </w:lvl>
    <w:lvl w:ilvl="7" w:tplc="F5E2A54C" w:tentative="1">
      <w:start w:val="1"/>
      <w:numFmt w:val="bullet"/>
      <w:lvlText w:val="•"/>
      <w:lvlJc w:val="left"/>
      <w:pPr>
        <w:tabs>
          <w:tab w:val="num" w:pos="5760"/>
        </w:tabs>
        <w:ind w:left="5760" w:hanging="360"/>
      </w:pPr>
      <w:rPr>
        <w:rFonts w:ascii="Arial" w:hAnsi="Arial" w:hint="default"/>
      </w:rPr>
    </w:lvl>
    <w:lvl w:ilvl="8" w:tplc="06264BDE" w:tentative="1">
      <w:start w:val="1"/>
      <w:numFmt w:val="bullet"/>
      <w:lvlText w:val="•"/>
      <w:lvlJc w:val="left"/>
      <w:pPr>
        <w:tabs>
          <w:tab w:val="num" w:pos="6480"/>
        </w:tabs>
        <w:ind w:left="6480" w:hanging="360"/>
      </w:pPr>
      <w:rPr>
        <w:rFonts w:ascii="Arial" w:hAnsi="Arial" w:hint="default"/>
      </w:rPr>
    </w:lvl>
  </w:abstractNum>
  <w:abstractNum w:abstractNumId="9">
    <w:nsid w:val="3F293738"/>
    <w:multiLevelType w:val="hybridMultilevel"/>
    <w:tmpl w:val="160A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571E8"/>
    <w:multiLevelType w:val="hybridMultilevel"/>
    <w:tmpl w:val="48487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3D53AE"/>
    <w:multiLevelType w:val="hybridMultilevel"/>
    <w:tmpl w:val="EE12EE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5C765FA6"/>
    <w:multiLevelType w:val="hybridMultilevel"/>
    <w:tmpl w:val="3AFC2AA4"/>
    <w:lvl w:ilvl="0" w:tplc="3C2A6070">
      <w:start w:val="1"/>
      <w:numFmt w:val="bullet"/>
      <w:lvlText w:val="•"/>
      <w:lvlJc w:val="left"/>
      <w:pPr>
        <w:tabs>
          <w:tab w:val="num" w:pos="720"/>
        </w:tabs>
        <w:ind w:left="720" w:hanging="360"/>
      </w:pPr>
      <w:rPr>
        <w:rFonts w:ascii="Arial" w:hAnsi="Arial" w:hint="default"/>
      </w:rPr>
    </w:lvl>
    <w:lvl w:ilvl="1" w:tplc="2DF0A8F2">
      <w:start w:val="1"/>
      <w:numFmt w:val="bullet"/>
      <w:lvlText w:val="•"/>
      <w:lvlJc w:val="left"/>
      <w:pPr>
        <w:tabs>
          <w:tab w:val="num" w:pos="1440"/>
        </w:tabs>
        <w:ind w:left="1440" w:hanging="360"/>
      </w:pPr>
      <w:rPr>
        <w:rFonts w:ascii="Arial" w:hAnsi="Arial" w:hint="default"/>
      </w:rPr>
    </w:lvl>
    <w:lvl w:ilvl="2" w:tplc="C708F0FE" w:tentative="1">
      <w:start w:val="1"/>
      <w:numFmt w:val="bullet"/>
      <w:lvlText w:val="•"/>
      <w:lvlJc w:val="left"/>
      <w:pPr>
        <w:tabs>
          <w:tab w:val="num" w:pos="2160"/>
        </w:tabs>
        <w:ind w:left="2160" w:hanging="360"/>
      </w:pPr>
      <w:rPr>
        <w:rFonts w:ascii="Arial" w:hAnsi="Arial" w:hint="default"/>
      </w:rPr>
    </w:lvl>
    <w:lvl w:ilvl="3" w:tplc="F6BC3B98" w:tentative="1">
      <w:start w:val="1"/>
      <w:numFmt w:val="bullet"/>
      <w:lvlText w:val="•"/>
      <w:lvlJc w:val="left"/>
      <w:pPr>
        <w:tabs>
          <w:tab w:val="num" w:pos="2880"/>
        </w:tabs>
        <w:ind w:left="2880" w:hanging="360"/>
      </w:pPr>
      <w:rPr>
        <w:rFonts w:ascii="Arial" w:hAnsi="Arial" w:hint="default"/>
      </w:rPr>
    </w:lvl>
    <w:lvl w:ilvl="4" w:tplc="8832908E" w:tentative="1">
      <w:start w:val="1"/>
      <w:numFmt w:val="bullet"/>
      <w:lvlText w:val="•"/>
      <w:lvlJc w:val="left"/>
      <w:pPr>
        <w:tabs>
          <w:tab w:val="num" w:pos="3600"/>
        </w:tabs>
        <w:ind w:left="3600" w:hanging="360"/>
      </w:pPr>
      <w:rPr>
        <w:rFonts w:ascii="Arial" w:hAnsi="Arial" w:hint="default"/>
      </w:rPr>
    </w:lvl>
    <w:lvl w:ilvl="5" w:tplc="1264E2F0" w:tentative="1">
      <w:start w:val="1"/>
      <w:numFmt w:val="bullet"/>
      <w:lvlText w:val="•"/>
      <w:lvlJc w:val="left"/>
      <w:pPr>
        <w:tabs>
          <w:tab w:val="num" w:pos="4320"/>
        </w:tabs>
        <w:ind w:left="4320" w:hanging="360"/>
      </w:pPr>
      <w:rPr>
        <w:rFonts w:ascii="Arial" w:hAnsi="Arial" w:hint="default"/>
      </w:rPr>
    </w:lvl>
    <w:lvl w:ilvl="6" w:tplc="AE5EF468" w:tentative="1">
      <w:start w:val="1"/>
      <w:numFmt w:val="bullet"/>
      <w:lvlText w:val="•"/>
      <w:lvlJc w:val="left"/>
      <w:pPr>
        <w:tabs>
          <w:tab w:val="num" w:pos="5040"/>
        </w:tabs>
        <w:ind w:left="5040" w:hanging="360"/>
      </w:pPr>
      <w:rPr>
        <w:rFonts w:ascii="Arial" w:hAnsi="Arial" w:hint="default"/>
      </w:rPr>
    </w:lvl>
    <w:lvl w:ilvl="7" w:tplc="BD969C6E" w:tentative="1">
      <w:start w:val="1"/>
      <w:numFmt w:val="bullet"/>
      <w:lvlText w:val="•"/>
      <w:lvlJc w:val="left"/>
      <w:pPr>
        <w:tabs>
          <w:tab w:val="num" w:pos="5760"/>
        </w:tabs>
        <w:ind w:left="5760" w:hanging="360"/>
      </w:pPr>
      <w:rPr>
        <w:rFonts w:ascii="Arial" w:hAnsi="Arial" w:hint="default"/>
      </w:rPr>
    </w:lvl>
    <w:lvl w:ilvl="8" w:tplc="BCCA419C" w:tentative="1">
      <w:start w:val="1"/>
      <w:numFmt w:val="bullet"/>
      <w:lvlText w:val="•"/>
      <w:lvlJc w:val="left"/>
      <w:pPr>
        <w:tabs>
          <w:tab w:val="num" w:pos="6480"/>
        </w:tabs>
        <w:ind w:left="6480" w:hanging="360"/>
      </w:pPr>
      <w:rPr>
        <w:rFonts w:ascii="Arial" w:hAnsi="Arial" w:hint="default"/>
      </w:rPr>
    </w:lvl>
  </w:abstractNum>
  <w:abstractNum w:abstractNumId="13">
    <w:nsid w:val="5DCA6565"/>
    <w:multiLevelType w:val="hybridMultilevel"/>
    <w:tmpl w:val="45928784"/>
    <w:lvl w:ilvl="0" w:tplc="3B70832A">
      <w:start w:val="1"/>
      <w:numFmt w:val="bullet"/>
      <w:lvlText w:val="•"/>
      <w:lvlJc w:val="left"/>
      <w:pPr>
        <w:tabs>
          <w:tab w:val="num" w:pos="720"/>
        </w:tabs>
        <w:ind w:left="720" w:hanging="360"/>
      </w:pPr>
      <w:rPr>
        <w:rFonts w:ascii="Arial" w:hAnsi="Arial" w:hint="default"/>
      </w:rPr>
    </w:lvl>
    <w:lvl w:ilvl="1" w:tplc="43906026">
      <w:start w:val="1"/>
      <w:numFmt w:val="bullet"/>
      <w:lvlText w:val="•"/>
      <w:lvlJc w:val="left"/>
      <w:pPr>
        <w:tabs>
          <w:tab w:val="num" w:pos="1440"/>
        </w:tabs>
        <w:ind w:left="1440" w:hanging="360"/>
      </w:pPr>
      <w:rPr>
        <w:rFonts w:ascii="Arial" w:hAnsi="Arial" w:hint="default"/>
      </w:rPr>
    </w:lvl>
    <w:lvl w:ilvl="2" w:tplc="F3D24C46" w:tentative="1">
      <w:start w:val="1"/>
      <w:numFmt w:val="bullet"/>
      <w:lvlText w:val="•"/>
      <w:lvlJc w:val="left"/>
      <w:pPr>
        <w:tabs>
          <w:tab w:val="num" w:pos="2160"/>
        </w:tabs>
        <w:ind w:left="2160" w:hanging="360"/>
      </w:pPr>
      <w:rPr>
        <w:rFonts w:ascii="Arial" w:hAnsi="Arial" w:hint="default"/>
      </w:rPr>
    </w:lvl>
    <w:lvl w:ilvl="3" w:tplc="8648DB54" w:tentative="1">
      <w:start w:val="1"/>
      <w:numFmt w:val="bullet"/>
      <w:lvlText w:val="•"/>
      <w:lvlJc w:val="left"/>
      <w:pPr>
        <w:tabs>
          <w:tab w:val="num" w:pos="2880"/>
        </w:tabs>
        <w:ind w:left="2880" w:hanging="360"/>
      </w:pPr>
      <w:rPr>
        <w:rFonts w:ascii="Arial" w:hAnsi="Arial" w:hint="default"/>
      </w:rPr>
    </w:lvl>
    <w:lvl w:ilvl="4" w:tplc="C12AF960" w:tentative="1">
      <w:start w:val="1"/>
      <w:numFmt w:val="bullet"/>
      <w:lvlText w:val="•"/>
      <w:lvlJc w:val="left"/>
      <w:pPr>
        <w:tabs>
          <w:tab w:val="num" w:pos="3600"/>
        </w:tabs>
        <w:ind w:left="3600" w:hanging="360"/>
      </w:pPr>
      <w:rPr>
        <w:rFonts w:ascii="Arial" w:hAnsi="Arial" w:hint="default"/>
      </w:rPr>
    </w:lvl>
    <w:lvl w:ilvl="5" w:tplc="73E485E2" w:tentative="1">
      <w:start w:val="1"/>
      <w:numFmt w:val="bullet"/>
      <w:lvlText w:val="•"/>
      <w:lvlJc w:val="left"/>
      <w:pPr>
        <w:tabs>
          <w:tab w:val="num" w:pos="4320"/>
        </w:tabs>
        <w:ind w:left="4320" w:hanging="360"/>
      </w:pPr>
      <w:rPr>
        <w:rFonts w:ascii="Arial" w:hAnsi="Arial" w:hint="default"/>
      </w:rPr>
    </w:lvl>
    <w:lvl w:ilvl="6" w:tplc="C646F6A4" w:tentative="1">
      <w:start w:val="1"/>
      <w:numFmt w:val="bullet"/>
      <w:lvlText w:val="•"/>
      <w:lvlJc w:val="left"/>
      <w:pPr>
        <w:tabs>
          <w:tab w:val="num" w:pos="5040"/>
        </w:tabs>
        <w:ind w:left="5040" w:hanging="360"/>
      </w:pPr>
      <w:rPr>
        <w:rFonts w:ascii="Arial" w:hAnsi="Arial" w:hint="default"/>
      </w:rPr>
    </w:lvl>
    <w:lvl w:ilvl="7" w:tplc="8DD21348" w:tentative="1">
      <w:start w:val="1"/>
      <w:numFmt w:val="bullet"/>
      <w:lvlText w:val="•"/>
      <w:lvlJc w:val="left"/>
      <w:pPr>
        <w:tabs>
          <w:tab w:val="num" w:pos="5760"/>
        </w:tabs>
        <w:ind w:left="5760" w:hanging="360"/>
      </w:pPr>
      <w:rPr>
        <w:rFonts w:ascii="Arial" w:hAnsi="Arial" w:hint="default"/>
      </w:rPr>
    </w:lvl>
    <w:lvl w:ilvl="8" w:tplc="27869E16" w:tentative="1">
      <w:start w:val="1"/>
      <w:numFmt w:val="bullet"/>
      <w:lvlText w:val="•"/>
      <w:lvlJc w:val="left"/>
      <w:pPr>
        <w:tabs>
          <w:tab w:val="num" w:pos="6480"/>
        </w:tabs>
        <w:ind w:left="6480" w:hanging="360"/>
      </w:pPr>
      <w:rPr>
        <w:rFonts w:ascii="Arial" w:hAnsi="Arial" w:hint="default"/>
      </w:rPr>
    </w:lvl>
  </w:abstractNum>
  <w:abstractNum w:abstractNumId="14">
    <w:nsid w:val="61111F94"/>
    <w:multiLevelType w:val="hybridMultilevel"/>
    <w:tmpl w:val="7700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0D3B1C"/>
    <w:multiLevelType w:val="hybridMultilevel"/>
    <w:tmpl w:val="9F92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AB63A2"/>
    <w:multiLevelType w:val="hybridMultilevel"/>
    <w:tmpl w:val="3500BA88"/>
    <w:lvl w:ilvl="0" w:tplc="8612D714">
      <w:start w:val="1"/>
      <w:numFmt w:val="bullet"/>
      <w:lvlText w:val="•"/>
      <w:lvlJc w:val="left"/>
      <w:pPr>
        <w:tabs>
          <w:tab w:val="num" w:pos="720"/>
        </w:tabs>
        <w:ind w:left="720" w:hanging="360"/>
      </w:pPr>
      <w:rPr>
        <w:rFonts w:ascii="Arial" w:hAnsi="Arial" w:hint="default"/>
      </w:rPr>
    </w:lvl>
    <w:lvl w:ilvl="1" w:tplc="A282CEE2" w:tentative="1">
      <w:start w:val="1"/>
      <w:numFmt w:val="bullet"/>
      <w:lvlText w:val="•"/>
      <w:lvlJc w:val="left"/>
      <w:pPr>
        <w:tabs>
          <w:tab w:val="num" w:pos="1440"/>
        </w:tabs>
        <w:ind w:left="1440" w:hanging="360"/>
      </w:pPr>
      <w:rPr>
        <w:rFonts w:ascii="Arial" w:hAnsi="Arial" w:hint="default"/>
      </w:rPr>
    </w:lvl>
    <w:lvl w:ilvl="2" w:tplc="48763800" w:tentative="1">
      <w:start w:val="1"/>
      <w:numFmt w:val="bullet"/>
      <w:lvlText w:val="•"/>
      <w:lvlJc w:val="left"/>
      <w:pPr>
        <w:tabs>
          <w:tab w:val="num" w:pos="2160"/>
        </w:tabs>
        <w:ind w:left="2160" w:hanging="360"/>
      </w:pPr>
      <w:rPr>
        <w:rFonts w:ascii="Arial" w:hAnsi="Arial" w:hint="default"/>
      </w:rPr>
    </w:lvl>
    <w:lvl w:ilvl="3" w:tplc="D2165646" w:tentative="1">
      <w:start w:val="1"/>
      <w:numFmt w:val="bullet"/>
      <w:lvlText w:val="•"/>
      <w:lvlJc w:val="left"/>
      <w:pPr>
        <w:tabs>
          <w:tab w:val="num" w:pos="2880"/>
        </w:tabs>
        <w:ind w:left="2880" w:hanging="360"/>
      </w:pPr>
      <w:rPr>
        <w:rFonts w:ascii="Arial" w:hAnsi="Arial" w:hint="default"/>
      </w:rPr>
    </w:lvl>
    <w:lvl w:ilvl="4" w:tplc="3FA4CD66" w:tentative="1">
      <w:start w:val="1"/>
      <w:numFmt w:val="bullet"/>
      <w:lvlText w:val="•"/>
      <w:lvlJc w:val="left"/>
      <w:pPr>
        <w:tabs>
          <w:tab w:val="num" w:pos="3600"/>
        </w:tabs>
        <w:ind w:left="3600" w:hanging="360"/>
      </w:pPr>
      <w:rPr>
        <w:rFonts w:ascii="Arial" w:hAnsi="Arial" w:hint="default"/>
      </w:rPr>
    </w:lvl>
    <w:lvl w:ilvl="5" w:tplc="5818127C" w:tentative="1">
      <w:start w:val="1"/>
      <w:numFmt w:val="bullet"/>
      <w:lvlText w:val="•"/>
      <w:lvlJc w:val="left"/>
      <w:pPr>
        <w:tabs>
          <w:tab w:val="num" w:pos="4320"/>
        </w:tabs>
        <w:ind w:left="4320" w:hanging="360"/>
      </w:pPr>
      <w:rPr>
        <w:rFonts w:ascii="Arial" w:hAnsi="Arial" w:hint="default"/>
      </w:rPr>
    </w:lvl>
    <w:lvl w:ilvl="6" w:tplc="6D2EDE94" w:tentative="1">
      <w:start w:val="1"/>
      <w:numFmt w:val="bullet"/>
      <w:lvlText w:val="•"/>
      <w:lvlJc w:val="left"/>
      <w:pPr>
        <w:tabs>
          <w:tab w:val="num" w:pos="5040"/>
        </w:tabs>
        <w:ind w:left="5040" w:hanging="360"/>
      </w:pPr>
      <w:rPr>
        <w:rFonts w:ascii="Arial" w:hAnsi="Arial" w:hint="default"/>
      </w:rPr>
    </w:lvl>
    <w:lvl w:ilvl="7" w:tplc="98E03CA6" w:tentative="1">
      <w:start w:val="1"/>
      <w:numFmt w:val="bullet"/>
      <w:lvlText w:val="•"/>
      <w:lvlJc w:val="left"/>
      <w:pPr>
        <w:tabs>
          <w:tab w:val="num" w:pos="5760"/>
        </w:tabs>
        <w:ind w:left="5760" w:hanging="360"/>
      </w:pPr>
      <w:rPr>
        <w:rFonts w:ascii="Arial" w:hAnsi="Arial" w:hint="default"/>
      </w:rPr>
    </w:lvl>
    <w:lvl w:ilvl="8" w:tplc="30768034" w:tentative="1">
      <w:start w:val="1"/>
      <w:numFmt w:val="bullet"/>
      <w:lvlText w:val="•"/>
      <w:lvlJc w:val="left"/>
      <w:pPr>
        <w:tabs>
          <w:tab w:val="num" w:pos="6480"/>
        </w:tabs>
        <w:ind w:left="6480" w:hanging="360"/>
      </w:pPr>
      <w:rPr>
        <w:rFonts w:ascii="Arial" w:hAnsi="Arial" w:hint="default"/>
      </w:rPr>
    </w:lvl>
  </w:abstractNum>
  <w:abstractNum w:abstractNumId="17">
    <w:nsid w:val="704A0813"/>
    <w:multiLevelType w:val="hybridMultilevel"/>
    <w:tmpl w:val="DFD2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1A18AC"/>
    <w:multiLevelType w:val="hybridMultilevel"/>
    <w:tmpl w:val="44E47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8966F67"/>
    <w:multiLevelType w:val="hybridMultilevel"/>
    <w:tmpl w:val="0E8A09B0"/>
    <w:lvl w:ilvl="0" w:tplc="8DF2146C">
      <w:start w:val="2909"/>
      <w:numFmt w:val="bullet"/>
      <w:lvlText w:val="•"/>
      <w:lvlJc w:val="left"/>
      <w:pPr>
        <w:tabs>
          <w:tab w:val="num" w:pos="2520"/>
        </w:tabs>
        <w:ind w:left="252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8"/>
  </w:num>
  <w:num w:numId="3">
    <w:abstractNumId w:val="12"/>
  </w:num>
  <w:num w:numId="4">
    <w:abstractNumId w:val="19"/>
  </w:num>
  <w:num w:numId="5">
    <w:abstractNumId w:val="13"/>
  </w:num>
  <w:num w:numId="6">
    <w:abstractNumId w:val="16"/>
  </w:num>
  <w:num w:numId="7">
    <w:abstractNumId w:val="15"/>
  </w:num>
  <w:num w:numId="8">
    <w:abstractNumId w:val="2"/>
  </w:num>
  <w:num w:numId="9">
    <w:abstractNumId w:val="11"/>
  </w:num>
  <w:num w:numId="10">
    <w:abstractNumId w:val="3"/>
  </w:num>
  <w:num w:numId="11">
    <w:abstractNumId w:val="18"/>
  </w:num>
  <w:num w:numId="12">
    <w:abstractNumId w:val="10"/>
  </w:num>
  <w:num w:numId="13">
    <w:abstractNumId w:val="6"/>
  </w:num>
  <w:num w:numId="14">
    <w:abstractNumId w:val="1"/>
  </w:num>
  <w:num w:numId="15">
    <w:abstractNumId w:val="17"/>
  </w:num>
  <w:num w:numId="16">
    <w:abstractNumId w:val="7"/>
  </w:num>
  <w:num w:numId="17">
    <w:abstractNumId w:val="4"/>
  </w:num>
  <w:num w:numId="18">
    <w:abstractNumId w:val="1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31"/>
    <w:rsid w:val="00052469"/>
    <w:rsid w:val="000619E4"/>
    <w:rsid w:val="000915A0"/>
    <w:rsid w:val="000C5E21"/>
    <w:rsid w:val="00135F28"/>
    <w:rsid w:val="00151D9A"/>
    <w:rsid w:val="001B73F8"/>
    <w:rsid w:val="001F4777"/>
    <w:rsid w:val="002660C0"/>
    <w:rsid w:val="00284A51"/>
    <w:rsid w:val="00287032"/>
    <w:rsid w:val="002A3DB3"/>
    <w:rsid w:val="002A6613"/>
    <w:rsid w:val="002B1ABA"/>
    <w:rsid w:val="002D44F2"/>
    <w:rsid w:val="002E2A97"/>
    <w:rsid w:val="002F0FBA"/>
    <w:rsid w:val="0030300B"/>
    <w:rsid w:val="00355C44"/>
    <w:rsid w:val="00364962"/>
    <w:rsid w:val="0039333C"/>
    <w:rsid w:val="003E2D8F"/>
    <w:rsid w:val="003E52E9"/>
    <w:rsid w:val="003F3894"/>
    <w:rsid w:val="00407B08"/>
    <w:rsid w:val="00437E49"/>
    <w:rsid w:val="004955B3"/>
    <w:rsid w:val="004A0D2E"/>
    <w:rsid w:val="004E26E5"/>
    <w:rsid w:val="00521056"/>
    <w:rsid w:val="00590AAE"/>
    <w:rsid w:val="005E1737"/>
    <w:rsid w:val="005E5349"/>
    <w:rsid w:val="005E74C4"/>
    <w:rsid w:val="00601DAD"/>
    <w:rsid w:val="006030B4"/>
    <w:rsid w:val="00621DE2"/>
    <w:rsid w:val="006224F8"/>
    <w:rsid w:val="00660331"/>
    <w:rsid w:val="00674A86"/>
    <w:rsid w:val="00683CAC"/>
    <w:rsid w:val="0069028D"/>
    <w:rsid w:val="006955EA"/>
    <w:rsid w:val="006D02D6"/>
    <w:rsid w:val="00731ADC"/>
    <w:rsid w:val="007609B1"/>
    <w:rsid w:val="007A7084"/>
    <w:rsid w:val="007A7301"/>
    <w:rsid w:val="00822D68"/>
    <w:rsid w:val="00827BA2"/>
    <w:rsid w:val="008A3F6A"/>
    <w:rsid w:val="008B2FE5"/>
    <w:rsid w:val="008E1179"/>
    <w:rsid w:val="00925D52"/>
    <w:rsid w:val="00944DA2"/>
    <w:rsid w:val="009477D3"/>
    <w:rsid w:val="00971B46"/>
    <w:rsid w:val="009902F5"/>
    <w:rsid w:val="00995E18"/>
    <w:rsid w:val="009A3210"/>
    <w:rsid w:val="009D0A31"/>
    <w:rsid w:val="009F0BA3"/>
    <w:rsid w:val="00A20437"/>
    <w:rsid w:val="00A37ADE"/>
    <w:rsid w:val="00A46001"/>
    <w:rsid w:val="00A460BE"/>
    <w:rsid w:val="00A8420C"/>
    <w:rsid w:val="00AD0872"/>
    <w:rsid w:val="00AE12AE"/>
    <w:rsid w:val="00B06C7B"/>
    <w:rsid w:val="00B6787C"/>
    <w:rsid w:val="00B833E4"/>
    <w:rsid w:val="00BA1313"/>
    <w:rsid w:val="00BE0AE2"/>
    <w:rsid w:val="00C5225B"/>
    <w:rsid w:val="00C80B95"/>
    <w:rsid w:val="00C8779F"/>
    <w:rsid w:val="00C94776"/>
    <w:rsid w:val="00CA3E46"/>
    <w:rsid w:val="00CC2B8A"/>
    <w:rsid w:val="00CF24AC"/>
    <w:rsid w:val="00D014A8"/>
    <w:rsid w:val="00D038B4"/>
    <w:rsid w:val="00D14961"/>
    <w:rsid w:val="00D429ED"/>
    <w:rsid w:val="00D43F59"/>
    <w:rsid w:val="00D85FCC"/>
    <w:rsid w:val="00DA6B4E"/>
    <w:rsid w:val="00DB6CA3"/>
    <w:rsid w:val="00DE653F"/>
    <w:rsid w:val="00DF518C"/>
    <w:rsid w:val="00E02A31"/>
    <w:rsid w:val="00E26036"/>
    <w:rsid w:val="00E374DD"/>
    <w:rsid w:val="00E7690E"/>
    <w:rsid w:val="00ED12A1"/>
    <w:rsid w:val="00ED1908"/>
    <w:rsid w:val="00ED2D67"/>
    <w:rsid w:val="00EF6EC2"/>
    <w:rsid w:val="00EF7BF7"/>
    <w:rsid w:val="00F0161F"/>
    <w:rsid w:val="00F1419A"/>
    <w:rsid w:val="00F3270B"/>
    <w:rsid w:val="00F73C3F"/>
    <w:rsid w:val="00F77C6B"/>
    <w:rsid w:val="00F9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2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A3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A66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E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CA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4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20C"/>
  </w:style>
  <w:style w:type="paragraph" w:styleId="Footer">
    <w:name w:val="footer"/>
    <w:basedOn w:val="Normal"/>
    <w:link w:val="FooterChar"/>
    <w:uiPriority w:val="99"/>
    <w:unhideWhenUsed/>
    <w:rsid w:val="00A84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20C"/>
  </w:style>
  <w:style w:type="paragraph" w:customStyle="1" w:styleId="Default">
    <w:name w:val="Default"/>
    <w:rsid w:val="002D44F2"/>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2">
    <w:name w:val="CM2"/>
    <w:basedOn w:val="Default"/>
    <w:next w:val="Default"/>
    <w:uiPriority w:val="99"/>
    <w:rsid w:val="002D44F2"/>
    <w:pPr>
      <w:spacing w:line="27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2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A3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A66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E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CA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4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20C"/>
  </w:style>
  <w:style w:type="paragraph" w:styleId="Footer">
    <w:name w:val="footer"/>
    <w:basedOn w:val="Normal"/>
    <w:link w:val="FooterChar"/>
    <w:uiPriority w:val="99"/>
    <w:unhideWhenUsed/>
    <w:rsid w:val="00A84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20C"/>
  </w:style>
  <w:style w:type="paragraph" w:customStyle="1" w:styleId="Default">
    <w:name w:val="Default"/>
    <w:rsid w:val="002D44F2"/>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2">
    <w:name w:val="CM2"/>
    <w:basedOn w:val="Default"/>
    <w:next w:val="Default"/>
    <w:uiPriority w:val="99"/>
    <w:rsid w:val="002D44F2"/>
    <w:pPr>
      <w:spacing w:line="2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127">
      <w:bodyDiv w:val="1"/>
      <w:marLeft w:val="0"/>
      <w:marRight w:val="0"/>
      <w:marTop w:val="0"/>
      <w:marBottom w:val="0"/>
      <w:divBdr>
        <w:top w:val="none" w:sz="0" w:space="0" w:color="auto"/>
        <w:left w:val="none" w:sz="0" w:space="0" w:color="auto"/>
        <w:bottom w:val="none" w:sz="0" w:space="0" w:color="auto"/>
        <w:right w:val="none" w:sz="0" w:space="0" w:color="auto"/>
      </w:divBdr>
    </w:div>
    <w:div w:id="32538348">
      <w:bodyDiv w:val="1"/>
      <w:marLeft w:val="0"/>
      <w:marRight w:val="0"/>
      <w:marTop w:val="0"/>
      <w:marBottom w:val="0"/>
      <w:divBdr>
        <w:top w:val="none" w:sz="0" w:space="0" w:color="auto"/>
        <w:left w:val="none" w:sz="0" w:space="0" w:color="auto"/>
        <w:bottom w:val="none" w:sz="0" w:space="0" w:color="auto"/>
        <w:right w:val="none" w:sz="0" w:space="0" w:color="auto"/>
      </w:divBdr>
      <w:divsChild>
        <w:div w:id="2136560170">
          <w:marLeft w:val="547"/>
          <w:marRight w:val="0"/>
          <w:marTop w:val="0"/>
          <w:marBottom w:val="0"/>
          <w:divBdr>
            <w:top w:val="none" w:sz="0" w:space="0" w:color="auto"/>
            <w:left w:val="none" w:sz="0" w:space="0" w:color="auto"/>
            <w:bottom w:val="none" w:sz="0" w:space="0" w:color="auto"/>
            <w:right w:val="none" w:sz="0" w:space="0" w:color="auto"/>
          </w:divBdr>
        </w:div>
        <w:div w:id="2110542727">
          <w:marLeft w:val="547"/>
          <w:marRight w:val="0"/>
          <w:marTop w:val="0"/>
          <w:marBottom w:val="0"/>
          <w:divBdr>
            <w:top w:val="none" w:sz="0" w:space="0" w:color="auto"/>
            <w:left w:val="none" w:sz="0" w:space="0" w:color="auto"/>
            <w:bottom w:val="none" w:sz="0" w:space="0" w:color="auto"/>
            <w:right w:val="none" w:sz="0" w:space="0" w:color="auto"/>
          </w:divBdr>
        </w:div>
      </w:divsChild>
    </w:div>
    <w:div w:id="112024310">
      <w:bodyDiv w:val="1"/>
      <w:marLeft w:val="0"/>
      <w:marRight w:val="0"/>
      <w:marTop w:val="0"/>
      <w:marBottom w:val="0"/>
      <w:divBdr>
        <w:top w:val="none" w:sz="0" w:space="0" w:color="auto"/>
        <w:left w:val="none" w:sz="0" w:space="0" w:color="auto"/>
        <w:bottom w:val="none" w:sz="0" w:space="0" w:color="auto"/>
        <w:right w:val="none" w:sz="0" w:space="0" w:color="auto"/>
      </w:divBdr>
      <w:divsChild>
        <w:div w:id="1138035018">
          <w:marLeft w:val="446"/>
          <w:marRight w:val="0"/>
          <w:marTop w:val="0"/>
          <w:marBottom w:val="0"/>
          <w:divBdr>
            <w:top w:val="none" w:sz="0" w:space="0" w:color="auto"/>
            <w:left w:val="none" w:sz="0" w:space="0" w:color="auto"/>
            <w:bottom w:val="none" w:sz="0" w:space="0" w:color="auto"/>
            <w:right w:val="none" w:sz="0" w:space="0" w:color="auto"/>
          </w:divBdr>
        </w:div>
        <w:div w:id="88936080">
          <w:marLeft w:val="1166"/>
          <w:marRight w:val="0"/>
          <w:marTop w:val="0"/>
          <w:marBottom w:val="0"/>
          <w:divBdr>
            <w:top w:val="none" w:sz="0" w:space="0" w:color="auto"/>
            <w:left w:val="none" w:sz="0" w:space="0" w:color="auto"/>
            <w:bottom w:val="none" w:sz="0" w:space="0" w:color="auto"/>
            <w:right w:val="none" w:sz="0" w:space="0" w:color="auto"/>
          </w:divBdr>
        </w:div>
        <w:div w:id="622158062">
          <w:marLeft w:val="1166"/>
          <w:marRight w:val="0"/>
          <w:marTop w:val="0"/>
          <w:marBottom w:val="0"/>
          <w:divBdr>
            <w:top w:val="none" w:sz="0" w:space="0" w:color="auto"/>
            <w:left w:val="none" w:sz="0" w:space="0" w:color="auto"/>
            <w:bottom w:val="none" w:sz="0" w:space="0" w:color="auto"/>
            <w:right w:val="none" w:sz="0" w:space="0" w:color="auto"/>
          </w:divBdr>
        </w:div>
        <w:div w:id="57169753">
          <w:marLeft w:val="446"/>
          <w:marRight w:val="0"/>
          <w:marTop w:val="0"/>
          <w:marBottom w:val="0"/>
          <w:divBdr>
            <w:top w:val="none" w:sz="0" w:space="0" w:color="auto"/>
            <w:left w:val="none" w:sz="0" w:space="0" w:color="auto"/>
            <w:bottom w:val="none" w:sz="0" w:space="0" w:color="auto"/>
            <w:right w:val="none" w:sz="0" w:space="0" w:color="auto"/>
          </w:divBdr>
        </w:div>
      </w:divsChild>
    </w:div>
    <w:div w:id="286863007">
      <w:bodyDiv w:val="1"/>
      <w:marLeft w:val="0"/>
      <w:marRight w:val="0"/>
      <w:marTop w:val="0"/>
      <w:marBottom w:val="0"/>
      <w:divBdr>
        <w:top w:val="none" w:sz="0" w:space="0" w:color="auto"/>
        <w:left w:val="none" w:sz="0" w:space="0" w:color="auto"/>
        <w:bottom w:val="none" w:sz="0" w:space="0" w:color="auto"/>
        <w:right w:val="none" w:sz="0" w:space="0" w:color="auto"/>
      </w:divBdr>
    </w:div>
    <w:div w:id="735592038">
      <w:bodyDiv w:val="1"/>
      <w:marLeft w:val="0"/>
      <w:marRight w:val="0"/>
      <w:marTop w:val="0"/>
      <w:marBottom w:val="0"/>
      <w:divBdr>
        <w:top w:val="none" w:sz="0" w:space="0" w:color="auto"/>
        <w:left w:val="none" w:sz="0" w:space="0" w:color="auto"/>
        <w:bottom w:val="none" w:sz="0" w:space="0" w:color="auto"/>
        <w:right w:val="none" w:sz="0" w:space="0" w:color="auto"/>
      </w:divBdr>
    </w:div>
    <w:div w:id="816193388">
      <w:bodyDiv w:val="1"/>
      <w:marLeft w:val="0"/>
      <w:marRight w:val="0"/>
      <w:marTop w:val="0"/>
      <w:marBottom w:val="0"/>
      <w:divBdr>
        <w:top w:val="none" w:sz="0" w:space="0" w:color="auto"/>
        <w:left w:val="none" w:sz="0" w:space="0" w:color="auto"/>
        <w:bottom w:val="none" w:sz="0" w:space="0" w:color="auto"/>
        <w:right w:val="none" w:sz="0" w:space="0" w:color="auto"/>
      </w:divBdr>
      <w:divsChild>
        <w:div w:id="193463239">
          <w:marLeft w:val="1166"/>
          <w:marRight w:val="0"/>
          <w:marTop w:val="0"/>
          <w:marBottom w:val="0"/>
          <w:divBdr>
            <w:top w:val="none" w:sz="0" w:space="0" w:color="auto"/>
            <w:left w:val="none" w:sz="0" w:space="0" w:color="auto"/>
            <w:bottom w:val="none" w:sz="0" w:space="0" w:color="auto"/>
            <w:right w:val="none" w:sz="0" w:space="0" w:color="auto"/>
          </w:divBdr>
        </w:div>
        <w:div w:id="702290153">
          <w:marLeft w:val="1166"/>
          <w:marRight w:val="0"/>
          <w:marTop w:val="0"/>
          <w:marBottom w:val="0"/>
          <w:divBdr>
            <w:top w:val="none" w:sz="0" w:space="0" w:color="auto"/>
            <w:left w:val="none" w:sz="0" w:space="0" w:color="auto"/>
            <w:bottom w:val="none" w:sz="0" w:space="0" w:color="auto"/>
            <w:right w:val="none" w:sz="0" w:space="0" w:color="auto"/>
          </w:divBdr>
        </w:div>
      </w:divsChild>
    </w:div>
    <w:div w:id="942762117">
      <w:bodyDiv w:val="1"/>
      <w:marLeft w:val="0"/>
      <w:marRight w:val="0"/>
      <w:marTop w:val="0"/>
      <w:marBottom w:val="0"/>
      <w:divBdr>
        <w:top w:val="none" w:sz="0" w:space="0" w:color="auto"/>
        <w:left w:val="none" w:sz="0" w:space="0" w:color="auto"/>
        <w:bottom w:val="none" w:sz="0" w:space="0" w:color="auto"/>
        <w:right w:val="none" w:sz="0" w:space="0" w:color="auto"/>
      </w:divBdr>
      <w:divsChild>
        <w:div w:id="1232084135">
          <w:marLeft w:val="446"/>
          <w:marRight w:val="0"/>
          <w:marTop w:val="0"/>
          <w:marBottom w:val="0"/>
          <w:divBdr>
            <w:top w:val="none" w:sz="0" w:space="0" w:color="auto"/>
            <w:left w:val="none" w:sz="0" w:space="0" w:color="auto"/>
            <w:bottom w:val="none" w:sz="0" w:space="0" w:color="auto"/>
            <w:right w:val="none" w:sz="0" w:space="0" w:color="auto"/>
          </w:divBdr>
        </w:div>
      </w:divsChild>
    </w:div>
    <w:div w:id="1157963008">
      <w:bodyDiv w:val="1"/>
      <w:marLeft w:val="0"/>
      <w:marRight w:val="0"/>
      <w:marTop w:val="0"/>
      <w:marBottom w:val="0"/>
      <w:divBdr>
        <w:top w:val="none" w:sz="0" w:space="0" w:color="auto"/>
        <w:left w:val="none" w:sz="0" w:space="0" w:color="auto"/>
        <w:bottom w:val="none" w:sz="0" w:space="0" w:color="auto"/>
        <w:right w:val="none" w:sz="0" w:space="0" w:color="auto"/>
      </w:divBdr>
    </w:div>
    <w:div w:id="1313753997">
      <w:bodyDiv w:val="1"/>
      <w:marLeft w:val="0"/>
      <w:marRight w:val="0"/>
      <w:marTop w:val="0"/>
      <w:marBottom w:val="0"/>
      <w:divBdr>
        <w:top w:val="none" w:sz="0" w:space="0" w:color="auto"/>
        <w:left w:val="none" w:sz="0" w:space="0" w:color="auto"/>
        <w:bottom w:val="none" w:sz="0" w:space="0" w:color="auto"/>
        <w:right w:val="none" w:sz="0" w:space="0" w:color="auto"/>
      </w:divBdr>
      <w:divsChild>
        <w:div w:id="1768379537">
          <w:marLeft w:val="1166"/>
          <w:marRight w:val="0"/>
          <w:marTop w:val="0"/>
          <w:marBottom w:val="0"/>
          <w:divBdr>
            <w:top w:val="none" w:sz="0" w:space="0" w:color="auto"/>
            <w:left w:val="none" w:sz="0" w:space="0" w:color="auto"/>
            <w:bottom w:val="none" w:sz="0" w:space="0" w:color="auto"/>
            <w:right w:val="none" w:sz="0" w:space="0" w:color="auto"/>
          </w:divBdr>
        </w:div>
      </w:divsChild>
    </w:div>
    <w:div w:id="1389301922">
      <w:bodyDiv w:val="1"/>
      <w:marLeft w:val="0"/>
      <w:marRight w:val="0"/>
      <w:marTop w:val="0"/>
      <w:marBottom w:val="0"/>
      <w:divBdr>
        <w:top w:val="none" w:sz="0" w:space="0" w:color="auto"/>
        <w:left w:val="none" w:sz="0" w:space="0" w:color="auto"/>
        <w:bottom w:val="none" w:sz="0" w:space="0" w:color="auto"/>
        <w:right w:val="none" w:sz="0" w:space="0" w:color="auto"/>
      </w:divBdr>
    </w:div>
    <w:div w:id="1422799597">
      <w:bodyDiv w:val="1"/>
      <w:marLeft w:val="0"/>
      <w:marRight w:val="0"/>
      <w:marTop w:val="0"/>
      <w:marBottom w:val="0"/>
      <w:divBdr>
        <w:top w:val="none" w:sz="0" w:space="0" w:color="auto"/>
        <w:left w:val="none" w:sz="0" w:space="0" w:color="auto"/>
        <w:bottom w:val="none" w:sz="0" w:space="0" w:color="auto"/>
        <w:right w:val="none" w:sz="0" w:space="0" w:color="auto"/>
      </w:divBdr>
    </w:div>
    <w:div w:id="1573853334">
      <w:bodyDiv w:val="1"/>
      <w:marLeft w:val="0"/>
      <w:marRight w:val="0"/>
      <w:marTop w:val="0"/>
      <w:marBottom w:val="0"/>
      <w:divBdr>
        <w:top w:val="none" w:sz="0" w:space="0" w:color="auto"/>
        <w:left w:val="none" w:sz="0" w:space="0" w:color="auto"/>
        <w:bottom w:val="none" w:sz="0" w:space="0" w:color="auto"/>
        <w:right w:val="none" w:sz="0" w:space="0" w:color="auto"/>
      </w:divBdr>
      <w:divsChild>
        <w:div w:id="1582177318">
          <w:marLeft w:val="1166"/>
          <w:marRight w:val="0"/>
          <w:marTop w:val="0"/>
          <w:marBottom w:val="0"/>
          <w:divBdr>
            <w:top w:val="none" w:sz="0" w:space="0" w:color="auto"/>
            <w:left w:val="none" w:sz="0" w:space="0" w:color="auto"/>
            <w:bottom w:val="none" w:sz="0" w:space="0" w:color="auto"/>
            <w:right w:val="none" w:sz="0" w:space="0" w:color="auto"/>
          </w:divBdr>
        </w:div>
      </w:divsChild>
    </w:div>
    <w:div w:id="1807504145">
      <w:bodyDiv w:val="1"/>
      <w:marLeft w:val="0"/>
      <w:marRight w:val="0"/>
      <w:marTop w:val="0"/>
      <w:marBottom w:val="0"/>
      <w:divBdr>
        <w:top w:val="none" w:sz="0" w:space="0" w:color="auto"/>
        <w:left w:val="none" w:sz="0" w:space="0" w:color="auto"/>
        <w:bottom w:val="none" w:sz="0" w:space="0" w:color="auto"/>
        <w:right w:val="none" w:sz="0" w:space="0" w:color="auto"/>
      </w:divBdr>
    </w:div>
    <w:div w:id="1807697946">
      <w:bodyDiv w:val="1"/>
      <w:marLeft w:val="0"/>
      <w:marRight w:val="0"/>
      <w:marTop w:val="0"/>
      <w:marBottom w:val="0"/>
      <w:divBdr>
        <w:top w:val="none" w:sz="0" w:space="0" w:color="auto"/>
        <w:left w:val="none" w:sz="0" w:space="0" w:color="auto"/>
        <w:bottom w:val="none" w:sz="0" w:space="0" w:color="auto"/>
        <w:right w:val="none" w:sz="0" w:space="0" w:color="auto"/>
      </w:divBdr>
      <w:divsChild>
        <w:div w:id="1484397249">
          <w:marLeft w:val="446"/>
          <w:marRight w:val="0"/>
          <w:marTop w:val="0"/>
          <w:marBottom w:val="0"/>
          <w:divBdr>
            <w:top w:val="none" w:sz="0" w:space="0" w:color="auto"/>
            <w:left w:val="none" w:sz="0" w:space="0" w:color="auto"/>
            <w:bottom w:val="none" w:sz="0" w:space="0" w:color="auto"/>
            <w:right w:val="none" w:sz="0" w:space="0" w:color="auto"/>
          </w:divBdr>
        </w:div>
      </w:divsChild>
    </w:div>
    <w:div w:id="1960798941">
      <w:bodyDiv w:val="1"/>
      <w:marLeft w:val="0"/>
      <w:marRight w:val="0"/>
      <w:marTop w:val="0"/>
      <w:marBottom w:val="0"/>
      <w:divBdr>
        <w:top w:val="none" w:sz="0" w:space="0" w:color="auto"/>
        <w:left w:val="none" w:sz="0" w:space="0" w:color="auto"/>
        <w:bottom w:val="none" w:sz="0" w:space="0" w:color="auto"/>
        <w:right w:val="none" w:sz="0" w:space="0" w:color="auto"/>
      </w:divBdr>
    </w:div>
    <w:div w:id="21306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2252</Words>
  <Characters>12839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Caitlin Collins</cp:lastModifiedBy>
  <cp:revision>2</cp:revision>
  <cp:lastPrinted>2015-05-04T15:25:00Z</cp:lastPrinted>
  <dcterms:created xsi:type="dcterms:W3CDTF">2015-05-05T18:26:00Z</dcterms:created>
  <dcterms:modified xsi:type="dcterms:W3CDTF">2015-05-05T18:26:00Z</dcterms:modified>
</cp:coreProperties>
</file>