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84" w:rsidRPr="00692562" w:rsidRDefault="00692562" w:rsidP="00285F03">
      <w:pPr>
        <w:jc w:val="center"/>
        <w:rPr>
          <w:rFonts w:asciiTheme="majorHAnsi" w:hAnsiTheme="majorHAnsi"/>
          <w:b/>
        </w:rPr>
      </w:pPr>
      <w:bookmarkStart w:id="0" w:name="_GoBack"/>
      <w:bookmarkEnd w:id="0"/>
      <w:r w:rsidRPr="00692562">
        <w:rPr>
          <w:rFonts w:asciiTheme="majorHAnsi" w:hAnsiTheme="majorHAnsi"/>
          <w:b/>
        </w:rPr>
        <w:t>Consumer Workgroup</w:t>
      </w:r>
    </w:p>
    <w:p w:rsidR="00692562" w:rsidRDefault="00692562" w:rsidP="00692562">
      <w:pPr>
        <w:jc w:val="center"/>
        <w:rPr>
          <w:rFonts w:asciiTheme="majorHAnsi" w:hAnsiTheme="majorHAnsi"/>
        </w:rPr>
      </w:pPr>
    </w:p>
    <w:p w:rsidR="00A36284" w:rsidRDefault="00692562" w:rsidP="00285F03">
      <w:pPr>
        <w:jc w:val="center"/>
        <w:rPr>
          <w:rFonts w:asciiTheme="majorHAnsi" w:hAnsiTheme="majorHAnsi"/>
        </w:rPr>
      </w:pPr>
      <w:r w:rsidRPr="00285F03">
        <w:rPr>
          <w:rFonts w:asciiTheme="majorHAnsi" w:hAnsiTheme="majorHAnsi"/>
        </w:rPr>
        <w:t>Interoperability Roadmap Comments Template</w:t>
      </w:r>
    </w:p>
    <w:p w:rsidR="005831D5" w:rsidRPr="00985BD8" w:rsidRDefault="005831D5" w:rsidP="00AB1FCB">
      <w:pPr>
        <w:rPr>
          <w:rFonts w:asciiTheme="majorHAnsi" w:hAnsiTheme="majorHAnsi"/>
        </w:rPr>
      </w:pPr>
    </w:p>
    <w:tbl>
      <w:tblPr>
        <w:tblW w:w="16935" w:type="dxa"/>
        <w:tblInd w:w="93" w:type="dxa"/>
        <w:tblLook w:val="04A0" w:firstRow="1" w:lastRow="0" w:firstColumn="1" w:lastColumn="0" w:noHBand="0" w:noVBand="1"/>
      </w:tblPr>
      <w:tblGrid>
        <w:gridCol w:w="1725"/>
        <w:gridCol w:w="15210"/>
      </w:tblGrid>
      <w:tr w:rsidR="00C2367D" w:rsidRPr="00687E91" w:rsidTr="005460EB">
        <w:trPr>
          <w:trHeight w:val="1160"/>
          <w:tblHeader/>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77BA" w:rsidRPr="00C2367D" w:rsidRDefault="00DD1477" w:rsidP="00C2367D">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Are the actions the right actions to improve interoperability nationwide in the near term while working toward a learning health system in the long term? </w:t>
            </w:r>
          </w:p>
          <w:p w:rsidR="005277BA" w:rsidRPr="00C2367D" w:rsidRDefault="00DD1477" w:rsidP="00C2367D">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What, if any, gaps need to be addressed? </w:t>
            </w:r>
          </w:p>
          <w:p w:rsidR="005277BA" w:rsidRPr="00C2367D" w:rsidRDefault="00DD1477" w:rsidP="00C2367D">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Is the timing of specific actions appropriate? </w:t>
            </w:r>
          </w:p>
          <w:p w:rsidR="00C2367D" w:rsidRPr="00C2367D" w:rsidRDefault="00DD1477" w:rsidP="00C2367D">
            <w:pPr>
              <w:numPr>
                <w:ilvl w:val="0"/>
                <w:numId w:val="21"/>
              </w:numPr>
              <w:rPr>
                <w:rFonts w:ascii="Calibri" w:eastAsia="Times New Roman" w:hAnsi="Calibri" w:cs="Times New Roman"/>
                <w:b/>
                <w:bCs/>
                <w:color w:val="000000"/>
                <w:sz w:val="22"/>
                <w:szCs w:val="22"/>
                <w:u w:val="single"/>
              </w:rPr>
            </w:pPr>
            <w:r w:rsidRPr="00C2367D">
              <w:rPr>
                <w:rFonts w:ascii="Calibri" w:eastAsia="Times New Roman" w:hAnsi="Calibri" w:cs="Times New Roman"/>
                <w:b/>
                <w:bCs/>
                <w:color w:val="000000"/>
                <w:sz w:val="22"/>
                <w:szCs w:val="22"/>
              </w:rPr>
              <w:t>Are the right actors/stakeholders associated with critical actions?</w:t>
            </w:r>
            <w:r w:rsidRPr="00C2367D">
              <w:rPr>
                <w:rFonts w:ascii="Calibri" w:eastAsia="Times New Roman" w:hAnsi="Calibri" w:cs="Times New Roman"/>
                <w:b/>
                <w:bCs/>
                <w:color w:val="000000"/>
                <w:sz w:val="22"/>
                <w:szCs w:val="22"/>
                <w:u w:val="single"/>
              </w:rPr>
              <w:t xml:space="preserve"> </w:t>
            </w:r>
          </w:p>
        </w:tc>
      </w:tr>
      <w:tr w:rsidR="00687E91" w:rsidRPr="00687E91" w:rsidTr="005460EB">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87E91" w:rsidRPr="00C2367D" w:rsidRDefault="00C2367D" w:rsidP="00C2367D">
            <w:p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C1. Cultural change for individuals including demanding and using their electronic health information</w:t>
            </w:r>
          </w:p>
        </w:tc>
      </w:tr>
      <w:tr w:rsidR="00C2367D" w:rsidRPr="00687E91" w:rsidTr="00DA3413">
        <w:trPr>
          <w:trHeight w:val="1520"/>
        </w:trPr>
        <w:tc>
          <w:tcPr>
            <w:tcW w:w="1725" w:type="dxa"/>
            <w:tcBorders>
              <w:top w:val="nil"/>
              <w:left w:val="single" w:sz="4" w:space="0" w:color="auto"/>
              <w:bottom w:val="single" w:sz="4" w:space="0" w:color="auto"/>
              <w:right w:val="single" w:sz="4" w:space="0" w:color="auto"/>
            </w:tcBorders>
            <w:shd w:val="clear" w:color="auto" w:fill="365F91" w:themeFill="accent1" w:themeFillShade="BF"/>
          </w:tcPr>
          <w:p w:rsidR="00C2367D" w:rsidRPr="00DA3413" w:rsidRDefault="00C2367D" w:rsidP="00C2367D">
            <w:pPr>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2015-2017</w:t>
            </w:r>
          </w:p>
          <w:p w:rsidR="00C2367D" w:rsidRPr="00DA3413" w:rsidRDefault="00C2367D" w:rsidP="00C2367D">
            <w:pPr>
              <w:jc w:val="center"/>
              <w:rPr>
                <w:rFonts w:ascii="Calibri" w:eastAsia="Times New Roman" w:hAnsi="Calibri" w:cs="Times New Roman"/>
                <w:b/>
                <w:bCs/>
                <w:color w:val="FFFFFF" w:themeColor="background1"/>
                <w:sz w:val="22"/>
                <w:szCs w:val="22"/>
                <w:u w:val="single"/>
              </w:rPr>
            </w:pPr>
            <w:r w:rsidRPr="00DA3413">
              <w:rPr>
                <w:rFonts w:ascii="Calibri" w:eastAsia="Times New Roman" w:hAnsi="Calibri" w:cs="Times New Roman"/>
                <w:b/>
                <w:bCs/>
                <w:color w:val="FFFFFF" w:themeColor="background1"/>
                <w:sz w:val="22"/>
                <w:szCs w:val="22"/>
              </w:rPr>
              <w:t>Send, receive, find and use a common clinical data set</w:t>
            </w:r>
          </w:p>
        </w:tc>
        <w:tc>
          <w:tcPr>
            <w:tcW w:w="15210" w:type="dxa"/>
            <w:tcBorders>
              <w:top w:val="nil"/>
              <w:left w:val="single" w:sz="4" w:space="0" w:color="auto"/>
              <w:bottom w:val="single" w:sz="4" w:space="0" w:color="auto"/>
              <w:right w:val="single" w:sz="4" w:space="0" w:color="auto"/>
            </w:tcBorders>
            <w:shd w:val="clear" w:color="auto" w:fill="FFFFFF" w:themeFill="background1"/>
          </w:tcPr>
          <w:p w:rsidR="00C2367D" w:rsidRPr="00186D1C" w:rsidRDefault="00C2367D" w:rsidP="00C2367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1. Call to action: A majority of individuals and their caregivers should demand access to their electronic health information in a format they can use to manage their health or that of</w:t>
            </w:r>
            <w:r w:rsidR="000B1BA2">
              <w:rPr>
                <w:rFonts w:ascii="Calibri" w:eastAsia="Times New Roman" w:hAnsi="Calibri" w:cs="Times New Roman"/>
                <w:bCs/>
                <w:color w:val="000000"/>
                <w:sz w:val="22"/>
                <w:szCs w:val="22"/>
              </w:rPr>
              <w:t xml:space="preserve"> others.</w:t>
            </w:r>
          </w:p>
        </w:tc>
      </w:tr>
      <w:tr w:rsidR="00692562" w:rsidRPr="00687E91" w:rsidTr="00DA3413">
        <w:trPr>
          <w:trHeight w:val="1520"/>
        </w:trPr>
        <w:tc>
          <w:tcPr>
            <w:tcW w:w="1725" w:type="dxa"/>
            <w:vMerge w:val="restart"/>
            <w:tcBorders>
              <w:top w:val="nil"/>
              <w:left w:val="single" w:sz="4" w:space="0" w:color="auto"/>
              <w:right w:val="single" w:sz="4" w:space="0" w:color="auto"/>
            </w:tcBorders>
            <w:shd w:val="clear" w:color="auto" w:fill="365F91" w:themeFill="accent1" w:themeFillShade="BF"/>
          </w:tcPr>
          <w:p w:rsidR="00692562" w:rsidRPr="00DA3413" w:rsidRDefault="00692562" w:rsidP="00C2367D">
            <w:pPr>
              <w:jc w:val="center"/>
              <w:rPr>
                <w:rFonts w:ascii="Calibri" w:eastAsia="Times New Roman" w:hAnsi="Calibri" w:cs="Times New Roman"/>
                <w:b/>
                <w:bCs/>
                <w:color w:val="FFFFFF" w:themeColor="background1"/>
                <w:sz w:val="22"/>
                <w:szCs w:val="22"/>
              </w:rPr>
            </w:pPr>
          </w:p>
          <w:p w:rsidR="00692562" w:rsidRPr="00DA3413" w:rsidRDefault="00692562" w:rsidP="00C2367D">
            <w:pPr>
              <w:jc w:val="center"/>
              <w:rPr>
                <w:rFonts w:ascii="Calibri" w:eastAsia="Times New Roman" w:hAnsi="Calibri" w:cs="Times New Roman"/>
                <w:b/>
                <w:bCs/>
                <w:color w:val="FFFFFF" w:themeColor="background1"/>
                <w:sz w:val="22"/>
                <w:szCs w:val="22"/>
              </w:rPr>
            </w:pPr>
          </w:p>
          <w:p w:rsidR="00692562" w:rsidRPr="00DA3413" w:rsidRDefault="00692562" w:rsidP="00DA3413">
            <w:pPr>
              <w:shd w:val="clear" w:color="auto" w:fill="365F91" w:themeFill="accent1" w:themeFillShade="BF"/>
              <w:jc w:val="center"/>
              <w:rPr>
                <w:rFonts w:ascii="Calibri" w:eastAsia="Times New Roman" w:hAnsi="Calibri" w:cs="Times New Roman"/>
                <w:b/>
                <w:bCs/>
                <w:color w:val="FFFFFF" w:themeColor="background1"/>
                <w:sz w:val="22"/>
                <w:szCs w:val="22"/>
              </w:rPr>
            </w:pPr>
          </w:p>
          <w:p w:rsidR="00692562" w:rsidRPr="00DA3413" w:rsidRDefault="00692562" w:rsidP="00DA3413">
            <w:pPr>
              <w:shd w:val="clear" w:color="auto" w:fill="365F91" w:themeFill="accent1" w:themeFillShade="BF"/>
              <w:jc w:val="center"/>
              <w:rPr>
                <w:rFonts w:ascii="Calibri" w:eastAsia="Times New Roman" w:hAnsi="Calibri" w:cs="Times New Roman"/>
                <w:b/>
                <w:bCs/>
                <w:color w:val="FFFFFF" w:themeColor="background1"/>
                <w:sz w:val="22"/>
                <w:szCs w:val="22"/>
              </w:rPr>
            </w:pPr>
          </w:p>
          <w:p w:rsidR="00692562" w:rsidRPr="00DA3413" w:rsidRDefault="00692562" w:rsidP="00DA3413">
            <w:pPr>
              <w:shd w:val="clear" w:color="auto" w:fill="365F91" w:themeFill="accent1" w:themeFillShade="BF"/>
              <w:jc w:val="center"/>
              <w:rPr>
                <w:rFonts w:ascii="Calibri" w:eastAsia="Times New Roman" w:hAnsi="Calibri" w:cs="Times New Roman"/>
                <w:b/>
                <w:bCs/>
                <w:color w:val="FFFFFF" w:themeColor="background1"/>
                <w:sz w:val="22"/>
                <w:szCs w:val="22"/>
              </w:rPr>
            </w:pPr>
          </w:p>
          <w:p w:rsidR="00692562" w:rsidRPr="00DA3413" w:rsidRDefault="00692562" w:rsidP="00DA3413">
            <w:pPr>
              <w:shd w:val="clear" w:color="auto" w:fill="365F91" w:themeFill="accent1" w:themeFillShade="BF"/>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2018-2020</w:t>
            </w:r>
          </w:p>
          <w:p w:rsidR="00692562" w:rsidRPr="00DA3413" w:rsidRDefault="00692562" w:rsidP="00DA3413">
            <w:pPr>
              <w:shd w:val="clear" w:color="auto" w:fill="365F91" w:themeFill="accent1" w:themeFillShade="BF"/>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Expand interoperable health IT and users</w:t>
            </w:r>
          </w:p>
        </w:tc>
        <w:tc>
          <w:tcPr>
            <w:tcW w:w="15210" w:type="dxa"/>
            <w:tcBorders>
              <w:top w:val="nil"/>
              <w:left w:val="single" w:sz="4" w:space="0" w:color="auto"/>
              <w:bottom w:val="single" w:sz="4" w:space="0" w:color="auto"/>
              <w:right w:val="single" w:sz="4" w:space="0" w:color="auto"/>
            </w:tcBorders>
            <w:shd w:val="clear" w:color="auto" w:fill="FFFFFF" w:themeFill="background1"/>
          </w:tcPr>
          <w:p w:rsidR="00692562" w:rsidRPr="00186D1C" w:rsidRDefault="00692562" w:rsidP="00C2367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2. Call to action: An increasing proportion of individuals and caregivers should demand and ask for access to their electronic health information in a format they can use to manage their health or that of others.</w:t>
            </w:r>
          </w:p>
          <w:p w:rsidR="00692562" w:rsidRPr="00186D1C" w:rsidRDefault="00692562" w:rsidP="00C2367D">
            <w:pPr>
              <w:rPr>
                <w:rFonts w:ascii="Calibri" w:eastAsia="Times New Roman" w:hAnsi="Calibri" w:cs="Times New Roman"/>
                <w:bCs/>
                <w:color w:val="000000"/>
                <w:sz w:val="22"/>
                <w:szCs w:val="22"/>
              </w:rPr>
            </w:pPr>
          </w:p>
          <w:p w:rsidR="00692562" w:rsidRPr="00186D1C" w:rsidRDefault="00692562" w:rsidP="00C2367D">
            <w:pPr>
              <w:rPr>
                <w:rFonts w:ascii="Calibri" w:eastAsia="Times New Roman" w:hAnsi="Calibri" w:cs="Times New Roman"/>
                <w:bCs/>
                <w:color w:val="000000"/>
                <w:sz w:val="22"/>
                <w:szCs w:val="22"/>
              </w:rPr>
            </w:pPr>
          </w:p>
          <w:p w:rsidR="00692562" w:rsidRPr="00186D1C" w:rsidRDefault="00692562" w:rsidP="00C2367D">
            <w:pPr>
              <w:rPr>
                <w:rFonts w:ascii="Calibri" w:eastAsia="Times New Roman" w:hAnsi="Calibri" w:cs="Times New Roman"/>
                <w:bCs/>
                <w:color w:val="000000"/>
                <w:sz w:val="22"/>
                <w:szCs w:val="22"/>
              </w:rPr>
            </w:pPr>
          </w:p>
          <w:p w:rsidR="00692562" w:rsidRPr="00186D1C" w:rsidRDefault="00692562" w:rsidP="00C2367D">
            <w:pPr>
              <w:rPr>
                <w:rFonts w:ascii="Calibri" w:eastAsia="Times New Roman" w:hAnsi="Calibri" w:cs="Times New Roman"/>
                <w:bCs/>
                <w:color w:val="000000"/>
                <w:sz w:val="22"/>
                <w:szCs w:val="22"/>
              </w:rPr>
            </w:pPr>
          </w:p>
        </w:tc>
      </w:tr>
      <w:tr w:rsidR="00692562" w:rsidRPr="00687E91" w:rsidTr="00DA3413">
        <w:trPr>
          <w:trHeight w:val="1645"/>
        </w:trPr>
        <w:tc>
          <w:tcPr>
            <w:tcW w:w="1725" w:type="dxa"/>
            <w:vMerge/>
            <w:tcBorders>
              <w:left w:val="single" w:sz="4" w:space="0" w:color="auto"/>
              <w:right w:val="single" w:sz="4" w:space="0" w:color="auto"/>
            </w:tcBorders>
            <w:shd w:val="clear" w:color="auto" w:fill="365F91" w:themeFill="accent1" w:themeFillShade="BF"/>
          </w:tcPr>
          <w:p w:rsidR="00692562" w:rsidRPr="00C2367D" w:rsidRDefault="00692562" w:rsidP="00C2367D">
            <w:pPr>
              <w:jc w:val="center"/>
              <w:rPr>
                <w:rFonts w:ascii="Calibri" w:eastAsia="Times New Roman" w:hAnsi="Calibri" w:cs="Times New Roman"/>
                <w:b/>
                <w:bCs/>
                <w:color w:val="FFFFFF" w:themeColor="background1"/>
                <w:sz w:val="22"/>
                <w:szCs w:val="22"/>
              </w:rPr>
            </w:pPr>
          </w:p>
        </w:tc>
        <w:tc>
          <w:tcPr>
            <w:tcW w:w="15210" w:type="dxa"/>
            <w:tcBorders>
              <w:top w:val="nil"/>
              <w:left w:val="single" w:sz="4" w:space="0" w:color="auto"/>
              <w:bottom w:val="single" w:sz="4" w:space="0" w:color="auto"/>
              <w:right w:val="single" w:sz="4" w:space="0" w:color="auto"/>
            </w:tcBorders>
            <w:shd w:val="clear" w:color="auto" w:fill="FFFFFF" w:themeFill="background1"/>
          </w:tcPr>
          <w:p w:rsidR="00692562" w:rsidRPr="00186D1C" w:rsidRDefault="00692562" w:rsidP="00692562">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3. Call to action: Individuals should contribute clinically relevant patient-generated health data and request corrections to their electronic health information to effectively manage their interactions with the care delivery system and to manage their health and wellness where they live, work and play.</w:t>
            </w:r>
          </w:p>
          <w:p w:rsidR="00692562" w:rsidRPr="00186D1C" w:rsidRDefault="00692562" w:rsidP="00C2367D">
            <w:pPr>
              <w:rPr>
                <w:rFonts w:ascii="Calibri" w:eastAsia="Times New Roman" w:hAnsi="Calibri" w:cs="Times New Roman"/>
                <w:bCs/>
                <w:color w:val="000000"/>
                <w:sz w:val="22"/>
                <w:szCs w:val="22"/>
                <w:u w:val="single"/>
              </w:rPr>
            </w:pPr>
          </w:p>
        </w:tc>
      </w:tr>
      <w:tr w:rsidR="00692562" w:rsidRPr="00687E91" w:rsidTr="00DA3413">
        <w:trPr>
          <w:trHeight w:val="1645"/>
        </w:trPr>
        <w:tc>
          <w:tcPr>
            <w:tcW w:w="1725" w:type="dxa"/>
            <w:vMerge/>
            <w:tcBorders>
              <w:left w:val="single" w:sz="4" w:space="0" w:color="auto"/>
              <w:bottom w:val="single" w:sz="4" w:space="0" w:color="auto"/>
              <w:right w:val="single" w:sz="4" w:space="0" w:color="auto"/>
            </w:tcBorders>
            <w:shd w:val="clear" w:color="auto" w:fill="365F91" w:themeFill="accent1" w:themeFillShade="BF"/>
          </w:tcPr>
          <w:p w:rsidR="00692562" w:rsidRPr="00C2367D" w:rsidRDefault="00692562" w:rsidP="00C2367D">
            <w:pPr>
              <w:jc w:val="center"/>
              <w:rPr>
                <w:rFonts w:ascii="Calibri" w:eastAsia="Times New Roman" w:hAnsi="Calibri" w:cs="Times New Roman"/>
                <w:b/>
                <w:bCs/>
                <w:color w:val="FFFFFF" w:themeColor="background1"/>
                <w:sz w:val="22"/>
                <w:szCs w:val="22"/>
              </w:rPr>
            </w:pPr>
          </w:p>
        </w:tc>
        <w:tc>
          <w:tcPr>
            <w:tcW w:w="15210" w:type="dxa"/>
            <w:tcBorders>
              <w:top w:val="nil"/>
              <w:left w:val="single" w:sz="4" w:space="0" w:color="auto"/>
              <w:bottom w:val="single" w:sz="4" w:space="0" w:color="auto"/>
              <w:right w:val="single" w:sz="4" w:space="0" w:color="auto"/>
            </w:tcBorders>
            <w:shd w:val="clear" w:color="auto" w:fill="FFFFFF" w:themeFill="background1"/>
          </w:tcPr>
          <w:p w:rsidR="00692562" w:rsidRPr="00186D1C" w:rsidRDefault="00692562" w:rsidP="00C2367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4. Call to action: Individuals and their extended care teams (including family and caregivers) should utilize care planning to capture individual goals and preferences as part of longitudinal health information used across care settings.</w:t>
            </w:r>
          </w:p>
        </w:tc>
      </w:tr>
      <w:tr w:rsidR="00C2367D" w:rsidRPr="00687E91" w:rsidTr="00DA3413">
        <w:trPr>
          <w:trHeight w:val="116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692562" w:rsidRPr="00DA3413" w:rsidRDefault="00692562" w:rsidP="00692562">
            <w:pPr>
              <w:jc w:val="center"/>
              <w:rPr>
                <w:rFonts w:ascii="Calibri" w:eastAsia="Times New Roman" w:hAnsi="Calibri" w:cs="Times New Roman"/>
                <w:bCs/>
                <w:color w:val="FFFFFF" w:themeColor="background1"/>
                <w:sz w:val="22"/>
                <w:szCs w:val="22"/>
              </w:rPr>
            </w:pPr>
          </w:p>
          <w:p w:rsidR="00692562" w:rsidRPr="00DA3413" w:rsidRDefault="00692562" w:rsidP="00692562">
            <w:pPr>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2021-2024</w:t>
            </w:r>
          </w:p>
          <w:p w:rsidR="00C2367D" w:rsidRPr="00186D1C" w:rsidRDefault="00692562" w:rsidP="00692562">
            <w:pPr>
              <w:jc w:val="center"/>
              <w:rPr>
                <w:rFonts w:ascii="Calibri" w:eastAsia="Times New Roman" w:hAnsi="Calibri" w:cs="Times New Roman"/>
                <w:bCs/>
                <w:color w:val="FFFFFF" w:themeColor="background1"/>
                <w:sz w:val="22"/>
                <w:szCs w:val="22"/>
              </w:rPr>
            </w:pPr>
            <w:r w:rsidRPr="00DA3413">
              <w:rPr>
                <w:rFonts w:ascii="Calibri" w:eastAsia="Times New Roman" w:hAnsi="Calibri" w:cs="Times New Roman"/>
                <w:b/>
                <w:bCs/>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C2367D" w:rsidRPr="00186D1C" w:rsidRDefault="00692562" w:rsidP="00B45E00">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5. Call to action: Individuals should regularly access and contribute to their health information in health IT, send and receive electronic health information through a variety of emerging technologies and use the information to manage  and participate in shared decision making with their care team.</w:t>
            </w:r>
          </w:p>
        </w:tc>
      </w:tr>
      <w:tr w:rsidR="00006A2D" w:rsidRPr="00687E91" w:rsidTr="005460EB">
        <w:trPr>
          <w:trHeight w:val="36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6A2D" w:rsidRPr="00476A40" w:rsidRDefault="00006A2D" w:rsidP="00006A2D">
            <w:pPr>
              <w:rPr>
                <w:rFonts w:ascii="Calibri" w:eastAsia="Times New Roman" w:hAnsi="Calibri" w:cs="Times New Roman"/>
                <w:b/>
                <w:bCs/>
                <w:color w:val="000000"/>
                <w:sz w:val="22"/>
                <w:szCs w:val="22"/>
              </w:rPr>
            </w:pPr>
            <w:r w:rsidRPr="00476A40">
              <w:rPr>
                <w:rFonts w:ascii="Calibri" w:eastAsia="Times New Roman" w:hAnsi="Calibri" w:cs="Times New Roman"/>
                <w:b/>
                <w:bCs/>
                <w:color w:val="000000"/>
                <w:sz w:val="22"/>
                <w:szCs w:val="22"/>
              </w:rPr>
              <w:t>C2. Providers and technology developers supporting individual empowerment</w:t>
            </w:r>
          </w:p>
        </w:tc>
      </w:tr>
      <w:tr w:rsidR="00006A2D" w:rsidRPr="00687E91" w:rsidTr="00DA3413">
        <w:trPr>
          <w:trHeight w:val="99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06A2D" w:rsidRPr="00DA3413" w:rsidRDefault="00006A2D" w:rsidP="00006A2D">
            <w:pPr>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2015-2017</w:t>
            </w:r>
          </w:p>
          <w:p w:rsidR="00006A2D" w:rsidRPr="00DA3413" w:rsidRDefault="00006A2D"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r w:rsidRPr="00DA3413">
              <w:rPr>
                <w:rFonts w:ascii="Calibri" w:eastAsia="Times New Roman" w:hAnsi="Calibri" w:cs="Times New Roman"/>
                <w:b/>
                <w:bCs/>
                <w:color w:val="FFFFFF" w:themeColor="background1"/>
                <w:sz w:val="22"/>
                <w:szCs w:val="22"/>
              </w:rPr>
              <w:t>Send, receive, find and use a 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A2D" w:rsidRPr="00186D1C" w:rsidRDefault="00006A2D" w:rsidP="00006A2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1. ONC, government and the industry will identify best practices for the incorporation of patient-generated health data in health care delivery.</w:t>
            </w:r>
          </w:p>
        </w:tc>
      </w:tr>
      <w:tr w:rsidR="00006A2D" w:rsidRPr="00687E91" w:rsidTr="00DA3413">
        <w:trPr>
          <w:trHeight w:val="11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06A2D" w:rsidRPr="00006A2D" w:rsidRDefault="00006A2D" w:rsidP="00006A2D">
            <w:pPr>
              <w:jc w:val="center"/>
              <w:rPr>
                <w:rFonts w:ascii="Calibri" w:eastAsia="Times New Roman" w:hAnsi="Calibri" w:cs="Times New Roman"/>
                <w:b/>
                <w:bCs/>
                <w:color w:val="000000"/>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A2D" w:rsidRPr="00186D1C" w:rsidRDefault="00006A2D" w:rsidP="00006A2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2. Call to action: Providers should encourage their patients to access their health information online and will enable patients to view, download and transmit that information to a destination of the patient’s choice.</w:t>
            </w:r>
          </w:p>
        </w:tc>
      </w:tr>
      <w:tr w:rsidR="00006A2D" w:rsidRPr="00687E91" w:rsidTr="00DA3413">
        <w:trPr>
          <w:trHeight w:val="11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06A2D" w:rsidRPr="00006A2D" w:rsidRDefault="00006A2D" w:rsidP="00006A2D">
            <w:pPr>
              <w:jc w:val="center"/>
              <w:rPr>
                <w:rFonts w:ascii="Calibri" w:eastAsia="Times New Roman" w:hAnsi="Calibri" w:cs="Times New Roman"/>
                <w:b/>
                <w:bCs/>
                <w:color w:val="000000"/>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A2D" w:rsidRPr="00186D1C" w:rsidRDefault="00006A2D" w:rsidP="00006A2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3. Call to action: Providers and technology developers should provide a majority of individuals with the ability to send and receive their health information and make decisions with the providers of their choice, including but not limited to their existing care team based on their preferences.</w:t>
            </w:r>
          </w:p>
        </w:tc>
      </w:tr>
      <w:tr w:rsidR="00006A2D" w:rsidRPr="00687E91" w:rsidTr="00DA3413">
        <w:trPr>
          <w:trHeight w:val="11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06A2D" w:rsidRPr="00006A2D" w:rsidRDefault="00006A2D" w:rsidP="00006A2D">
            <w:pPr>
              <w:jc w:val="center"/>
              <w:rPr>
                <w:rFonts w:ascii="Calibri" w:eastAsia="Times New Roman" w:hAnsi="Calibri" w:cs="Times New Roman"/>
                <w:b/>
                <w:bCs/>
                <w:color w:val="000000"/>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A2D" w:rsidRPr="00186D1C" w:rsidRDefault="00006A2D" w:rsidP="00006A2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4. ONC will work with the technology community to increase the use of Blue Button through implementation of a portfolio of standards to support consistency in the way that individuals receive information.</w:t>
            </w:r>
          </w:p>
        </w:tc>
      </w:tr>
      <w:tr w:rsidR="00006A2D" w:rsidRPr="00687E91" w:rsidTr="00DA3413">
        <w:trPr>
          <w:trHeight w:val="11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06A2D" w:rsidRPr="00006A2D" w:rsidRDefault="00006A2D" w:rsidP="00006A2D">
            <w:pPr>
              <w:jc w:val="center"/>
              <w:rPr>
                <w:rFonts w:ascii="Calibri" w:eastAsia="Times New Roman" w:hAnsi="Calibri" w:cs="Times New Roman"/>
                <w:b/>
                <w:bCs/>
                <w:color w:val="000000"/>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A2D" w:rsidRPr="00186D1C" w:rsidRDefault="00006A2D" w:rsidP="00006A2D">
            <w:pPr>
              <w:rPr>
                <w:rFonts w:ascii="Calibri" w:eastAsia="Times New Roman" w:hAnsi="Calibri" w:cs="Times New Roman"/>
                <w:bCs/>
                <w:color w:val="000000"/>
                <w:sz w:val="22"/>
                <w:szCs w:val="22"/>
              </w:rPr>
            </w:pPr>
            <w:r w:rsidRPr="00186D1C">
              <w:rPr>
                <w:rFonts w:ascii="Calibri" w:eastAsia="Times New Roman" w:hAnsi="Calibri" w:cs="Times New Roman"/>
                <w:bCs/>
                <w:color w:val="000000"/>
                <w:sz w:val="22"/>
                <w:szCs w:val="22"/>
              </w:rPr>
              <w:t>5. ONC and government ensure that patients understand their ability to access, send and receive health information.</w:t>
            </w:r>
          </w:p>
          <w:p w:rsidR="00285151" w:rsidRPr="00186D1C" w:rsidRDefault="00285151" w:rsidP="00006A2D">
            <w:pPr>
              <w:rPr>
                <w:rFonts w:ascii="Calibri" w:eastAsia="Times New Roman" w:hAnsi="Calibri" w:cs="Times New Roman"/>
                <w:bCs/>
                <w:color w:val="000000"/>
                <w:sz w:val="22"/>
                <w:szCs w:val="22"/>
              </w:rPr>
            </w:pPr>
          </w:p>
          <w:p w:rsidR="00285151" w:rsidRPr="00186D1C" w:rsidRDefault="00285151" w:rsidP="00006A2D">
            <w:pPr>
              <w:rPr>
                <w:rFonts w:ascii="Calibri" w:eastAsia="Times New Roman" w:hAnsi="Calibri" w:cs="Times New Roman"/>
                <w:bCs/>
                <w:color w:val="000000"/>
                <w:sz w:val="22"/>
                <w:szCs w:val="22"/>
              </w:rPr>
            </w:pPr>
          </w:p>
          <w:p w:rsidR="00285151" w:rsidRPr="00186D1C" w:rsidRDefault="00285151" w:rsidP="00006A2D">
            <w:pPr>
              <w:rPr>
                <w:rFonts w:ascii="Calibri" w:eastAsia="Times New Roman" w:hAnsi="Calibri" w:cs="Times New Roman"/>
                <w:bCs/>
                <w:color w:val="000000"/>
                <w:sz w:val="22"/>
                <w:szCs w:val="22"/>
              </w:rPr>
            </w:pPr>
          </w:p>
          <w:p w:rsidR="00285151" w:rsidRPr="00186D1C" w:rsidRDefault="00285151" w:rsidP="00006A2D">
            <w:pPr>
              <w:rPr>
                <w:rFonts w:ascii="Calibri" w:eastAsia="Times New Roman" w:hAnsi="Calibri" w:cs="Times New Roman"/>
                <w:bCs/>
                <w:color w:val="000000"/>
                <w:sz w:val="22"/>
                <w:szCs w:val="22"/>
              </w:rPr>
            </w:pPr>
          </w:p>
          <w:p w:rsidR="00285151" w:rsidRPr="00186D1C" w:rsidRDefault="00285151" w:rsidP="00006A2D">
            <w:pPr>
              <w:rPr>
                <w:rFonts w:ascii="Calibri" w:eastAsia="Times New Roman" w:hAnsi="Calibri" w:cs="Times New Roman"/>
                <w:bCs/>
                <w:color w:val="000000"/>
                <w:sz w:val="22"/>
                <w:szCs w:val="22"/>
              </w:rPr>
            </w:pPr>
          </w:p>
          <w:p w:rsidR="00285151" w:rsidRPr="00186D1C" w:rsidRDefault="00285151" w:rsidP="00006A2D">
            <w:pPr>
              <w:rPr>
                <w:rFonts w:ascii="Calibri" w:eastAsia="Times New Roman" w:hAnsi="Calibri" w:cs="Times New Roman"/>
                <w:bCs/>
                <w:color w:val="000000"/>
                <w:sz w:val="22"/>
                <w:szCs w:val="22"/>
              </w:rPr>
            </w:pPr>
          </w:p>
        </w:tc>
      </w:tr>
      <w:tr w:rsidR="00285151" w:rsidRPr="00687E91" w:rsidTr="00DA3413">
        <w:trPr>
          <w:trHeight w:val="116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85151" w:rsidRPr="00DA3413" w:rsidRDefault="00285151" w:rsidP="00285151">
            <w:pPr>
              <w:jc w:val="center"/>
              <w:rPr>
                <w:rFonts w:ascii="Calibri" w:eastAsia="Times New Roman" w:hAnsi="Calibri" w:cs="Times New Roman"/>
                <w:b/>
                <w:bCs/>
                <w:color w:val="FFFFFF" w:themeColor="background1"/>
                <w:sz w:val="22"/>
                <w:szCs w:val="22"/>
                <w:u w:val="single"/>
              </w:rPr>
            </w:pP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rPr>
            </w:pPr>
            <w:r w:rsidRPr="00DA3413">
              <w:rPr>
                <w:rFonts w:ascii="Calibri" w:eastAsia="Times New Roman" w:hAnsi="Calibri" w:cs="Times New Roman"/>
                <w:b/>
                <w:bCs/>
                <w:color w:val="FFFFFF" w:themeColor="background1"/>
                <w:sz w:val="22"/>
                <w:szCs w:val="22"/>
              </w:rPr>
              <w:t xml:space="preserve">2018-2020 </w:t>
            </w:r>
          </w:p>
          <w:p w:rsidR="00285151" w:rsidRPr="00DA3413" w:rsidRDefault="00285151" w:rsidP="00DA3413">
            <w:pPr>
              <w:shd w:val="clear" w:color="auto" w:fill="365F91" w:themeFill="accent1" w:themeFillShade="BF"/>
              <w:jc w:val="center"/>
              <w:rPr>
                <w:rFonts w:ascii="Calibri" w:eastAsia="Times New Roman" w:hAnsi="Calibri" w:cs="Times New Roman"/>
                <w:b/>
                <w:bCs/>
                <w:color w:val="FFFFFF" w:themeColor="background1"/>
                <w:sz w:val="22"/>
                <w:szCs w:val="22"/>
                <w:u w:val="single"/>
              </w:rPr>
            </w:pPr>
            <w:r w:rsidRPr="00DA3413">
              <w:rPr>
                <w:rFonts w:ascii="Calibri" w:eastAsia="Times New Roman" w:hAnsi="Calibri" w:cs="Times New Roman"/>
                <w:b/>
                <w:bCs/>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285151" w:rsidRPr="00186D1C" w:rsidRDefault="00285151" w:rsidP="00263F3C">
            <w:pPr>
              <w:rPr>
                <w:rFonts w:asciiTheme="majorHAnsi" w:hAnsiTheme="majorHAnsi"/>
                <w:sz w:val="22"/>
                <w:szCs w:val="22"/>
              </w:rPr>
            </w:pPr>
            <w:r w:rsidRPr="00186D1C">
              <w:rPr>
                <w:rFonts w:asciiTheme="majorHAnsi" w:hAnsiTheme="majorHAnsi"/>
                <w:sz w:val="22"/>
                <w:szCs w:val="22"/>
              </w:rPr>
              <w:t>6. Call to action: Providers and technology developers should support the incorporation of patient-generated health data in health care delivery, which may include advance directives, remote monitoring, glucose levels and other data individuals are tracking</w:t>
            </w:r>
          </w:p>
        </w:tc>
      </w:tr>
      <w:tr w:rsidR="00285151" w:rsidRPr="00687E91" w:rsidTr="00DA3413">
        <w:trPr>
          <w:trHeight w:val="1565"/>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85151" w:rsidRPr="00DA3413" w:rsidRDefault="00285151" w:rsidP="00285151">
            <w:pPr>
              <w:jc w:val="center"/>
              <w:rPr>
                <w:rFonts w:ascii="Calibri" w:eastAsia="Times New Roman" w:hAnsi="Calibri" w:cs="Times New Roman"/>
                <w:b/>
                <w:bCs/>
                <w:color w:val="FFFFFF" w:themeColor="background1"/>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285151" w:rsidRPr="00186D1C" w:rsidRDefault="00285151" w:rsidP="00263F3C">
            <w:pPr>
              <w:rPr>
                <w:rFonts w:asciiTheme="majorHAnsi" w:hAnsiTheme="majorHAnsi"/>
                <w:sz w:val="22"/>
                <w:szCs w:val="22"/>
              </w:rPr>
            </w:pPr>
            <w:r w:rsidRPr="00186D1C">
              <w:rPr>
                <w:rFonts w:asciiTheme="majorHAnsi" w:hAnsiTheme="majorHAnsi"/>
                <w:sz w:val="22"/>
                <w:szCs w:val="22"/>
              </w:rPr>
              <w:t>7. Call to action: Technology developers should deploy innovative aggregation platforms and tools that allow individuals and caregivers to receive and compile health information from multiple sources in one place, send their data to a destination of their choice and find and use the information they need (as determined by the individual), to support for example, the individual participating in shared decision-making with their care team.</w:t>
            </w:r>
          </w:p>
        </w:tc>
      </w:tr>
      <w:tr w:rsidR="00285151" w:rsidRPr="00687E91" w:rsidTr="00DA3413">
        <w:trPr>
          <w:trHeight w:val="1475"/>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85151" w:rsidRPr="00DA3413" w:rsidRDefault="00285151" w:rsidP="00285151">
            <w:pPr>
              <w:jc w:val="center"/>
              <w:rPr>
                <w:rFonts w:ascii="Calibri" w:eastAsia="Times New Roman" w:hAnsi="Calibri" w:cs="Times New Roman"/>
                <w:b/>
                <w:bCs/>
                <w:color w:val="FFFFFF" w:themeColor="background1"/>
                <w:sz w:val="22"/>
                <w:szCs w:val="22"/>
                <w:u w:val="single"/>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285151" w:rsidRPr="00186D1C" w:rsidRDefault="00285151" w:rsidP="00263F3C">
            <w:pPr>
              <w:rPr>
                <w:rFonts w:asciiTheme="majorHAnsi" w:hAnsiTheme="majorHAnsi"/>
                <w:sz w:val="22"/>
                <w:szCs w:val="22"/>
              </w:rPr>
            </w:pPr>
            <w:r w:rsidRPr="00186D1C">
              <w:rPr>
                <w:rFonts w:asciiTheme="majorHAnsi" w:hAnsiTheme="majorHAnsi"/>
                <w:sz w:val="22"/>
                <w:szCs w:val="22"/>
              </w:rPr>
              <w:t xml:space="preserve">8. Call to action: Providers should welcome and use information from other providers to avoid duplication of tests and ensure coordinated care. </w:t>
            </w:r>
          </w:p>
        </w:tc>
      </w:tr>
      <w:tr w:rsidR="00285151" w:rsidRPr="00687E91" w:rsidTr="00DA3413">
        <w:trPr>
          <w:trHeight w:val="1475"/>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85151" w:rsidRPr="00DA3413" w:rsidRDefault="00285151" w:rsidP="00285151">
            <w:pPr>
              <w:jc w:val="center"/>
              <w:rPr>
                <w:rFonts w:asciiTheme="majorHAnsi" w:hAnsiTheme="majorHAnsi"/>
                <w:b/>
                <w:color w:val="FFFFFF" w:themeColor="background1"/>
                <w:sz w:val="22"/>
                <w:szCs w:val="22"/>
              </w:rPr>
            </w:pPr>
          </w:p>
          <w:p w:rsidR="00285151" w:rsidRPr="00DA3413" w:rsidRDefault="00285151"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285151" w:rsidRPr="00DA3413" w:rsidRDefault="00285151"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a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285151" w:rsidRDefault="008D7397" w:rsidP="00263F3C">
            <w:pPr>
              <w:rPr>
                <w:rFonts w:asciiTheme="majorHAnsi" w:hAnsiTheme="majorHAnsi"/>
                <w:sz w:val="22"/>
                <w:szCs w:val="22"/>
              </w:rPr>
            </w:pPr>
            <w:r w:rsidRPr="00186D1C">
              <w:rPr>
                <w:rFonts w:asciiTheme="majorHAnsi" w:hAnsiTheme="majorHAnsi"/>
                <w:sz w:val="22"/>
                <w:szCs w:val="22"/>
              </w:rPr>
              <w:t>9. Call to action: Providers and health IT developers should provide a majority of individuals/caregivers the ability to contribute as needed to their electronic health information and support the incorporation of patient-generated health data.</w:t>
            </w: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Default="0008554C" w:rsidP="00263F3C">
            <w:pPr>
              <w:rPr>
                <w:rFonts w:asciiTheme="majorHAnsi" w:hAnsiTheme="majorHAnsi"/>
                <w:sz w:val="22"/>
                <w:szCs w:val="22"/>
              </w:rPr>
            </w:pPr>
          </w:p>
          <w:p w:rsidR="0008554C" w:rsidRPr="00186D1C" w:rsidRDefault="0008554C" w:rsidP="00263F3C">
            <w:pPr>
              <w:rPr>
                <w:rFonts w:asciiTheme="majorHAnsi" w:hAnsiTheme="majorHAnsi"/>
                <w:sz w:val="22"/>
                <w:szCs w:val="22"/>
              </w:rPr>
            </w:pPr>
          </w:p>
        </w:tc>
      </w:tr>
      <w:tr w:rsidR="008D7397" w:rsidRPr="00687E91" w:rsidTr="005460EB">
        <w:trPr>
          <w:trHeight w:val="485"/>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7397" w:rsidRPr="008D7397" w:rsidRDefault="008D7397" w:rsidP="008D7397">
            <w:pPr>
              <w:rPr>
                <w:rFonts w:asciiTheme="majorHAnsi" w:hAnsiTheme="majorHAnsi"/>
                <w:b/>
                <w:sz w:val="22"/>
                <w:szCs w:val="22"/>
              </w:rPr>
            </w:pPr>
            <w:r>
              <w:rPr>
                <w:rFonts w:asciiTheme="majorHAnsi" w:hAnsiTheme="majorHAnsi"/>
                <w:b/>
                <w:sz w:val="22"/>
                <w:szCs w:val="22"/>
              </w:rPr>
              <w:lastRenderedPageBreak/>
              <w:t>C3. Privacy and Security for I</w:t>
            </w:r>
            <w:r w:rsidRPr="008D7397">
              <w:rPr>
                <w:rFonts w:asciiTheme="majorHAnsi" w:hAnsiTheme="majorHAnsi"/>
                <w:b/>
                <w:sz w:val="22"/>
                <w:szCs w:val="22"/>
              </w:rPr>
              <w:t>ndividuals</w:t>
            </w:r>
          </w:p>
        </w:tc>
      </w:tr>
      <w:tr w:rsidR="008D7397" w:rsidRPr="00687E91" w:rsidTr="0008554C">
        <w:trPr>
          <w:trHeight w:val="1385"/>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8D7397" w:rsidRPr="00DA3413" w:rsidRDefault="008D7397" w:rsidP="008D7397">
            <w:pPr>
              <w:jc w:val="center"/>
              <w:rPr>
                <w:rFonts w:asciiTheme="majorHAnsi" w:hAnsiTheme="majorHAnsi"/>
                <w:b/>
                <w:color w:val="FFFFFF" w:themeColor="background1"/>
                <w:sz w:val="22"/>
                <w:szCs w:val="22"/>
              </w:rPr>
            </w:pPr>
          </w:p>
          <w:p w:rsidR="008D7397" w:rsidRPr="00DA3413" w:rsidRDefault="008D7397" w:rsidP="008D7397">
            <w:pPr>
              <w:jc w:val="center"/>
              <w:rPr>
                <w:rFonts w:asciiTheme="majorHAnsi" w:hAnsiTheme="majorHAnsi"/>
                <w:b/>
                <w:color w:val="FFFFFF" w:themeColor="background1"/>
                <w:sz w:val="22"/>
                <w:szCs w:val="22"/>
              </w:rPr>
            </w:pPr>
          </w:p>
          <w:p w:rsidR="008D7397" w:rsidRPr="00DA3413" w:rsidRDefault="008D7397" w:rsidP="008D7397">
            <w:pPr>
              <w:jc w:val="center"/>
              <w:rPr>
                <w:rFonts w:asciiTheme="majorHAnsi" w:hAnsiTheme="majorHAnsi"/>
                <w:b/>
                <w:color w:val="FFFFFF" w:themeColor="background1"/>
                <w:sz w:val="22"/>
                <w:szCs w:val="22"/>
              </w:rPr>
            </w:pPr>
          </w:p>
          <w:p w:rsidR="008D7397" w:rsidRPr="00DA3413" w:rsidRDefault="008D7397" w:rsidP="008D7397">
            <w:pPr>
              <w:jc w:val="center"/>
              <w:rPr>
                <w:rFonts w:asciiTheme="majorHAnsi" w:hAnsiTheme="majorHAnsi"/>
                <w:b/>
                <w:color w:val="FFFFFF" w:themeColor="background1"/>
                <w:sz w:val="22"/>
                <w:szCs w:val="22"/>
              </w:rPr>
            </w:pPr>
          </w:p>
          <w:p w:rsidR="008D7397" w:rsidRPr="00DA3413" w:rsidRDefault="008D73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8D7397" w:rsidRPr="00DA3413" w:rsidRDefault="008D73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Send, receive, find and use a</w:t>
            </w:r>
          </w:p>
          <w:p w:rsidR="008D7397" w:rsidRPr="00DA3413" w:rsidRDefault="008D73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7397" w:rsidRPr="00186D1C" w:rsidRDefault="008D7397" w:rsidP="008D7397">
            <w:pPr>
              <w:rPr>
                <w:rFonts w:asciiTheme="majorHAnsi" w:hAnsiTheme="majorHAnsi"/>
                <w:sz w:val="22"/>
                <w:szCs w:val="22"/>
              </w:rPr>
            </w:pPr>
            <w:r w:rsidRPr="00186D1C">
              <w:rPr>
                <w:rFonts w:asciiTheme="majorHAnsi" w:hAnsiTheme="majorHAnsi"/>
                <w:sz w:val="22"/>
                <w:szCs w:val="22"/>
              </w:rPr>
              <w:t>1. Call to action: Public and private sector stakeholders should assess whether people understand how to safeguard their health information and the need for resources related to this topic.</w:t>
            </w:r>
          </w:p>
          <w:p w:rsidR="008D7397" w:rsidRPr="00186D1C" w:rsidRDefault="008D7397" w:rsidP="008D7397">
            <w:pPr>
              <w:rPr>
                <w:rFonts w:asciiTheme="majorHAnsi" w:hAnsiTheme="majorHAnsi"/>
                <w:sz w:val="22"/>
                <w:szCs w:val="22"/>
              </w:rPr>
            </w:pPr>
          </w:p>
          <w:p w:rsidR="008D7397" w:rsidRPr="00186D1C" w:rsidRDefault="008D7397" w:rsidP="008D7397">
            <w:pPr>
              <w:rPr>
                <w:rFonts w:asciiTheme="majorHAnsi" w:hAnsiTheme="majorHAnsi"/>
                <w:sz w:val="22"/>
                <w:szCs w:val="22"/>
              </w:rPr>
            </w:pPr>
          </w:p>
        </w:tc>
      </w:tr>
      <w:tr w:rsidR="008D7397" w:rsidRPr="00687E91" w:rsidTr="0008554C">
        <w:trPr>
          <w:trHeight w:val="17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8D7397" w:rsidRPr="008D7397" w:rsidRDefault="008D7397" w:rsidP="008D7397">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7397" w:rsidRPr="00186D1C" w:rsidRDefault="008D7397" w:rsidP="008D7397">
            <w:pPr>
              <w:rPr>
                <w:rFonts w:asciiTheme="majorHAnsi" w:hAnsiTheme="majorHAnsi"/>
                <w:sz w:val="22"/>
                <w:szCs w:val="22"/>
              </w:rPr>
            </w:pPr>
            <w:r w:rsidRPr="00186D1C">
              <w:rPr>
                <w:rFonts w:asciiTheme="majorHAnsi" w:hAnsiTheme="majorHAnsi"/>
                <w:sz w:val="22"/>
                <w:szCs w:val="22"/>
              </w:rPr>
              <w:t>2. Call to action: Providers should provide individuals with secure access to their own behavioral health information in a manner that is easy to use and enables them to make choices about disclosure of specific information that is sensitive to the individual and/or legally protected.</w:t>
            </w:r>
          </w:p>
        </w:tc>
      </w:tr>
      <w:tr w:rsidR="008D7397" w:rsidRPr="00687E91" w:rsidTr="0008554C">
        <w:trPr>
          <w:trHeight w:val="2285"/>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2018-2020</w:t>
            </w: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7397" w:rsidRPr="00186D1C" w:rsidRDefault="008D7397" w:rsidP="008D7397">
            <w:pPr>
              <w:rPr>
                <w:rFonts w:asciiTheme="majorHAnsi" w:hAnsiTheme="majorHAnsi"/>
                <w:sz w:val="22"/>
                <w:szCs w:val="22"/>
              </w:rPr>
            </w:pPr>
            <w:r w:rsidRPr="00186D1C">
              <w:rPr>
                <w:rFonts w:asciiTheme="majorHAnsi" w:hAnsiTheme="majorHAnsi"/>
                <w:sz w:val="22"/>
                <w:szCs w:val="22"/>
              </w:rPr>
              <w:t xml:space="preserve">3. Call to action: Individuals should be able to trust that their health information (such as that generated/collected via home monitoring devices or other emerging technologies) is protected </w:t>
            </w:r>
          </w:p>
          <w:p w:rsidR="008D7397" w:rsidRPr="00186D1C" w:rsidRDefault="008D7397" w:rsidP="008D7397">
            <w:pPr>
              <w:rPr>
                <w:rFonts w:asciiTheme="majorHAnsi" w:hAnsiTheme="majorHAnsi"/>
                <w:sz w:val="22"/>
                <w:szCs w:val="22"/>
              </w:rPr>
            </w:pPr>
            <w:r w:rsidRPr="00186D1C">
              <w:rPr>
                <w:rFonts w:asciiTheme="majorHAnsi" w:hAnsiTheme="majorHAnsi"/>
                <w:sz w:val="22"/>
                <w:szCs w:val="22"/>
              </w:rPr>
              <w:t>and secure.</w:t>
            </w:r>
          </w:p>
        </w:tc>
      </w:tr>
      <w:tr w:rsidR="008D7397" w:rsidRPr="00687E91" w:rsidTr="00DA3413">
        <w:trPr>
          <w:trHeight w:val="1808"/>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DA3413" w:rsidRDefault="007577A8" w:rsidP="008D7397">
            <w:pPr>
              <w:jc w:val="center"/>
              <w:rPr>
                <w:rFonts w:asciiTheme="majorHAnsi" w:hAnsiTheme="majorHAnsi"/>
                <w:b/>
                <w:color w:val="FFFFFF" w:themeColor="background1"/>
                <w:sz w:val="22"/>
                <w:szCs w:val="22"/>
              </w:rPr>
            </w:pP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7397" w:rsidRPr="00186D1C" w:rsidRDefault="008D7397" w:rsidP="008D7397">
            <w:pPr>
              <w:rPr>
                <w:rFonts w:asciiTheme="majorHAnsi" w:hAnsiTheme="majorHAnsi"/>
                <w:sz w:val="22"/>
                <w:szCs w:val="22"/>
              </w:rPr>
            </w:pPr>
            <w:r w:rsidRPr="00186D1C">
              <w:rPr>
                <w:rFonts w:asciiTheme="majorHAnsi" w:hAnsiTheme="majorHAnsi"/>
                <w:sz w:val="22"/>
                <w:szCs w:val="22"/>
              </w:rPr>
              <w:t xml:space="preserve">4. ONC and the industry will continue to provide individuals with relevant and updated resources based on current technology to assist with increasing their digital </w:t>
            </w:r>
          </w:p>
          <w:p w:rsidR="008D7397" w:rsidRDefault="008D7397" w:rsidP="008D7397">
            <w:pPr>
              <w:rPr>
                <w:rFonts w:asciiTheme="majorHAnsi" w:hAnsiTheme="majorHAnsi"/>
                <w:sz w:val="22"/>
                <w:szCs w:val="22"/>
              </w:rPr>
            </w:pPr>
            <w:r w:rsidRPr="00186D1C">
              <w:rPr>
                <w:rFonts w:asciiTheme="majorHAnsi" w:hAnsiTheme="majorHAnsi"/>
                <w:sz w:val="22"/>
                <w:szCs w:val="22"/>
              </w:rPr>
              <w:t>health literacy.</w:t>
            </w:r>
          </w:p>
          <w:p w:rsidR="0008554C" w:rsidRDefault="0008554C" w:rsidP="008D7397">
            <w:pPr>
              <w:rPr>
                <w:rFonts w:asciiTheme="majorHAnsi" w:hAnsiTheme="majorHAnsi"/>
                <w:sz w:val="22"/>
                <w:szCs w:val="22"/>
              </w:rPr>
            </w:pPr>
          </w:p>
          <w:p w:rsidR="0008554C" w:rsidRDefault="0008554C" w:rsidP="008D7397">
            <w:pPr>
              <w:rPr>
                <w:rFonts w:asciiTheme="majorHAnsi" w:hAnsiTheme="majorHAnsi"/>
                <w:sz w:val="22"/>
                <w:szCs w:val="22"/>
              </w:rPr>
            </w:pPr>
          </w:p>
          <w:p w:rsidR="0008554C" w:rsidRDefault="0008554C" w:rsidP="008D7397">
            <w:pPr>
              <w:rPr>
                <w:rFonts w:asciiTheme="majorHAnsi" w:hAnsiTheme="majorHAnsi"/>
                <w:sz w:val="22"/>
                <w:szCs w:val="22"/>
              </w:rPr>
            </w:pPr>
          </w:p>
          <w:p w:rsidR="0008554C" w:rsidRDefault="0008554C" w:rsidP="008D7397">
            <w:pPr>
              <w:rPr>
                <w:rFonts w:asciiTheme="majorHAnsi" w:hAnsiTheme="majorHAnsi"/>
                <w:sz w:val="22"/>
                <w:szCs w:val="22"/>
              </w:rPr>
            </w:pPr>
          </w:p>
          <w:p w:rsidR="0008554C" w:rsidRDefault="0008554C" w:rsidP="008D7397">
            <w:pPr>
              <w:rPr>
                <w:rFonts w:asciiTheme="majorHAnsi" w:hAnsiTheme="majorHAnsi"/>
                <w:sz w:val="22"/>
                <w:szCs w:val="22"/>
              </w:rPr>
            </w:pPr>
          </w:p>
          <w:p w:rsidR="0008554C" w:rsidRPr="00186D1C" w:rsidRDefault="0008554C" w:rsidP="008D7397">
            <w:pPr>
              <w:rPr>
                <w:rFonts w:asciiTheme="majorHAnsi" w:hAnsiTheme="majorHAnsi"/>
                <w:sz w:val="22"/>
                <w:szCs w:val="22"/>
              </w:rPr>
            </w:pPr>
          </w:p>
        </w:tc>
      </w:tr>
      <w:tr w:rsidR="008D7397" w:rsidRPr="00687E91" w:rsidTr="005460EB">
        <w:trPr>
          <w:trHeight w:val="332"/>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7397" w:rsidRDefault="008D7397" w:rsidP="008D7397">
            <w:pPr>
              <w:rPr>
                <w:rFonts w:asciiTheme="majorHAnsi" w:hAnsiTheme="majorHAnsi"/>
                <w:b/>
                <w:sz w:val="22"/>
                <w:szCs w:val="22"/>
              </w:rPr>
            </w:pPr>
            <w:r>
              <w:rPr>
                <w:rFonts w:asciiTheme="majorHAnsi" w:hAnsiTheme="majorHAnsi"/>
                <w:b/>
                <w:sz w:val="22"/>
                <w:szCs w:val="22"/>
              </w:rPr>
              <w:lastRenderedPageBreak/>
              <w:t xml:space="preserve">C4. Education and digital health literacy for </w:t>
            </w:r>
            <w:r w:rsidRPr="008D7397">
              <w:rPr>
                <w:rFonts w:asciiTheme="majorHAnsi" w:hAnsiTheme="majorHAnsi"/>
                <w:b/>
                <w:sz w:val="22"/>
                <w:szCs w:val="22"/>
              </w:rPr>
              <w:t>individuals</w:t>
            </w:r>
          </w:p>
        </w:tc>
      </w:tr>
      <w:tr w:rsidR="008D7397" w:rsidRPr="00687E91" w:rsidTr="00DA3413">
        <w:trPr>
          <w:trHeight w:val="332"/>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DA3413" w:rsidRDefault="007577A8" w:rsidP="008D7397">
            <w:pPr>
              <w:jc w:val="center"/>
              <w:rPr>
                <w:rFonts w:asciiTheme="majorHAnsi" w:hAnsiTheme="majorHAnsi"/>
                <w:b/>
                <w:color w:val="FFFFFF" w:themeColor="background1"/>
                <w:sz w:val="22"/>
                <w:szCs w:val="22"/>
              </w:rPr>
            </w:pPr>
          </w:p>
          <w:p w:rsidR="007577A8" w:rsidRPr="00DA3413" w:rsidRDefault="007577A8" w:rsidP="008D7397">
            <w:pPr>
              <w:jc w:val="center"/>
              <w:rPr>
                <w:rFonts w:asciiTheme="majorHAnsi" w:hAnsiTheme="majorHAnsi"/>
                <w:b/>
                <w:color w:val="FFFFFF" w:themeColor="background1"/>
                <w:sz w:val="22"/>
                <w:szCs w:val="22"/>
              </w:rPr>
            </w:pP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 xml:space="preserve">Send, receive, find and use a </w:t>
            </w:r>
          </w:p>
          <w:p w:rsidR="008D7397" w:rsidRPr="00DA3413" w:rsidRDefault="008D7397" w:rsidP="008D73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7397" w:rsidRPr="00186D1C" w:rsidRDefault="008D7397" w:rsidP="008D7397">
            <w:pPr>
              <w:rPr>
                <w:rFonts w:asciiTheme="majorHAnsi" w:hAnsiTheme="majorHAnsi"/>
                <w:sz w:val="22"/>
                <w:szCs w:val="22"/>
              </w:rPr>
            </w:pPr>
            <w:r w:rsidRPr="00186D1C">
              <w:rPr>
                <w:rFonts w:asciiTheme="majorHAnsi" w:hAnsiTheme="majorHAnsi"/>
                <w:sz w:val="22"/>
                <w:szCs w:val="22"/>
              </w:rPr>
              <w:t>1. Call to action: Consumer advocacy groups in collaboration with government agencies, associations and</w:t>
            </w:r>
            <w:r w:rsidR="00186D1C">
              <w:rPr>
                <w:rFonts w:asciiTheme="majorHAnsi" w:hAnsiTheme="majorHAnsi"/>
                <w:sz w:val="22"/>
                <w:szCs w:val="22"/>
              </w:rPr>
              <w:t xml:space="preserve"> </w:t>
            </w:r>
            <w:r w:rsidRPr="00186D1C">
              <w:rPr>
                <w:rFonts w:asciiTheme="majorHAnsi" w:hAnsiTheme="majorHAnsi"/>
                <w:sz w:val="22"/>
                <w:szCs w:val="22"/>
              </w:rPr>
              <w:t xml:space="preserve">payers should develop and disseminate resources (toolkits </w:t>
            </w:r>
          </w:p>
          <w:p w:rsidR="008D7397" w:rsidRPr="00186D1C" w:rsidRDefault="008D7397" w:rsidP="008D7397">
            <w:pPr>
              <w:rPr>
                <w:rFonts w:asciiTheme="majorHAnsi" w:hAnsiTheme="majorHAnsi"/>
                <w:sz w:val="22"/>
                <w:szCs w:val="22"/>
              </w:rPr>
            </w:pPr>
            <w:r w:rsidRPr="00186D1C">
              <w:rPr>
                <w:rFonts w:asciiTheme="majorHAnsi" w:hAnsiTheme="majorHAnsi"/>
                <w:sz w:val="22"/>
                <w:szCs w:val="22"/>
              </w:rPr>
              <w:t>and best practices) based on consumer needs to assist individuals with increasing their digital health literacy. This supports consumer participation in shared decision making with their care team based on more complete and accurate information</w:t>
            </w:r>
            <w:r w:rsidR="00186D1C">
              <w:rPr>
                <w:rFonts w:asciiTheme="majorHAnsi" w:hAnsiTheme="majorHAnsi"/>
                <w:sz w:val="22"/>
                <w:szCs w:val="22"/>
              </w:rPr>
              <w:t>.</w:t>
            </w:r>
          </w:p>
        </w:tc>
      </w:tr>
      <w:tr w:rsidR="00F41897" w:rsidRPr="00687E91" w:rsidTr="00DA3413">
        <w:trPr>
          <w:trHeight w:val="134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2018-2020</w:t>
            </w:r>
          </w:p>
          <w:p w:rsidR="00F41897" w:rsidRPr="00DA3413" w:rsidRDefault="00F41897" w:rsidP="00F418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2. ONC, government and the industry should work with individuals to help the majority understand the value of health IT for managing their health by providing individuals with easy resources to assist with increasing their digital health literacy.</w:t>
            </w:r>
          </w:p>
        </w:tc>
      </w:tr>
      <w:tr w:rsidR="00F41897" w:rsidRPr="00687E91" w:rsidTr="00DA3413">
        <w:trPr>
          <w:trHeight w:val="143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DA3413" w:rsidRDefault="00F41897" w:rsidP="008D7397">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 xml:space="preserve">3. ONC and the industry should </w:t>
            </w:r>
          </w:p>
          <w:p w:rsidR="00F41897" w:rsidRPr="00186D1C" w:rsidRDefault="00F41897" w:rsidP="00F41897">
            <w:pPr>
              <w:rPr>
                <w:rFonts w:asciiTheme="majorHAnsi" w:hAnsiTheme="majorHAnsi"/>
                <w:sz w:val="22"/>
                <w:szCs w:val="22"/>
              </w:rPr>
            </w:pPr>
            <w:r w:rsidRPr="00186D1C">
              <w:rPr>
                <w:rFonts w:asciiTheme="majorHAnsi" w:hAnsiTheme="majorHAnsi"/>
                <w:sz w:val="22"/>
                <w:szCs w:val="22"/>
              </w:rPr>
              <w:t>continue to provide individuals with relevant and updated resources based on current technology to assist with increasing their digital health literacy</w:t>
            </w:r>
          </w:p>
        </w:tc>
      </w:tr>
      <w:tr w:rsidR="00F41897" w:rsidRPr="00687E91" w:rsidTr="00DA3413">
        <w:trPr>
          <w:trHeight w:val="143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F418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F41897" w:rsidRPr="00DA3413" w:rsidRDefault="00F41897" w:rsidP="00F418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4. ONC and the industry should work with individuals to ensure that a majority understand the value of sustained engagement in managing their health, supported by health IT.</w:t>
            </w:r>
          </w:p>
        </w:tc>
      </w:tr>
      <w:tr w:rsidR="00F41897" w:rsidRPr="00687E91" w:rsidTr="00DA3413">
        <w:trPr>
          <w:trHeight w:val="143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F41897" w:rsidRDefault="00F41897" w:rsidP="00F41897">
            <w:pPr>
              <w:jc w:val="cente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5. ONC and the industry should continue to provide individuals with relevant and updated resources based on current technology to assist with increasing their digital health literacy.</w:t>
            </w:r>
          </w:p>
        </w:tc>
      </w:tr>
      <w:tr w:rsidR="00F41897" w:rsidRPr="00687E91" w:rsidTr="005460EB">
        <w:trPr>
          <w:trHeight w:val="35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1897" w:rsidRDefault="00F41897" w:rsidP="00F41897">
            <w:pPr>
              <w:rPr>
                <w:rFonts w:asciiTheme="majorHAnsi" w:hAnsiTheme="majorHAnsi"/>
                <w:b/>
                <w:sz w:val="22"/>
                <w:szCs w:val="22"/>
              </w:rPr>
            </w:pPr>
            <w:r>
              <w:rPr>
                <w:rFonts w:asciiTheme="majorHAnsi" w:hAnsiTheme="majorHAnsi"/>
                <w:b/>
                <w:sz w:val="22"/>
                <w:szCs w:val="22"/>
              </w:rPr>
              <w:lastRenderedPageBreak/>
              <w:t xml:space="preserve">D1. Organization/ </w:t>
            </w:r>
            <w:r w:rsidRPr="00F41897">
              <w:rPr>
                <w:rFonts w:asciiTheme="majorHAnsi" w:hAnsiTheme="majorHAnsi"/>
                <w:b/>
                <w:sz w:val="22"/>
                <w:szCs w:val="22"/>
              </w:rPr>
              <w:t>Governance</w:t>
            </w:r>
          </w:p>
        </w:tc>
      </w:tr>
      <w:tr w:rsidR="00F41897" w:rsidRPr="00687E91" w:rsidTr="00DA3413">
        <w:trPr>
          <w:trHeight w:val="125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DA3413" w:rsidRDefault="00F41897" w:rsidP="00F41897">
            <w:pPr>
              <w:jc w:val="center"/>
              <w:rPr>
                <w:rFonts w:asciiTheme="majorHAnsi" w:hAnsiTheme="majorHAnsi"/>
                <w:b/>
                <w:color w:val="FFFFFF" w:themeColor="background1"/>
                <w:sz w:val="22"/>
                <w:szCs w:val="22"/>
              </w:rPr>
            </w:pPr>
          </w:p>
          <w:p w:rsidR="00F41897" w:rsidRPr="00DA3413" w:rsidRDefault="00F418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F41897" w:rsidRPr="00DA3413" w:rsidRDefault="00F418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 xml:space="preserve">Send, receive, find and use a </w:t>
            </w:r>
          </w:p>
          <w:p w:rsidR="00F41897" w:rsidRPr="00DA3413" w:rsidRDefault="00F41897" w:rsidP="00DA3413">
            <w:pPr>
              <w:shd w:val="clear" w:color="auto" w:fill="365F91" w:themeFill="accent1" w:themeFillShade="BF"/>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1. Call to action: Providers should participate in governance of interoperability at all levels, from regional efforts to nationwide coordinated governance</w:t>
            </w:r>
          </w:p>
        </w:tc>
      </w:tr>
      <w:tr w:rsidR="00F41897" w:rsidRPr="00687E91" w:rsidTr="00DA3413">
        <w:trPr>
          <w:trHeight w:val="35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07B6F" w:rsidRPr="00DA3413" w:rsidRDefault="00F07B6F" w:rsidP="00F07B6F">
            <w:pPr>
              <w:jc w:val="center"/>
              <w:rPr>
                <w:rFonts w:asciiTheme="majorHAnsi" w:hAnsiTheme="majorHAnsi"/>
                <w:b/>
                <w:color w:val="FFFFFF" w:themeColor="background1"/>
                <w:sz w:val="22"/>
                <w:szCs w:val="22"/>
              </w:rPr>
            </w:pPr>
          </w:p>
          <w:p w:rsidR="00F07B6F" w:rsidRPr="00DA3413" w:rsidRDefault="00F07B6F" w:rsidP="00F07B6F">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2018-2020</w:t>
            </w:r>
          </w:p>
          <w:p w:rsidR="00F41897" w:rsidRPr="00F41897" w:rsidRDefault="00F07B6F" w:rsidP="00F07B6F">
            <w:pPr>
              <w:jc w:val="center"/>
              <w:rPr>
                <w:rFonts w:asciiTheme="majorHAnsi" w:hAnsiTheme="majorHAnsi"/>
                <w:b/>
                <w:sz w:val="22"/>
                <w:szCs w:val="22"/>
              </w:rPr>
            </w:pPr>
            <w:r w:rsidRPr="00DA3413">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2. Call to action: Providers should continue to provide input on the evolution of coordinated governance to support a learning health system.</w:t>
            </w:r>
          </w:p>
          <w:p w:rsidR="00F41897" w:rsidRPr="00186D1C" w:rsidRDefault="00F41897" w:rsidP="00F41897">
            <w:pPr>
              <w:rPr>
                <w:rFonts w:asciiTheme="majorHAnsi" w:hAnsiTheme="majorHAnsi"/>
                <w:sz w:val="22"/>
                <w:szCs w:val="22"/>
              </w:rPr>
            </w:pPr>
          </w:p>
          <w:p w:rsidR="00F41897" w:rsidRPr="00186D1C" w:rsidRDefault="00F41897" w:rsidP="00F41897">
            <w:pPr>
              <w:rPr>
                <w:rFonts w:asciiTheme="majorHAnsi" w:hAnsiTheme="majorHAnsi"/>
                <w:sz w:val="22"/>
                <w:szCs w:val="22"/>
              </w:rPr>
            </w:pPr>
          </w:p>
        </w:tc>
      </w:tr>
      <w:tr w:rsidR="00F41897" w:rsidRPr="00687E91" w:rsidTr="00DA3413">
        <w:trPr>
          <w:trHeight w:val="98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41897" w:rsidRPr="00DA3413" w:rsidRDefault="00F41897" w:rsidP="00F4189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F41897" w:rsidRPr="00F41897" w:rsidRDefault="00F41897" w:rsidP="00F41897">
            <w:pPr>
              <w:jc w:val="center"/>
              <w:rPr>
                <w:rFonts w:asciiTheme="majorHAnsi" w:hAnsiTheme="majorHAnsi"/>
                <w:b/>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F41897" w:rsidRPr="00186D1C" w:rsidRDefault="00F41897" w:rsidP="00F41897">
            <w:pPr>
              <w:rPr>
                <w:rFonts w:asciiTheme="majorHAnsi" w:hAnsiTheme="majorHAnsi"/>
                <w:sz w:val="22"/>
                <w:szCs w:val="22"/>
              </w:rPr>
            </w:pPr>
            <w:r w:rsidRPr="00186D1C">
              <w:rPr>
                <w:rFonts w:asciiTheme="majorHAnsi" w:hAnsiTheme="majorHAnsi"/>
                <w:sz w:val="22"/>
                <w:szCs w:val="22"/>
              </w:rPr>
              <w:t>3. Call to action: Providers should remain active in coordinated governance.</w:t>
            </w:r>
          </w:p>
          <w:p w:rsidR="00F41897" w:rsidRDefault="00F41897" w:rsidP="00F41897">
            <w:pPr>
              <w:rPr>
                <w:rFonts w:asciiTheme="majorHAnsi" w:hAnsiTheme="majorHAnsi"/>
                <w:b/>
                <w:sz w:val="22"/>
                <w:szCs w:val="22"/>
              </w:rPr>
            </w:pPr>
          </w:p>
          <w:p w:rsidR="00F41897" w:rsidRPr="00F41897" w:rsidRDefault="00F41897" w:rsidP="00F41897">
            <w:pPr>
              <w:rPr>
                <w:rFonts w:asciiTheme="majorHAnsi" w:hAnsiTheme="majorHAnsi"/>
                <w:b/>
                <w:sz w:val="22"/>
                <w:szCs w:val="22"/>
              </w:rPr>
            </w:pPr>
          </w:p>
        </w:tc>
      </w:tr>
      <w:tr w:rsidR="004E4AA5" w:rsidRPr="00687E91" w:rsidTr="005460EB">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E4AA5" w:rsidRDefault="004E4AA5" w:rsidP="00F41897">
            <w:pPr>
              <w:rPr>
                <w:rFonts w:asciiTheme="majorHAnsi" w:hAnsiTheme="majorHAnsi"/>
                <w:b/>
                <w:sz w:val="22"/>
                <w:szCs w:val="22"/>
              </w:rPr>
            </w:pPr>
            <w:r w:rsidRPr="004E4AA5">
              <w:rPr>
                <w:rFonts w:asciiTheme="majorHAnsi" w:hAnsiTheme="majorHAnsi"/>
                <w:b/>
                <w:sz w:val="22"/>
                <w:szCs w:val="22"/>
              </w:rPr>
              <w:t>D2. Providers embrace a Culture of Interoperability and work with vendors and other supporting entities to improve interoperability</w:t>
            </w:r>
          </w:p>
        </w:tc>
      </w:tr>
      <w:tr w:rsidR="004E4AA5" w:rsidRPr="00687E91" w:rsidTr="00DA3413">
        <w:trPr>
          <w:trHeight w:val="116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4E4AA5" w:rsidRPr="00CC642B" w:rsidRDefault="004E4AA5" w:rsidP="004E4AA5">
            <w:pPr>
              <w:jc w:val="center"/>
              <w:rPr>
                <w:rFonts w:asciiTheme="majorHAnsi" w:hAnsiTheme="majorHAnsi"/>
                <w:b/>
                <w:sz w:val="22"/>
                <w:szCs w:val="22"/>
              </w:rPr>
            </w:pPr>
            <w:r w:rsidRPr="00DA3413">
              <w:rPr>
                <w:rFonts w:asciiTheme="majorHAnsi" w:hAnsiTheme="majorHAnsi"/>
                <w:b/>
                <w:color w:val="FFFFFF" w:themeColor="background1"/>
                <w:sz w:val="22"/>
                <w:szCs w:val="22"/>
              </w:rPr>
              <w:t xml:space="preserve">Send, receive, find and use a </w:t>
            </w:r>
            <w:r w:rsidRPr="00DA3413">
              <w:rPr>
                <w:rFonts w:asciiTheme="majorHAnsi" w:hAnsiTheme="majorHAnsi"/>
                <w:b/>
                <w:color w:val="FFFFFF" w:themeColor="background1"/>
                <w:sz w:val="22"/>
                <w:szCs w:val="22"/>
              </w:rPr>
              <w:lastRenderedPageBreak/>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lastRenderedPageBreak/>
              <w:t>1. Call to action: Providers should routinely expect electronic access to outside information in the provision of care and engage with other providers to send, receive, find and use health information for their patients.</w:t>
            </w:r>
          </w:p>
        </w:tc>
      </w:tr>
      <w:tr w:rsidR="004E4AA5" w:rsidRPr="00687E91" w:rsidTr="00DA3413">
        <w:trPr>
          <w:trHeight w:val="10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2. Call to action: Providers should recognize that valuable clinical information about their patients may reside with patients or caregivers themselves and that they may need to incorporate that information into their decision making.</w:t>
            </w:r>
          </w:p>
        </w:tc>
      </w:tr>
      <w:tr w:rsidR="004E4AA5" w:rsidRPr="00687E91" w:rsidTr="0008554C">
        <w:trPr>
          <w:trHeight w:val="17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3. Call to action: Providers and their organizations should embrace the use of enabling technologies such as publish/subscribe and query-based exchange with single sign-on to minimize workflow barriers to interoperability.</w:t>
            </w:r>
          </w:p>
        </w:tc>
      </w:tr>
      <w:tr w:rsidR="004E4AA5" w:rsidRPr="00687E91" w:rsidTr="00DA3413">
        <w:trPr>
          <w:trHeight w:val="134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4. Call to action: Providers and their organizations should ensure contracts and agreements that they sign and re-sign with technology developers include necessary requirements for interoperability, to ensure they can share and incorporate patient information.</w:t>
            </w:r>
          </w:p>
        </w:tc>
      </w:tr>
      <w:tr w:rsidR="004E4AA5" w:rsidRPr="00687E91" w:rsidTr="00DA3413">
        <w:trPr>
          <w:trHeight w:val="80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2018-2020</w:t>
            </w:r>
          </w:p>
          <w:p w:rsidR="004E4AA5" w:rsidRPr="00CC642B" w:rsidRDefault="004E4AA5" w:rsidP="004E4AA5">
            <w:pPr>
              <w:jc w:val="center"/>
              <w:rPr>
                <w:rFonts w:asciiTheme="majorHAnsi" w:hAnsiTheme="majorHAnsi"/>
                <w:b/>
                <w:sz w:val="22"/>
                <w:szCs w:val="22"/>
              </w:rPr>
            </w:pPr>
            <w:r w:rsidRPr="00DA3413">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4E4AA5" w:rsidRPr="00CC642B" w:rsidRDefault="004E4AA5" w:rsidP="00F41897">
            <w:pPr>
              <w:rPr>
                <w:rFonts w:asciiTheme="majorHAnsi" w:hAnsiTheme="majorHAnsi"/>
                <w:sz w:val="22"/>
                <w:szCs w:val="22"/>
              </w:rPr>
            </w:pPr>
            <w:r w:rsidRPr="00CC642B">
              <w:rPr>
                <w:rFonts w:asciiTheme="majorHAnsi" w:hAnsiTheme="majorHAnsi"/>
                <w:sz w:val="22"/>
                <w:szCs w:val="22"/>
              </w:rPr>
              <w:t>5. Call to action: Providers should routinely access and use health information from other sources, including individuals, when making clinical decisions</w:t>
            </w:r>
          </w:p>
        </w:tc>
      </w:tr>
      <w:tr w:rsidR="004E4AA5" w:rsidRPr="00687E91" w:rsidTr="00DA3413">
        <w:trPr>
          <w:trHeight w:val="8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4E4AA5" w:rsidRPr="00CC642B" w:rsidRDefault="004E4AA5" w:rsidP="00F41897">
            <w:pPr>
              <w:rPr>
                <w:rFonts w:asciiTheme="majorHAnsi" w:hAnsiTheme="majorHAnsi"/>
                <w:sz w:val="22"/>
                <w:szCs w:val="22"/>
              </w:rPr>
            </w:pPr>
            <w:r w:rsidRPr="00CC642B">
              <w:rPr>
                <w:rFonts w:asciiTheme="majorHAnsi" w:hAnsiTheme="majorHAnsi"/>
                <w:sz w:val="22"/>
                <w:szCs w:val="22"/>
              </w:rPr>
              <w:t>6. Call to action: Providers should routinely populate key data when E-prescribing in support of unambiguous prescription for verification, counseling, monitoring and activities of comprehensive medication management.</w:t>
            </w:r>
          </w:p>
        </w:tc>
      </w:tr>
      <w:tr w:rsidR="004E4AA5" w:rsidRPr="00687E91" w:rsidTr="00DA3413">
        <w:trPr>
          <w:trHeight w:val="8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7. Call to action: Providers and their organizations should work with necessary parties to configure systems to alert providers to the presence of relevant information from other sources and make it conveniently available to the provider.</w:t>
            </w:r>
          </w:p>
        </w:tc>
      </w:tr>
      <w:tr w:rsidR="004E4AA5" w:rsidRPr="00687E91" w:rsidTr="00DA3413">
        <w:trPr>
          <w:trHeight w:val="8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8. Call to action: Providers and their organizations should work with necessary parties to configure systems so that the presentation of information to providers is configurable based on use case, provider specialty and other characteristics, to facilitate usability and patient safety.</w:t>
            </w:r>
          </w:p>
        </w:tc>
      </w:tr>
      <w:tr w:rsidR="004E4AA5" w:rsidRPr="00687E91" w:rsidTr="00DA3413">
        <w:trPr>
          <w:trHeight w:val="107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p>
          <w:p w:rsidR="004E4AA5" w:rsidRPr="00DA3413" w:rsidRDefault="004E4AA5" w:rsidP="004E4AA5">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4E4AA5" w:rsidRPr="00DA3413" w:rsidRDefault="004E4AA5" w:rsidP="004E4AA5">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lastRenderedPageBreak/>
              <w:t>9. Call to action: Providers should practice in a new way, with a new culture of electronic health information sharing, access and use for both clinicians and institutions is firmly established.</w:t>
            </w:r>
          </w:p>
        </w:tc>
      </w:tr>
      <w:tr w:rsidR="004E4AA5" w:rsidRPr="00687E91" w:rsidTr="00DA3413">
        <w:trPr>
          <w:trHeight w:val="80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10. Call to action: Providers should routinely use and have access to robust and clinically relevant decision support (e.g. for medication management).</w:t>
            </w:r>
          </w:p>
        </w:tc>
      </w:tr>
      <w:tr w:rsidR="004E4AA5" w:rsidRPr="00687E91" w:rsidTr="00DA3413">
        <w:trPr>
          <w:trHeight w:val="80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11. Call to action: Providers should regularly use and have access to the most relevant, integrated information, appropriate notifications.</w:t>
            </w:r>
          </w:p>
        </w:tc>
      </w:tr>
      <w:tr w:rsidR="004E4AA5" w:rsidRPr="00687E91" w:rsidTr="00DA3413">
        <w:trPr>
          <w:trHeight w:val="8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AA5" w:rsidRPr="00186D1C" w:rsidRDefault="004E4AA5" w:rsidP="00F41897">
            <w:pPr>
              <w:rPr>
                <w:rFonts w:asciiTheme="majorHAnsi" w:hAnsiTheme="majorHAnsi"/>
                <w:sz w:val="22"/>
                <w:szCs w:val="22"/>
              </w:rPr>
            </w:pPr>
            <w:r w:rsidRPr="00186D1C">
              <w:rPr>
                <w:rFonts w:asciiTheme="majorHAnsi" w:hAnsiTheme="majorHAnsi"/>
                <w:sz w:val="22"/>
                <w:szCs w:val="22"/>
              </w:rPr>
              <w:t>12. Call to action: Providers should receive and provide continuous feedback to support the improvement of decision-making, care processes and outcomes.</w:t>
            </w:r>
          </w:p>
        </w:tc>
      </w:tr>
      <w:tr w:rsidR="004E4AA5" w:rsidRPr="00687E91" w:rsidTr="00DA3413">
        <w:trPr>
          <w:trHeight w:val="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E4AA5" w:rsidRPr="004E4AA5" w:rsidRDefault="004E4AA5" w:rsidP="004E4AA5">
            <w:pPr>
              <w:rPr>
                <w:rFonts w:asciiTheme="majorHAnsi" w:hAnsiTheme="majorHAnsi"/>
                <w:b/>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4E4AA5" w:rsidRPr="00CC642B" w:rsidRDefault="004E4AA5" w:rsidP="00F41897">
            <w:pPr>
              <w:rPr>
                <w:rFonts w:asciiTheme="majorHAnsi" w:hAnsiTheme="majorHAnsi"/>
                <w:sz w:val="22"/>
                <w:szCs w:val="22"/>
              </w:rPr>
            </w:pPr>
            <w:r w:rsidRPr="00CC642B">
              <w:rPr>
                <w:rFonts w:asciiTheme="majorHAnsi" w:hAnsiTheme="majorHAnsi"/>
                <w:sz w:val="22"/>
                <w:szCs w:val="22"/>
              </w:rPr>
              <w:t>13. Call to action: Providers should use new evidence-based guidelines and tools for care that are disseminated rapidly to providers through decision support and other timely and context-sensitive pathways.</w:t>
            </w:r>
          </w:p>
        </w:tc>
      </w:tr>
      <w:tr w:rsidR="00747467" w:rsidRPr="00687E91" w:rsidTr="005460EB">
        <w:trPr>
          <w:trHeight w:val="7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7467" w:rsidRPr="004E4AA5" w:rsidRDefault="00747467" w:rsidP="00F41897">
            <w:pPr>
              <w:rPr>
                <w:rFonts w:asciiTheme="majorHAnsi" w:hAnsiTheme="majorHAnsi"/>
                <w:b/>
                <w:sz w:val="22"/>
                <w:szCs w:val="22"/>
              </w:rPr>
            </w:pPr>
            <w:r w:rsidRPr="00747467">
              <w:rPr>
                <w:rFonts w:asciiTheme="majorHAnsi" w:hAnsiTheme="majorHAnsi"/>
                <w:b/>
                <w:sz w:val="22"/>
                <w:szCs w:val="22"/>
              </w:rPr>
              <w:t>D3. Accurate Measurement</w:t>
            </w:r>
          </w:p>
        </w:tc>
      </w:tr>
      <w:tr w:rsidR="00747467" w:rsidRPr="00687E91" w:rsidTr="00DA3413">
        <w:trPr>
          <w:trHeight w:val="7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Send, receive, find and use a</w:t>
            </w: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common clinical data set</w:t>
            </w:r>
          </w:p>
        </w:tc>
        <w:tc>
          <w:tcPr>
            <w:tcW w:w="15210" w:type="dxa"/>
            <w:tcBorders>
              <w:left w:val="single" w:sz="4" w:space="0" w:color="auto"/>
              <w:bottom w:val="single" w:sz="4" w:space="0" w:color="auto"/>
              <w:right w:val="single" w:sz="4" w:space="0" w:color="auto"/>
            </w:tcBorders>
            <w:shd w:val="clear" w:color="auto" w:fill="auto"/>
          </w:tcPr>
          <w:p w:rsidR="00747467" w:rsidRPr="00CC642B" w:rsidRDefault="00747467" w:rsidP="00F41897">
            <w:pPr>
              <w:rPr>
                <w:rFonts w:asciiTheme="majorHAnsi" w:hAnsiTheme="majorHAnsi"/>
                <w:sz w:val="22"/>
                <w:szCs w:val="22"/>
              </w:rPr>
            </w:pPr>
            <w:r w:rsidRPr="00CC642B">
              <w:rPr>
                <w:rFonts w:asciiTheme="majorHAnsi" w:hAnsiTheme="majorHAnsi"/>
                <w:sz w:val="22"/>
                <w:szCs w:val="22"/>
              </w:rPr>
              <w:t>1. Call to action: Providers should leverage data beyond their internal systems for population health analytics and quality measurement (eCQMs) including supporting value-based payment models.</w:t>
            </w:r>
          </w:p>
          <w:p w:rsidR="00747467" w:rsidRPr="00747467" w:rsidRDefault="00747467" w:rsidP="00747467">
            <w:pPr>
              <w:rPr>
                <w:rFonts w:asciiTheme="majorHAnsi" w:hAnsiTheme="majorHAnsi"/>
                <w:sz w:val="22"/>
                <w:szCs w:val="22"/>
              </w:rPr>
            </w:pPr>
          </w:p>
          <w:p w:rsidR="00747467" w:rsidRDefault="00747467" w:rsidP="00747467">
            <w:pPr>
              <w:rPr>
                <w:rFonts w:asciiTheme="majorHAnsi" w:hAnsiTheme="majorHAnsi"/>
                <w:sz w:val="22"/>
                <w:szCs w:val="22"/>
              </w:rPr>
            </w:pPr>
          </w:p>
          <w:p w:rsidR="00747467" w:rsidRDefault="00747467" w:rsidP="00747467">
            <w:pPr>
              <w:rPr>
                <w:rFonts w:asciiTheme="majorHAnsi" w:hAnsiTheme="majorHAnsi"/>
                <w:sz w:val="22"/>
                <w:szCs w:val="22"/>
              </w:rPr>
            </w:pPr>
          </w:p>
          <w:p w:rsidR="00747467" w:rsidRPr="00747467" w:rsidRDefault="00747467" w:rsidP="00747467">
            <w:pPr>
              <w:tabs>
                <w:tab w:val="left" w:pos="1275"/>
              </w:tabs>
              <w:rPr>
                <w:rFonts w:asciiTheme="majorHAnsi" w:hAnsiTheme="majorHAnsi"/>
                <w:sz w:val="22"/>
                <w:szCs w:val="22"/>
              </w:rPr>
            </w:pPr>
            <w:r>
              <w:rPr>
                <w:rFonts w:asciiTheme="majorHAnsi" w:hAnsiTheme="majorHAnsi"/>
                <w:sz w:val="22"/>
                <w:szCs w:val="22"/>
              </w:rPr>
              <w:tab/>
            </w:r>
          </w:p>
        </w:tc>
      </w:tr>
      <w:tr w:rsidR="00747467" w:rsidRPr="00687E91" w:rsidTr="00DA3413">
        <w:trPr>
          <w:trHeight w:val="89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47467" w:rsidRPr="00DA3413" w:rsidRDefault="00747467" w:rsidP="00747467">
            <w:pPr>
              <w:jc w:val="center"/>
              <w:rPr>
                <w:rFonts w:asciiTheme="majorHAnsi" w:hAnsiTheme="majorHAnsi"/>
                <w:b/>
                <w:color w:val="FFFFFF" w:themeColor="background1"/>
                <w:sz w:val="22"/>
                <w:szCs w:val="22"/>
              </w:rPr>
            </w:pPr>
          </w:p>
          <w:p w:rsidR="00747467" w:rsidRPr="00DA3413" w:rsidRDefault="00747467" w:rsidP="00747467">
            <w:pPr>
              <w:jc w:val="center"/>
              <w:rPr>
                <w:rFonts w:asciiTheme="majorHAnsi" w:hAnsiTheme="majorHAnsi"/>
                <w:b/>
                <w:color w:val="FFFFFF" w:themeColor="background1"/>
                <w:sz w:val="22"/>
                <w:szCs w:val="22"/>
              </w:rPr>
            </w:pP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2018-2020</w:t>
            </w: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47467" w:rsidRPr="00CC642B" w:rsidRDefault="00747467" w:rsidP="00F41897">
            <w:pPr>
              <w:rPr>
                <w:rFonts w:asciiTheme="majorHAnsi" w:hAnsiTheme="majorHAnsi"/>
                <w:sz w:val="22"/>
                <w:szCs w:val="22"/>
              </w:rPr>
            </w:pPr>
            <w:r w:rsidRPr="00CC642B">
              <w:rPr>
                <w:rFonts w:asciiTheme="majorHAnsi" w:hAnsiTheme="majorHAnsi"/>
                <w:sz w:val="22"/>
                <w:szCs w:val="22"/>
              </w:rPr>
              <w:t>2. Call to action: Providers and other stakeholders should use standard metrics of interoperability to monitor and track improvement.</w:t>
            </w:r>
          </w:p>
        </w:tc>
      </w:tr>
      <w:tr w:rsidR="00747467" w:rsidRPr="00687E91" w:rsidTr="00DA3413">
        <w:trPr>
          <w:trHeight w:val="89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47467" w:rsidRPr="00DA3413" w:rsidRDefault="00747467" w:rsidP="00747467">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47467" w:rsidRPr="00CC642B" w:rsidRDefault="00747467" w:rsidP="00F41897">
            <w:pPr>
              <w:rPr>
                <w:rFonts w:asciiTheme="majorHAnsi" w:hAnsiTheme="majorHAnsi"/>
                <w:sz w:val="22"/>
                <w:szCs w:val="22"/>
              </w:rPr>
            </w:pPr>
            <w:r w:rsidRPr="00CC642B">
              <w:rPr>
                <w:rFonts w:asciiTheme="majorHAnsi" w:hAnsiTheme="majorHAnsi"/>
                <w:sz w:val="22"/>
                <w:szCs w:val="22"/>
              </w:rPr>
              <w:t>3. Call to action: Providers and other stakeholders should use standard metrics for interoperability and health outcomes to improve clinical care and processes.</w:t>
            </w:r>
          </w:p>
        </w:tc>
      </w:tr>
      <w:tr w:rsidR="00747467" w:rsidRPr="00687E91" w:rsidTr="00DA3413">
        <w:trPr>
          <w:trHeight w:val="98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47467" w:rsidRPr="00DA3413" w:rsidRDefault="00747467" w:rsidP="00747467">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47467" w:rsidRPr="00CC642B" w:rsidRDefault="00747467" w:rsidP="00F41897">
            <w:pPr>
              <w:rPr>
                <w:rFonts w:asciiTheme="majorHAnsi" w:hAnsiTheme="majorHAnsi"/>
                <w:sz w:val="22"/>
                <w:szCs w:val="22"/>
              </w:rPr>
            </w:pPr>
            <w:r w:rsidRPr="00CC642B">
              <w:rPr>
                <w:rFonts w:asciiTheme="majorHAnsi" w:hAnsiTheme="majorHAnsi"/>
                <w:sz w:val="22"/>
                <w:szCs w:val="22"/>
              </w:rPr>
              <w:t>4. Call to action: Providers should be able to report on measures based on the most representative data available about each patient.</w:t>
            </w:r>
          </w:p>
        </w:tc>
      </w:tr>
      <w:tr w:rsidR="00747467" w:rsidRPr="00687E91" w:rsidTr="00DA3413">
        <w:trPr>
          <w:trHeight w:val="107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5083E" w:rsidRPr="00DA3413" w:rsidRDefault="0025083E" w:rsidP="00747467">
            <w:pPr>
              <w:jc w:val="center"/>
              <w:rPr>
                <w:rFonts w:asciiTheme="majorHAnsi" w:hAnsiTheme="majorHAnsi"/>
                <w:b/>
                <w:color w:val="FFFFFF" w:themeColor="background1"/>
                <w:sz w:val="22"/>
                <w:szCs w:val="22"/>
              </w:rPr>
            </w:pP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747467" w:rsidRPr="00DA3413" w:rsidRDefault="00747467" w:rsidP="00747467">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47467" w:rsidRPr="00CC642B" w:rsidRDefault="00747467" w:rsidP="00F41897">
            <w:pPr>
              <w:rPr>
                <w:rFonts w:asciiTheme="majorHAnsi" w:hAnsiTheme="majorHAnsi"/>
                <w:sz w:val="22"/>
                <w:szCs w:val="22"/>
              </w:rPr>
            </w:pPr>
            <w:r w:rsidRPr="00CC642B">
              <w:rPr>
                <w:rFonts w:asciiTheme="majorHAnsi" w:hAnsiTheme="majorHAnsi"/>
                <w:sz w:val="22"/>
                <w:szCs w:val="22"/>
              </w:rPr>
              <w:t>5. Call to action: Public and private stakeholders should objectively measure and value interoperability and information sharing as an indicator of care coordination, quality and efficiency.</w:t>
            </w:r>
          </w:p>
        </w:tc>
      </w:tr>
      <w:tr w:rsidR="00747467" w:rsidRPr="00687E91" w:rsidTr="00DA3413">
        <w:trPr>
          <w:trHeight w:val="107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47467" w:rsidRPr="00747467" w:rsidRDefault="00747467" w:rsidP="00747467">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95632E" w:rsidRPr="00CC642B" w:rsidRDefault="00747467" w:rsidP="00F41897">
            <w:pPr>
              <w:rPr>
                <w:rFonts w:asciiTheme="majorHAnsi" w:hAnsiTheme="majorHAnsi"/>
                <w:sz w:val="22"/>
                <w:szCs w:val="22"/>
              </w:rPr>
            </w:pPr>
            <w:r w:rsidRPr="00CC642B">
              <w:rPr>
                <w:rFonts w:asciiTheme="majorHAnsi" w:hAnsiTheme="majorHAnsi"/>
                <w:sz w:val="22"/>
                <w:szCs w:val="22"/>
              </w:rPr>
              <w:t>6. Call to action: Providers should be able to report on measures based on more complete and consistent representative data about each patient.</w:t>
            </w:r>
          </w:p>
        </w:tc>
      </w:tr>
      <w:tr w:rsidR="0095632E" w:rsidRPr="00687E91" w:rsidTr="005460EB">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632E" w:rsidRPr="0095632E" w:rsidRDefault="0095632E" w:rsidP="0095632E">
            <w:pPr>
              <w:rPr>
                <w:rFonts w:asciiTheme="majorHAnsi" w:hAnsiTheme="majorHAnsi"/>
                <w:b/>
                <w:sz w:val="22"/>
                <w:szCs w:val="22"/>
              </w:rPr>
            </w:pPr>
            <w:r w:rsidRPr="0095632E">
              <w:rPr>
                <w:rFonts w:asciiTheme="majorHAnsi" w:hAnsiTheme="majorHAnsi"/>
                <w:b/>
                <w:sz w:val="22"/>
                <w:szCs w:val="22"/>
              </w:rPr>
              <w:t>D4. Interoperability of processes and workflows</w:t>
            </w:r>
          </w:p>
        </w:tc>
      </w:tr>
      <w:tr w:rsidR="0025083E" w:rsidRPr="00687E91" w:rsidTr="00DA3413">
        <w:trPr>
          <w:trHeight w:val="332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DA3413" w:rsidRDefault="007577A8" w:rsidP="0025083E">
            <w:pPr>
              <w:jc w:val="center"/>
              <w:rPr>
                <w:rFonts w:asciiTheme="majorHAnsi" w:hAnsiTheme="majorHAnsi"/>
                <w:b/>
                <w:color w:val="FFFFFF" w:themeColor="background1"/>
                <w:sz w:val="22"/>
                <w:szCs w:val="22"/>
              </w:rPr>
            </w:pPr>
          </w:p>
          <w:p w:rsidR="007577A8" w:rsidRPr="00DA3413" w:rsidRDefault="007577A8" w:rsidP="0025083E">
            <w:pPr>
              <w:jc w:val="center"/>
              <w:rPr>
                <w:rFonts w:asciiTheme="majorHAnsi" w:hAnsiTheme="majorHAnsi"/>
                <w:b/>
                <w:color w:val="FFFFFF" w:themeColor="background1"/>
                <w:sz w:val="22"/>
                <w:szCs w:val="22"/>
              </w:rPr>
            </w:pPr>
          </w:p>
          <w:p w:rsidR="007577A8" w:rsidRPr="00DA3413" w:rsidRDefault="007577A8" w:rsidP="0025083E">
            <w:pPr>
              <w:jc w:val="center"/>
              <w:rPr>
                <w:rFonts w:asciiTheme="majorHAnsi" w:hAnsiTheme="majorHAnsi"/>
                <w:b/>
                <w:color w:val="FFFFFF" w:themeColor="background1"/>
                <w:sz w:val="22"/>
                <w:szCs w:val="22"/>
              </w:rPr>
            </w:pPr>
          </w:p>
          <w:p w:rsidR="0025083E" w:rsidRPr="00DA3413" w:rsidRDefault="0025083E" w:rsidP="0025083E">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2015-2017</w:t>
            </w:r>
          </w:p>
          <w:p w:rsidR="0025083E" w:rsidRPr="00DA3413" w:rsidRDefault="0025083E" w:rsidP="0025083E">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 xml:space="preserve">Send, receive, find and use a </w:t>
            </w:r>
          </w:p>
          <w:p w:rsidR="0025083E" w:rsidRPr="00DA3413" w:rsidRDefault="0025083E" w:rsidP="0025083E">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25083E" w:rsidRPr="00F07B6F" w:rsidRDefault="0025083E" w:rsidP="0025083E">
            <w:pPr>
              <w:pStyle w:val="ListParagraph"/>
              <w:numPr>
                <w:ilvl w:val="0"/>
                <w:numId w:val="22"/>
              </w:numPr>
              <w:rPr>
                <w:rFonts w:asciiTheme="majorHAnsi" w:hAnsiTheme="majorHAnsi"/>
                <w:sz w:val="22"/>
                <w:szCs w:val="22"/>
              </w:rPr>
            </w:pPr>
            <w:r w:rsidRPr="00F07B6F">
              <w:rPr>
                <w:rFonts w:asciiTheme="majorHAnsi" w:hAnsiTheme="majorHAnsi"/>
                <w:sz w:val="22"/>
                <w:szCs w:val="22"/>
              </w:rPr>
              <w:t>Call to action: Providers should routinely leverage standards-based health IT to support prioritized workflows including:</w:t>
            </w:r>
          </w:p>
          <w:p w:rsidR="0025083E" w:rsidRPr="00F07B6F" w:rsidRDefault="0025083E" w:rsidP="0025083E">
            <w:pPr>
              <w:pStyle w:val="ListParagraph"/>
              <w:numPr>
                <w:ilvl w:val="0"/>
                <w:numId w:val="23"/>
              </w:numPr>
              <w:rPr>
                <w:rFonts w:asciiTheme="majorHAnsi" w:hAnsiTheme="majorHAnsi"/>
                <w:sz w:val="22"/>
                <w:szCs w:val="22"/>
              </w:rPr>
            </w:pPr>
            <w:r w:rsidRPr="00F07B6F">
              <w:rPr>
                <w:rFonts w:asciiTheme="majorHAnsi" w:hAnsiTheme="majorHAnsi"/>
                <w:sz w:val="22"/>
                <w:szCs w:val="22"/>
              </w:rPr>
              <w:t>Closed loop transitions of care</w:t>
            </w:r>
          </w:p>
          <w:p w:rsidR="0025083E" w:rsidRPr="00F07B6F" w:rsidRDefault="0025083E" w:rsidP="0025083E">
            <w:pPr>
              <w:pStyle w:val="ListParagraph"/>
              <w:numPr>
                <w:ilvl w:val="0"/>
                <w:numId w:val="23"/>
              </w:numPr>
              <w:rPr>
                <w:rFonts w:asciiTheme="majorHAnsi" w:hAnsiTheme="majorHAnsi"/>
                <w:sz w:val="22"/>
                <w:szCs w:val="22"/>
              </w:rPr>
            </w:pPr>
            <w:r w:rsidRPr="00F07B6F">
              <w:rPr>
                <w:rFonts w:asciiTheme="majorHAnsi" w:hAnsiTheme="majorHAnsi"/>
                <w:sz w:val="22"/>
                <w:szCs w:val="22"/>
              </w:rPr>
              <w:t>Secure clinical communications</w:t>
            </w:r>
          </w:p>
          <w:p w:rsidR="0025083E" w:rsidRPr="00F07B6F" w:rsidRDefault="0025083E" w:rsidP="0025083E">
            <w:pPr>
              <w:pStyle w:val="ListParagraph"/>
              <w:numPr>
                <w:ilvl w:val="0"/>
                <w:numId w:val="23"/>
              </w:numPr>
              <w:rPr>
                <w:rFonts w:asciiTheme="majorHAnsi" w:hAnsiTheme="majorHAnsi"/>
                <w:sz w:val="22"/>
                <w:szCs w:val="22"/>
              </w:rPr>
            </w:pPr>
            <w:r w:rsidRPr="00F07B6F">
              <w:rPr>
                <w:rFonts w:asciiTheme="majorHAnsi" w:hAnsiTheme="majorHAnsi"/>
                <w:sz w:val="22"/>
                <w:szCs w:val="22"/>
              </w:rPr>
              <w:t>Prior authorizations, medication co-pays and imaging appropriateness</w:t>
            </w:r>
          </w:p>
          <w:p w:rsidR="0025083E" w:rsidRPr="00F07B6F" w:rsidRDefault="0025083E" w:rsidP="0025083E">
            <w:pPr>
              <w:pStyle w:val="ListParagraph"/>
              <w:numPr>
                <w:ilvl w:val="0"/>
                <w:numId w:val="23"/>
              </w:numPr>
              <w:rPr>
                <w:rFonts w:asciiTheme="majorHAnsi" w:hAnsiTheme="majorHAnsi"/>
                <w:sz w:val="22"/>
                <w:szCs w:val="22"/>
              </w:rPr>
            </w:pPr>
            <w:r w:rsidRPr="00F07B6F">
              <w:rPr>
                <w:rFonts w:asciiTheme="majorHAnsi" w:hAnsiTheme="majorHAnsi"/>
                <w:sz w:val="22"/>
                <w:szCs w:val="22"/>
              </w:rPr>
              <w:t>CPOE for services and diagnostic testing</w:t>
            </w:r>
          </w:p>
          <w:p w:rsidR="0025083E" w:rsidRPr="0025083E" w:rsidRDefault="0025083E" w:rsidP="0025083E">
            <w:pPr>
              <w:pStyle w:val="ListParagraph"/>
              <w:numPr>
                <w:ilvl w:val="0"/>
                <w:numId w:val="23"/>
              </w:numPr>
              <w:rPr>
                <w:rFonts w:asciiTheme="majorHAnsi" w:hAnsiTheme="majorHAnsi"/>
                <w:b/>
                <w:sz w:val="22"/>
                <w:szCs w:val="22"/>
              </w:rPr>
            </w:pPr>
            <w:r w:rsidRPr="00F07B6F">
              <w:rPr>
                <w:rFonts w:asciiTheme="majorHAnsi" w:hAnsiTheme="majorHAnsi"/>
                <w:sz w:val="22"/>
                <w:szCs w:val="22"/>
              </w:rPr>
              <w:t>e-prescribing of controlled substances with concurrent availability of PDMP data</w:t>
            </w:r>
          </w:p>
        </w:tc>
      </w:tr>
      <w:tr w:rsidR="0095632E" w:rsidRPr="00687E91" w:rsidTr="00F07B6F">
        <w:trPr>
          <w:trHeight w:val="440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DA3413" w:rsidRDefault="007577A8" w:rsidP="007577A8">
            <w:pPr>
              <w:jc w:val="center"/>
              <w:rPr>
                <w:rFonts w:asciiTheme="majorHAnsi" w:hAnsiTheme="majorHAnsi"/>
                <w:b/>
                <w:color w:val="FFFFFF" w:themeColor="background1"/>
                <w:sz w:val="22"/>
                <w:szCs w:val="22"/>
              </w:rPr>
            </w:pPr>
          </w:p>
          <w:p w:rsidR="007577A8" w:rsidRPr="00DA3413" w:rsidRDefault="007577A8" w:rsidP="007577A8">
            <w:pPr>
              <w:jc w:val="center"/>
              <w:rPr>
                <w:rFonts w:asciiTheme="majorHAnsi" w:hAnsiTheme="majorHAnsi"/>
                <w:b/>
                <w:color w:val="FFFFFF" w:themeColor="background1"/>
                <w:sz w:val="22"/>
                <w:szCs w:val="22"/>
              </w:rPr>
            </w:pPr>
          </w:p>
          <w:p w:rsidR="007577A8" w:rsidRPr="00DA3413" w:rsidRDefault="007577A8" w:rsidP="007577A8">
            <w:pPr>
              <w:jc w:val="center"/>
              <w:rPr>
                <w:rFonts w:asciiTheme="majorHAnsi" w:hAnsiTheme="majorHAnsi"/>
                <w:b/>
                <w:color w:val="FFFFFF" w:themeColor="background1"/>
                <w:sz w:val="22"/>
                <w:szCs w:val="22"/>
              </w:rPr>
            </w:pPr>
          </w:p>
          <w:p w:rsidR="007577A8" w:rsidRPr="00DA3413" w:rsidRDefault="007577A8" w:rsidP="007577A8">
            <w:pPr>
              <w:jc w:val="center"/>
              <w:rPr>
                <w:rFonts w:asciiTheme="majorHAnsi" w:hAnsiTheme="majorHAnsi"/>
                <w:b/>
                <w:color w:val="FFFFFF" w:themeColor="background1"/>
                <w:sz w:val="22"/>
                <w:szCs w:val="22"/>
              </w:rPr>
            </w:pPr>
          </w:p>
          <w:p w:rsidR="007577A8" w:rsidRPr="00DA3413" w:rsidRDefault="007577A8" w:rsidP="007577A8">
            <w:pPr>
              <w:jc w:val="center"/>
              <w:rPr>
                <w:rFonts w:asciiTheme="majorHAnsi" w:hAnsiTheme="majorHAnsi"/>
                <w:b/>
                <w:color w:val="FFFFFF" w:themeColor="background1"/>
                <w:sz w:val="22"/>
                <w:szCs w:val="22"/>
              </w:rPr>
            </w:pPr>
          </w:p>
          <w:p w:rsidR="007577A8" w:rsidRPr="00DA3413" w:rsidRDefault="007577A8" w:rsidP="007577A8">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2021-2024</w:t>
            </w:r>
          </w:p>
          <w:p w:rsidR="0095632E" w:rsidRPr="00DA3413" w:rsidRDefault="007577A8" w:rsidP="007577A8">
            <w:pPr>
              <w:jc w:val="center"/>
              <w:rPr>
                <w:rFonts w:asciiTheme="majorHAnsi" w:hAnsiTheme="majorHAnsi"/>
                <w:b/>
                <w:color w:val="FFFFFF" w:themeColor="background1"/>
                <w:sz w:val="22"/>
                <w:szCs w:val="22"/>
              </w:rPr>
            </w:pPr>
            <w:r w:rsidRPr="00DA3413">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95632E" w:rsidRPr="00F07B6F" w:rsidRDefault="0095632E" w:rsidP="0095632E">
            <w:pPr>
              <w:pStyle w:val="ListParagraph"/>
              <w:numPr>
                <w:ilvl w:val="0"/>
                <w:numId w:val="22"/>
              </w:numPr>
              <w:rPr>
                <w:rFonts w:asciiTheme="majorHAnsi" w:hAnsiTheme="majorHAnsi"/>
                <w:sz w:val="22"/>
                <w:szCs w:val="22"/>
              </w:rPr>
            </w:pPr>
            <w:r w:rsidRPr="00F07B6F">
              <w:rPr>
                <w:rFonts w:asciiTheme="majorHAnsi" w:hAnsiTheme="majorHAnsi"/>
                <w:sz w:val="22"/>
                <w:szCs w:val="22"/>
              </w:rPr>
              <w:t>Call to action: Providers should engage with an expanded set of interoperable workflows, including:</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Plug-and-play clinical decision support services</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Electronic consultations</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Reporting to specialty society registries</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Reporting to value-based payment programs</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e-prescribing supported by complete medication fill history</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Discovery and incorporation of information from patient-owned devices with tools for reconciliation and validation</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Recommendation of patients to relevant studies and trials</w:t>
            </w:r>
          </w:p>
          <w:p w:rsidR="0095632E" w:rsidRPr="00F07B6F" w:rsidRDefault="0095632E" w:rsidP="0095632E">
            <w:pPr>
              <w:pStyle w:val="ListParagraph"/>
              <w:numPr>
                <w:ilvl w:val="0"/>
                <w:numId w:val="24"/>
              </w:numPr>
              <w:rPr>
                <w:rFonts w:asciiTheme="majorHAnsi" w:hAnsiTheme="majorHAnsi"/>
                <w:sz w:val="22"/>
                <w:szCs w:val="22"/>
              </w:rPr>
            </w:pPr>
            <w:r w:rsidRPr="00F07B6F">
              <w:rPr>
                <w:rFonts w:asciiTheme="majorHAnsi" w:hAnsiTheme="majorHAnsi"/>
                <w:sz w:val="22"/>
                <w:szCs w:val="22"/>
              </w:rPr>
              <w:t>Exchange of information to support comprehensive medication management and MTM services</w:t>
            </w:r>
          </w:p>
          <w:p w:rsidR="0095632E" w:rsidRPr="0025083E" w:rsidRDefault="0095632E" w:rsidP="0095632E">
            <w:pPr>
              <w:pStyle w:val="ListParagraph"/>
              <w:rPr>
                <w:rFonts w:asciiTheme="majorHAnsi" w:hAnsiTheme="majorHAnsi"/>
                <w:b/>
                <w:sz w:val="22"/>
                <w:szCs w:val="22"/>
              </w:rPr>
            </w:pPr>
          </w:p>
        </w:tc>
      </w:tr>
      <w:tr w:rsidR="0095632E" w:rsidRPr="00687E91" w:rsidTr="005460EB">
        <w:trPr>
          <w:trHeight w:val="188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95632E" w:rsidRPr="005460EB" w:rsidRDefault="0095632E" w:rsidP="0095632E">
            <w:pPr>
              <w:rPr>
                <w:rFonts w:asciiTheme="majorHAnsi" w:hAnsiTheme="majorHAnsi"/>
                <w:b/>
                <w:color w:val="FFFFFF" w:themeColor="background1"/>
                <w:sz w:val="22"/>
                <w:szCs w:val="22"/>
              </w:rPr>
            </w:pPr>
          </w:p>
          <w:p w:rsidR="0095632E" w:rsidRPr="005460EB" w:rsidRDefault="0095632E" w:rsidP="0095632E">
            <w:pPr>
              <w:rPr>
                <w:rFonts w:asciiTheme="majorHAnsi" w:hAnsiTheme="majorHAnsi"/>
                <w:b/>
                <w:color w:val="FFFFFF" w:themeColor="background1"/>
                <w:sz w:val="22"/>
                <w:szCs w:val="22"/>
              </w:rPr>
            </w:pPr>
          </w:p>
          <w:p w:rsidR="0095632E" w:rsidRPr="005460EB" w:rsidRDefault="0095632E" w:rsidP="009563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2021-2024</w:t>
            </w:r>
          </w:p>
          <w:p w:rsidR="0095632E" w:rsidRPr="005460EB" w:rsidRDefault="0095632E" w:rsidP="009563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95632E" w:rsidRPr="001347D1" w:rsidRDefault="0095632E" w:rsidP="001347D1">
            <w:pPr>
              <w:pStyle w:val="ListParagraph"/>
              <w:numPr>
                <w:ilvl w:val="0"/>
                <w:numId w:val="22"/>
              </w:numPr>
              <w:rPr>
                <w:rFonts w:asciiTheme="majorHAnsi" w:hAnsiTheme="majorHAnsi"/>
                <w:sz w:val="22"/>
                <w:szCs w:val="22"/>
              </w:rPr>
            </w:pPr>
            <w:r w:rsidRPr="001347D1">
              <w:rPr>
                <w:rFonts w:asciiTheme="majorHAnsi" w:hAnsiTheme="majorHAnsi"/>
                <w:sz w:val="22"/>
                <w:szCs w:val="22"/>
              </w:rPr>
              <w:t>Call to action: Providers should leverage a robust library of interoperable workflows to support care processes across the continuum of care, including tools for integration, reconciliation and validation of external information.</w:t>
            </w: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Pr="00CC642B" w:rsidRDefault="00F07B6F" w:rsidP="0095632E">
            <w:pPr>
              <w:rPr>
                <w:rFonts w:asciiTheme="majorHAnsi" w:hAnsiTheme="majorHAnsi"/>
                <w:sz w:val="22"/>
                <w:szCs w:val="22"/>
              </w:rPr>
            </w:pPr>
          </w:p>
        </w:tc>
      </w:tr>
      <w:tr w:rsidR="0095632E" w:rsidRPr="00687E91" w:rsidTr="005460EB">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632E" w:rsidRDefault="0095632E" w:rsidP="0095632E">
            <w:pPr>
              <w:rPr>
                <w:rFonts w:asciiTheme="majorHAnsi" w:hAnsiTheme="majorHAnsi"/>
                <w:b/>
                <w:sz w:val="22"/>
                <w:szCs w:val="22"/>
              </w:rPr>
            </w:pPr>
            <w:r w:rsidRPr="0095632E">
              <w:rPr>
                <w:rFonts w:asciiTheme="majorHAnsi" w:hAnsiTheme="majorHAnsi"/>
                <w:b/>
                <w:sz w:val="22"/>
                <w:szCs w:val="22"/>
              </w:rPr>
              <w:lastRenderedPageBreak/>
              <w:t>D5. Training and maintenance of certification for providers</w:t>
            </w:r>
          </w:p>
        </w:tc>
      </w:tr>
      <w:tr w:rsidR="0095632E" w:rsidRPr="00687E91" w:rsidTr="005460EB">
        <w:trPr>
          <w:trHeight w:val="116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C0085" w:rsidRPr="005460EB" w:rsidRDefault="00AC0085" w:rsidP="0095632E">
            <w:pPr>
              <w:jc w:val="center"/>
              <w:rPr>
                <w:rFonts w:asciiTheme="majorHAnsi" w:hAnsiTheme="majorHAnsi"/>
                <w:b/>
                <w:color w:val="FFFFFF" w:themeColor="background1"/>
                <w:sz w:val="22"/>
                <w:szCs w:val="22"/>
              </w:rPr>
            </w:pPr>
          </w:p>
          <w:p w:rsidR="00AC0085" w:rsidRPr="005460EB" w:rsidRDefault="00AC0085" w:rsidP="0095632E">
            <w:pPr>
              <w:jc w:val="center"/>
              <w:rPr>
                <w:rFonts w:asciiTheme="majorHAnsi" w:hAnsiTheme="majorHAnsi"/>
                <w:b/>
                <w:color w:val="FFFFFF" w:themeColor="background1"/>
                <w:sz w:val="22"/>
                <w:szCs w:val="22"/>
              </w:rPr>
            </w:pPr>
          </w:p>
          <w:p w:rsidR="0095632E" w:rsidRPr="005460EB" w:rsidRDefault="0095632E" w:rsidP="009563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2015-2017</w:t>
            </w:r>
          </w:p>
          <w:p w:rsidR="0095632E" w:rsidRPr="005460EB" w:rsidRDefault="0095632E" w:rsidP="009563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Send, receive, find and use a</w:t>
            </w:r>
          </w:p>
          <w:p w:rsidR="0095632E" w:rsidRPr="005460EB" w:rsidRDefault="0095632E" w:rsidP="009563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95632E" w:rsidRPr="00CC642B" w:rsidRDefault="0095632E" w:rsidP="0095632E">
            <w:pPr>
              <w:rPr>
                <w:rFonts w:asciiTheme="majorHAnsi" w:hAnsiTheme="majorHAnsi"/>
                <w:sz w:val="22"/>
                <w:szCs w:val="22"/>
              </w:rPr>
            </w:pPr>
            <w:r w:rsidRPr="00CC642B">
              <w:rPr>
                <w:rFonts w:asciiTheme="majorHAnsi" w:hAnsiTheme="majorHAnsi"/>
                <w:sz w:val="22"/>
                <w:szCs w:val="22"/>
              </w:rPr>
              <w:t>1. Call to action: Public and private stakeholders should incorporate interoperability into the training of new providers and continuing professional education.</w:t>
            </w:r>
          </w:p>
        </w:tc>
      </w:tr>
      <w:tr w:rsidR="0095632E" w:rsidRPr="00687E91" w:rsidTr="005460EB">
        <w:trPr>
          <w:trHeight w:val="1367"/>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95632E" w:rsidRPr="005460EB" w:rsidRDefault="0095632E" w:rsidP="0095632E">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95632E" w:rsidRPr="00CC642B" w:rsidRDefault="0095632E" w:rsidP="0095632E">
            <w:pPr>
              <w:rPr>
                <w:rFonts w:asciiTheme="majorHAnsi" w:hAnsiTheme="majorHAnsi"/>
                <w:sz w:val="22"/>
                <w:szCs w:val="22"/>
              </w:rPr>
            </w:pPr>
            <w:r w:rsidRPr="00CC642B">
              <w:rPr>
                <w:rFonts w:asciiTheme="majorHAnsi" w:hAnsiTheme="majorHAnsi"/>
                <w:sz w:val="22"/>
                <w:szCs w:val="22"/>
              </w:rPr>
              <w:t>2. Call to action: Professional specialty boards and other certifying bodies should agree on standards for interoperable registries and maintenance of certification.</w:t>
            </w:r>
          </w:p>
        </w:tc>
      </w:tr>
      <w:tr w:rsidR="00AC0085" w:rsidRPr="00687E91" w:rsidTr="005460EB">
        <w:trPr>
          <w:trHeight w:val="1223"/>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C0085" w:rsidRPr="005460EB" w:rsidRDefault="00AC0085" w:rsidP="00AC0085">
            <w:pPr>
              <w:jc w:val="center"/>
              <w:rPr>
                <w:rFonts w:asciiTheme="majorHAnsi" w:hAnsiTheme="majorHAnsi"/>
                <w:b/>
                <w:color w:val="FFFFFF" w:themeColor="background1"/>
                <w:sz w:val="22"/>
                <w:szCs w:val="22"/>
              </w:rPr>
            </w:pPr>
          </w:p>
          <w:p w:rsidR="00AC0085" w:rsidRPr="005460EB" w:rsidRDefault="00AC0085" w:rsidP="00AC0085">
            <w:pPr>
              <w:jc w:val="center"/>
              <w:rPr>
                <w:rFonts w:asciiTheme="majorHAnsi" w:hAnsiTheme="majorHAnsi"/>
                <w:b/>
                <w:color w:val="FFFFFF" w:themeColor="background1"/>
                <w:sz w:val="22"/>
                <w:szCs w:val="22"/>
              </w:rPr>
            </w:pPr>
          </w:p>
          <w:p w:rsidR="00AC0085" w:rsidRPr="005460EB" w:rsidRDefault="00AC0085" w:rsidP="00AC0085">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2018-2020</w:t>
            </w:r>
          </w:p>
          <w:p w:rsidR="00AC0085" w:rsidRPr="005460EB" w:rsidRDefault="00AC0085" w:rsidP="00AC0085">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AC0085" w:rsidRPr="00CC642B" w:rsidRDefault="00AC0085" w:rsidP="0095632E">
            <w:pPr>
              <w:rPr>
                <w:rFonts w:asciiTheme="majorHAnsi" w:hAnsiTheme="majorHAnsi"/>
                <w:sz w:val="22"/>
                <w:szCs w:val="22"/>
              </w:rPr>
            </w:pPr>
            <w:r w:rsidRPr="00CC642B">
              <w:rPr>
                <w:rFonts w:asciiTheme="majorHAnsi" w:hAnsiTheme="majorHAnsi"/>
                <w:sz w:val="22"/>
                <w:szCs w:val="22"/>
              </w:rPr>
              <w:t>3. Call to action: Public and private stakeholders should agree on a way in which to measure progress and competency of trainees is evaluated and scored using interoperable, standards based clinical information.</w:t>
            </w:r>
          </w:p>
        </w:tc>
      </w:tr>
      <w:tr w:rsidR="00AC0085" w:rsidRPr="00687E91" w:rsidTr="00F07B6F">
        <w:trPr>
          <w:trHeight w:val="161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C0085" w:rsidRPr="00AC0085" w:rsidRDefault="00AC0085" w:rsidP="00AC0085">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AC0085" w:rsidRPr="00CC642B" w:rsidRDefault="00AC0085" w:rsidP="0095632E">
            <w:pPr>
              <w:rPr>
                <w:rFonts w:asciiTheme="majorHAnsi" w:hAnsiTheme="majorHAnsi"/>
                <w:sz w:val="22"/>
                <w:szCs w:val="22"/>
              </w:rPr>
            </w:pPr>
            <w:r w:rsidRPr="00CC642B">
              <w:rPr>
                <w:rFonts w:asciiTheme="majorHAnsi" w:hAnsiTheme="majorHAnsi"/>
                <w:sz w:val="22"/>
                <w:szCs w:val="22"/>
              </w:rPr>
              <w:t>4. Call to action: Professional specialty boards and other certifying bodies should receive most of the information required from their diplomats through information exchanged in a standard format.</w:t>
            </w:r>
          </w:p>
        </w:tc>
      </w:tr>
      <w:tr w:rsidR="00AC0085" w:rsidRPr="00687E91" w:rsidTr="005460EB">
        <w:trPr>
          <w:trHeight w:val="125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C0085" w:rsidRPr="00AC0085" w:rsidRDefault="00AC0085" w:rsidP="00AC0085">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AC0085" w:rsidRDefault="00AC0085" w:rsidP="0095632E">
            <w:pPr>
              <w:rPr>
                <w:rFonts w:asciiTheme="majorHAnsi" w:hAnsiTheme="majorHAnsi"/>
                <w:sz w:val="22"/>
                <w:szCs w:val="22"/>
              </w:rPr>
            </w:pPr>
            <w:r w:rsidRPr="00CC642B">
              <w:rPr>
                <w:rFonts w:asciiTheme="majorHAnsi" w:hAnsiTheme="majorHAnsi"/>
                <w:sz w:val="22"/>
                <w:szCs w:val="22"/>
              </w:rPr>
              <w:t>5. Call to action: Professional specialty boards should utilize standardized electronic data and formats to populate registries.</w:t>
            </w: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Default="00F07B6F" w:rsidP="0095632E">
            <w:pPr>
              <w:rPr>
                <w:rFonts w:asciiTheme="majorHAnsi" w:hAnsiTheme="majorHAnsi"/>
                <w:sz w:val="22"/>
                <w:szCs w:val="22"/>
              </w:rPr>
            </w:pPr>
          </w:p>
          <w:p w:rsidR="00F07B6F" w:rsidRPr="00CC642B" w:rsidRDefault="00F07B6F" w:rsidP="0095632E">
            <w:pPr>
              <w:rPr>
                <w:rFonts w:asciiTheme="majorHAnsi" w:hAnsiTheme="majorHAnsi"/>
                <w:sz w:val="22"/>
                <w:szCs w:val="22"/>
              </w:rPr>
            </w:pPr>
          </w:p>
          <w:p w:rsidR="00AC0085" w:rsidRPr="00AC0085" w:rsidRDefault="00AC0085" w:rsidP="00AC0085">
            <w:pPr>
              <w:rPr>
                <w:rFonts w:asciiTheme="majorHAnsi" w:hAnsiTheme="majorHAnsi"/>
                <w:sz w:val="22"/>
                <w:szCs w:val="22"/>
              </w:rPr>
            </w:pPr>
          </w:p>
          <w:p w:rsidR="00AC0085" w:rsidRPr="00AC0085" w:rsidRDefault="00AC0085" w:rsidP="00AC0085">
            <w:pPr>
              <w:tabs>
                <w:tab w:val="left" w:pos="8475"/>
              </w:tabs>
              <w:rPr>
                <w:rFonts w:asciiTheme="majorHAnsi" w:hAnsiTheme="majorHAnsi"/>
                <w:sz w:val="22"/>
                <w:szCs w:val="22"/>
              </w:rPr>
            </w:pPr>
            <w:r>
              <w:rPr>
                <w:rFonts w:asciiTheme="majorHAnsi" w:hAnsiTheme="majorHAnsi"/>
                <w:sz w:val="22"/>
                <w:szCs w:val="22"/>
              </w:rPr>
              <w:tab/>
            </w:r>
          </w:p>
        </w:tc>
      </w:tr>
      <w:tr w:rsidR="007577A8" w:rsidRPr="00687E91" w:rsidTr="005460EB">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77A8" w:rsidRPr="00CE7609" w:rsidRDefault="007577A8" w:rsidP="0095632E">
            <w:pPr>
              <w:rPr>
                <w:rFonts w:asciiTheme="majorHAnsi" w:hAnsiTheme="majorHAnsi"/>
                <w:b/>
                <w:sz w:val="22"/>
                <w:szCs w:val="22"/>
              </w:rPr>
            </w:pPr>
            <w:r w:rsidRPr="007577A8">
              <w:rPr>
                <w:rFonts w:asciiTheme="majorHAnsi" w:hAnsiTheme="majorHAnsi"/>
                <w:b/>
                <w:sz w:val="22"/>
                <w:szCs w:val="22"/>
              </w:rPr>
              <w:lastRenderedPageBreak/>
              <w:t>D6. Innovation and Generation of New Knowledge and Evidence</w:t>
            </w:r>
          </w:p>
        </w:tc>
      </w:tr>
      <w:tr w:rsidR="007577A8" w:rsidRPr="00687E91" w:rsidTr="005460EB">
        <w:trPr>
          <w:trHeight w:val="1070"/>
        </w:trPr>
        <w:tc>
          <w:tcPr>
            <w:tcW w:w="17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2015-2017</w:t>
            </w: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Send, receive, find and use a</w:t>
            </w: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577A8" w:rsidRPr="00CC642B" w:rsidRDefault="007577A8" w:rsidP="0095632E">
            <w:pPr>
              <w:rPr>
                <w:rFonts w:asciiTheme="majorHAnsi" w:hAnsiTheme="majorHAnsi"/>
                <w:sz w:val="22"/>
                <w:szCs w:val="22"/>
              </w:rPr>
            </w:pPr>
            <w:r w:rsidRPr="00CC642B">
              <w:rPr>
                <w:rFonts w:asciiTheme="majorHAnsi" w:hAnsiTheme="majorHAnsi"/>
                <w:sz w:val="22"/>
                <w:szCs w:val="22"/>
              </w:rPr>
              <w:t>1. Call to action: Providers currently engaged in clinical research and quality improvement should work together with research institutions and other public and private stakeholders to establish a strategic plan for research and the generation of new knowledge.</w:t>
            </w:r>
          </w:p>
          <w:p w:rsidR="007577A8" w:rsidRPr="00CC642B" w:rsidRDefault="007577A8" w:rsidP="007577A8">
            <w:pPr>
              <w:rPr>
                <w:rFonts w:asciiTheme="majorHAnsi" w:hAnsiTheme="majorHAnsi"/>
                <w:sz w:val="22"/>
                <w:szCs w:val="22"/>
              </w:rPr>
            </w:pPr>
          </w:p>
          <w:p w:rsidR="007577A8" w:rsidRPr="00CC642B" w:rsidRDefault="007577A8" w:rsidP="007577A8">
            <w:pPr>
              <w:rPr>
                <w:rFonts w:asciiTheme="majorHAnsi" w:hAnsiTheme="majorHAnsi"/>
                <w:sz w:val="22"/>
                <w:szCs w:val="22"/>
              </w:rPr>
            </w:pPr>
          </w:p>
        </w:tc>
      </w:tr>
      <w:tr w:rsidR="007577A8" w:rsidRPr="00687E91" w:rsidTr="005460EB">
        <w:trPr>
          <w:trHeight w:val="116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5460EB" w:rsidRDefault="007577A8" w:rsidP="007577A8">
            <w:pPr>
              <w:jc w:val="center"/>
              <w:rPr>
                <w:rFonts w:asciiTheme="majorHAnsi" w:hAnsiTheme="majorHAnsi"/>
                <w:b/>
                <w:color w:val="FFFFFF" w:themeColor="background1"/>
                <w:sz w:val="22"/>
                <w:szCs w:val="22"/>
              </w:rPr>
            </w:pPr>
          </w:p>
          <w:p w:rsidR="007577A8" w:rsidRPr="005460EB" w:rsidRDefault="007577A8" w:rsidP="007577A8">
            <w:pPr>
              <w:jc w:val="center"/>
              <w:rPr>
                <w:rFonts w:asciiTheme="majorHAnsi" w:hAnsiTheme="majorHAnsi"/>
                <w:b/>
                <w:color w:val="FFFFFF" w:themeColor="background1"/>
                <w:sz w:val="22"/>
                <w:szCs w:val="22"/>
              </w:rPr>
            </w:pP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2018-2020</w:t>
            </w: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577A8" w:rsidRPr="00CC642B" w:rsidRDefault="007577A8" w:rsidP="0095632E">
            <w:pPr>
              <w:rPr>
                <w:rFonts w:asciiTheme="majorHAnsi" w:hAnsiTheme="majorHAnsi"/>
                <w:sz w:val="22"/>
                <w:szCs w:val="22"/>
              </w:rPr>
            </w:pPr>
            <w:r w:rsidRPr="00CC642B">
              <w:rPr>
                <w:rFonts w:asciiTheme="majorHAnsi" w:hAnsiTheme="majorHAnsi"/>
                <w:sz w:val="22"/>
                <w:szCs w:val="22"/>
              </w:rPr>
              <w:t>2. Call to action: Providers should further engage with the research community and should routinely offer patients and families participation in research and quality improvement programs.</w:t>
            </w:r>
          </w:p>
        </w:tc>
      </w:tr>
      <w:tr w:rsidR="007577A8" w:rsidRPr="00687E91" w:rsidTr="005460EB">
        <w:trPr>
          <w:trHeight w:val="125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5460EB" w:rsidRDefault="007577A8" w:rsidP="007577A8">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577A8" w:rsidRPr="00CC642B" w:rsidRDefault="007577A8" w:rsidP="0095632E">
            <w:pPr>
              <w:rPr>
                <w:rFonts w:asciiTheme="majorHAnsi" w:hAnsiTheme="majorHAnsi"/>
                <w:sz w:val="22"/>
                <w:szCs w:val="22"/>
              </w:rPr>
            </w:pPr>
            <w:r w:rsidRPr="00CC642B">
              <w:rPr>
                <w:rFonts w:asciiTheme="majorHAnsi" w:hAnsiTheme="majorHAnsi"/>
                <w:sz w:val="22"/>
                <w:szCs w:val="22"/>
              </w:rPr>
              <w:t>3. Call to action: Community or region-wide Institutional Review Boards should ensure that the appropriate patient protections are in place to conduct multi-sourced clinical research.</w:t>
            </w:r>
          </w:p>
        </w:tc>
      </w:tr>
      <w:tr w:rsidR="007577A8" w:rsidRPr="00687E91" w:rsidTr="00126B1D">
        <w:trPr>
          <w:trHeight w:val="1610"/>
        </w:trPr>
        <w:tc>
          <w:tcPr>
            <w:tcW w:w="172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5460EB" w:rsidRDefault="007577A8" w:rsidP="007577A8">
            <w:pPr>
              <w:jc w:val="center"/>
              <w:rPr>
                <w:rFonts w:asciiTheme="majorHAnsi" w:hAnsiTheme="majorHAnsi"/>
                <w:b/>
                <w:color w:val="FFFFFF" w:themeColor="background1"/>
                <w:sz w:val="22"/>
                <w:szCs w:val="22"/>
              </w:rPr>
            </w:pPr>
          </w:p>
          <w:p w:rsidR="007577A8" w:rsidRPr="005460EB" w:rsidRDefault="007577A8" w:rsidP="007577A8">
            <w:pPr>
              <w:jc w:val="center"/>
              <w:rPr>
                <w:rFonts w:asciiTheme="majorHAnsi" w:hAnsiTheme="majorHAnsi"/>
                <w:b/>
                <w:color w:val="FFFFFF" w:themeColor="background1"/>
                <w:sz w:val="22"/>
                <w:szCs w:val="22"/>
              </w:rPr>
            </w:pP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2021-2024</w:t>
            </w:r>
          </w:p>
          <w:p w:rsidR="007577A8" w:rsidRPr="005460EB" w:rsidRDefault="007577A8" w:rsidP="007577A8">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577A8" w:rsidRPr="00CC642B" w:rsidRDefault="007577A8" w:rsidP="0095632E">
            <w:pPr>
              <w:rPr>
                <w:rFonts w:asciiTheme="majorHAnsi" w:hAnsiTheme="majorHAnsi"/>
                <w:sz w:val="22"/>
                <w:szCs w:val="22"/>
              </w:rPr>
            </w:pPr>
            <w:r w:rsidRPr="00CC642B">
              <w:rPr>
                <w:rFonts w:asciiTheme="majorHAnsi" w:hAnsiTheme="majorHAnsi"/>
                <w:sz w:val="22"/>
                <w:szCs w:val="22"/>
              </w:rPr>
              <w:t>4. Call to action: Researchers, providers and other stakeholders should accelerate and measure the pace of innovation and research, as well as the dissemination of new knowledge to improve health and care.</w:t>
            </w:r>
          </w:p>
        </w:tc>
      </w:tr>
      <w:tr w:rsidR="007577A8" w:rsidRPr="00687E91" w:rsidTr="002312FA">
        <w:trPr>
          <w:trHeight w:val="1340"/>
        </w:trPr>
        <w:tc>
          <w:tcPr>
            <w:tcW w:w="172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577A8" w:rsidRPr="007577A8" w:rsidRDefault="007577A8" w:rsidP="007577A8">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7577A8" w:rsidRPr="00CC642B" w:rsidRDefault="007577A8" w:rsidP="0095632E">
            <w:pPr>
              <w:rPr>
                <w:rFonts w:asciiTheme="majorHAnsi" w:hAnsiTheme="majorHAnsi"/>
                <w:sz w:val="22"/>
                <w:szCs w:val="22"/>
              </w:rPr>
            </w:pPr>
            <w:r w:rsidRPr="00CC642B">
              <w:rPr>
                <w:rFonts w:asciiTheme="majorHAnsi" w:hAnsiTheme="majorHAnsi"/>
                <w:sz w:val="22"/>
                <w:szCs w:val="22"/>
              </w:rPr>
              <w:t>5. Call to action: Technology developers should enable patient-centered and future clinical research methods for accelerated deployment of research findings into clinical care.</w:t>
            </w:r>
          </w:p>
        </w:tc>
      </w:tr>
    </w:tbl>
    <w:p w:rsidR="00524B99" w:rsidRDefault="00524B99">
      <w:pPr>
        <w:rPr>
          <w:rFonts w:asciiTheme="majorHAnsi" w:hAnsiTheme="majorHAnsi"/>
        </w:rPr>
      </w:pPr>
    </w:p>
    <w:p w:rsidR="00006A2D" w:rsidRDefault="00006A2D">
      <w:pPr>
        <w:rPr>
          <w:rFonts w:asciiTheme="majorHAnsi" w:hAnsiTheme="majorHAnsi"/>
        </w:rPr>
      </w:pPr>
    </w:p>
    <w:p w:rsidR="00285151" w:rsidRDefault="00285151">
      <w:pPr>
        <w:rPr>
          <w:rFonts w:asciiTheme="majorHAnsi" w:hAnsiTheme="majorHAnsi"/>
        </w:rPr>
      </w:pPr>
    </w:p>
    <w:p w:rsidR="00006A2D" w:rsidRDefault="00006A2D">
      <w:pPr>
        <w:rPr>
          <w:rFonts w:asciiTheme="majorHAnsi" w:hAnsiTheme="majorHAnsi"/>
        </w:rPr>
      </w:pPr>
    </w:p>
    <w:p w:rsidR="008B182E" w:rsidRDefault="008B182E">
      <w:pPr>
        <w:rPr>
          <w:rFonts w:asciiTheme="majorHAnsi" w:hAnsiTheme="majorHAnsi"/>
        </w:rPr>
      </w:pPr>
    </w:p>
    <w:tbl>
      <w:tblPr>
        <w:tblW w:w="16935" w:type="dxa"/>
        <w:tblInd w:w="93" w:type="dxa"/>
        <w:tblLook w:val="04A0" w:firstRow="1" w:lastRow="0" w:firstColumn="1" w:lastColumn="0" w:noHBand="0" w:noVBand="1"/>
      </w:tblPr>
      <w:tblGrid>
        <w:gridCol w:w="1725"/>
        <w:gridCol w:w="15210"/>
      </w:tblGrid>
      <w:tr w:rsidR="008B182E" w:rsidRPr="00CE7609" w:rsidTr="005610B9">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182E" w:rsidRPr="00C2367D" w:rsidRDefault="008B182E" w:rsidP="008B182E">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Are the actions the right actions to improve interoperability nationwide in the near term while working toward a learning health system in the long term? </w:t>
            </w:r>
          </w:p>
          <w:p w:rsidR="008B182E" w:rsidRPr="00C2367D" w:rsidRDefault="008B182E" w:rsidP="008B182E">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What, if any, gaps need to be addressed? </w:t>
            </w:r>
          </w:p>
          <w:p w:rsidR="008B182E" w:rsidRPr="00C2367D" w:rsidRDefault="008B182E" w:rsidP="008B182E">
            <w:pPr>
              <w:numPr>
                <w:ilvl w:val="0"/>
                <w:numId w:val="21"/>
              </w:numPr>
              <w:rPr>
                <w:rFonts w:ascii="Calibri" w:eastAsia="Times New Roman" w:hAnsi="Calibri" w:cs="Times New Roman"/>
                <w:b/>
                <w:bCs/>
                <w:color w:val="000000"/>
                <w:sz w:val="22"/>
                <w:szCs w:val="22"/>
              </w:rPr>
            </w:pPr>
            <w:r w:rsidRPr="00C2367D">
              <w:rPr>
                <w:rFonts w:ascii="Calibri" w:eastAsia="Times New Roman" w:hAnsi="Calibri" w:cs="Times New Roman"/>
                <w:b/>
                <w:bCs/>
                <w:color w:val="000000"/>
                <w:sz w:val="22"/>
                <w:szCs w:val="22"/>
              </w:rPr>
              <w:t xml:space="preserve">Is the timing of specific actions appropriate? </w:t>
            </w:r>
          </w:p>
          <w:p w:rsidR="008B182E" w:rsidRPr="008B182E" w:rsidRDefault="008B182E" w:rsidP="008B182E">
            <w:pPr>
              <w:pStyle w:val="ListParagraph"/>
              <w:numPr>
                <w:ilvl w:val="0"/>
                <w:numId w:val="21"/>
              </w:numPr>
              <w:rPr>
                <w:rFonts w:asciiTheme="majorHAnsi" w:hAnsiTheme="majorHAnsi"/>
                <w:b/>
                <w:sz w:val="22"/>
                <w:szCs w:val="22"/>
              </w:rPr>
            </w:pPr>
            <w:r w:rsidRPr="008B182E">
              <w:rPr>
                <w:rFonts w:ascii="Calibri" w:eastAsia="Times New Roman" w:hAnsi="Calibri" w:cs="Times New Roman"/>
                <w:b/>
                <w:bCs/>
                <w:color w:val="000000"/>
                <w:sz w:val="22"/>
                <w:szCs w:val="22"/>
              </w:rPr>
              <w:t>Are the right actors/stakeholders associated with critical actions?</w:t>
            </w:r>
          </w:p>
        </w:tc>
      </w:tr>
      <w:tr w:rsidR="008B182E" w:rsidRPr="00CE7609" w:rsidTr="005610B9">
        <w:trPr>
          <w:trHeight w:val="440"/>
        </w:trPr>
        <w:tc>
          <w:tcPr>
            <w:tcW w:w="169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182E" w:rsidRPr="00CE7609" w:rsidRDefault="008B182E" w:rsidP="005610B9">
            <w:pPr>
              <w:rPr>
                <w:rFonts w:asciiTheme="majorHAnsi" w:hAnsiTheme="majorHAnsi"/>
                <w:b/>
                <w:sz w:val="22"/>
                <w:szCs w:val="22"/>
              </w:rPr>
            </w:pPr>
            <w:r>
              <w:rPr>
                <w:rFonts w:asciiTheme="majorHAnsi" w:hAnsiTheme="majorHAnsi"/>
                <w:b/>
                <w:sz w:val="22"/>
                <w:szCs w:val="22"/>
              </w:rPr>
              <w:t>D7</w:t>
            </w:r>
            <w:r w:rsidRPr="007577A8">
              <w:rPr>
                <w:rFonts w:asciiTheme="majorHAnsi" w:hAnsiTheme="majorHAnsi"/>
                <w:b/>
                <w:sz w:val="22"/>
                <w:szCs w:val="22"/>
              </w:rPr>
              <w:t xml:space="preserve">. </w:t>
            </w:r>
            <w:r w:rsidRPr="008B182E">
              <w:rPr>
                <w:rFonts w:asciiTheme="majorHAnsi" w:hAnsiTheme="majorHAnsi"/>
                <w:b/>
                <w:sz w:val="22"/>
                <w:szCs w:val="22"/>
              </w:rPr>
              <w:t>Transparency of Value and engagement of patients, families, and caregivers</w:t>
            </w:r>
          </w:p>
        </w:tc>
      </w:tr>
      <w:tr w:rsidR="008B182E" w:rsidRPr="00CC642B" w:rsidTr="008B182E">
        <w:trPr>
          <w:trHeight w:val="2123"/>
        </w:trPr>
        <w:tc>
          <w:tcPr>
            <w:tcW w:w="1725" w:type="dxa"/>
            <w:vMerge w:val="restart"/>
            <w:tcBorders>
              <w:top w:val="single" w:sz="4" w:space="0" w:color="auto"/>
              <w:left w:val="single" w:sz="4" w:space="0" w:color="auto"/>
              <w:right w:val="single" w:sz="4" w:space="0" w:color="auto"/>
            </w:tcBorders>
            <w:shd w:val="clear" w:color="auto" w:fill="365F91" w:themeFill="accent1" w:themeFillShade="BF"/>
            <w:vAlign w:val="center"/>
          </w:tcPr>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2015-2017</w:t>
            </w: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Send, receive, find and use a</w:t>
            </w: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common clinical data set</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1. Call to action: Providers should work together with purchasers of care to have access to patient out-of-pocket costs and those of payers and purchasers. Providers are engaged in regional efforts to measure quality and maximize value.</w:t>
            </w:r>
          </w:p>
          <w:p w:rsidR="008B182E" w:rsidRPr="00CC642B" w:rsidRDefault="008B182E" w:rsidP="005610B9">
            <w:pPr>
              <w:rPr>
                <w:rFonts w:asciiTheme="majorHAnsi" w:hAnsiTheme="majorHAnsi"/>
                <w:sz w:val="22"/>
                <w:szCs w:val="22"/>
              </w:rPr>
            </w:pPr>
          </w:p>
        </w:tc>
      </w:tr>
      <w:tr w:rsidR="008B182E" w:rsidRPr="00CC642B" w:rsidTr="008B182E">
        <w:trPr>
          <w:trHeight w:val="2213"/>
        </w:trPr>
        <w:tc>
          <w:tcPr>
            <w:tcW w:w="1725" w:type="dxa"/>
            <w:vMerge/>
            <w:tcBorders>
              <w:left w:val="single" w:sz="4" w:space="0" w:color="auto"/>
              <w:right w:val="single" w:sz="4" w:space="0" w:color="auto"/>
            </w:tcBorders>
            <w:shd w:val="clear" w:color="auto" w:fill="365F91" w:themeFill="accent1" w:themeFillShade="BF"/>
            <w:vAlign w:val="center"/>
          </w:tcPr>
          <w:p w:rsidR="008B182E" w:rsidRPr="005460EB" w:rsidRDefault="008B182E" w:rsidP="008B182E">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2. Call to action: Providers should offer and encourage access to medical records and secure communications with all patients and any family and caregivers who are authorized to engage in such</w:t>
            </w:r>
          </w:p>
        </w:tc>
      </w:tr>
      <w:tr w:rsidR="008B182E" w:rsidRPr="00CC642B" w:rsidTr="00C50505">
        <w:trPr>
          <w:trHeight w:val="1343"/>
        </w:trPr>
        <w:tc>
          <w:tcPr>
            <w:tcW w:w="1725" w:type="dxa"/>
            <w:vMerge/>
            <w:tcBorders>
              <w:left w:val="single" w:sz="4" w:space="0" w:color="auto"/>
              <w:bottom w:val="single" w:sz="4" w:space="0" w:color="auto"/>
              <w:right w:val="single" w:sz="4" w:space="0" w:color="auto"/>
            </w:tcBorders>
            <w:shd w:val="clear" w:color="auto" w:fill="365F91" w:themeFill="accent1" w:themeFillShade="BF"/>
            <w:vAlign w:val="center"/>
          </w:tcPr>
          <w:p w:rsidR="008B182E" w:rsidRPr="005460EB" w:rsidRDefault="008B182E" w:rsidP="008B182E">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8B182E" w:rsidRDefault="008B182E" w:rsidP="008B182E">
            <w:pPr>
              <w:pStyle w:val="ListParagraph"/>
              <w:numPr>
                <w:ilvl w:val="0"/>
                <w:numId w:val="27"/>
              </w:numPr>
              <w:rPr>
                <w:rFonts w:asciiTheme="majorHAnsi" w:hAnsiTheme="majorHAnsi"/>
                <w:sz w:val="22"/>
                <w:szCs w:val="22"/>
              </w:rPr>
            </w:pPr>
            <w:r w:rsidRPr="008B182E">
              <w:rPr>
                <w:rFonts w:asciiTheme="majorHAnsi" w:hAnsiTheme="majorHAnsi"/>
                <w:sz w:val="22"/>
                <w:szCs w:val="22"/>
              </w:rPr>
              <w:t>Call to action: Providers should support consumers in downloading or transmitting their health information to a destination of their choice.</w:t>
            </w: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Pr="008B182E" w:rsidRDefault="008B182E" w:rsidP="008B182E">
            <w:pPr>
              <w:rPr>
                <w:rFonts w:asciiTheme="majorHAnsi" w:hAnsiTheme="majorHAnsi"/>
                <w:sz w:val="22"/>
                <w:szCs w:val="22"/>
              </w:rPr>
            </w:pPr>
          </w:p>
        </w:tc>
      </w:tr>
      <w:tr w:rsidR="008B182E" w:rsidRPr="00CC642B" w:rsidTr="008B182E">
        <w:trPr>
          <w:trHeight w:val="1700"/>
        </w:trPr>
        <w:tc>
          <w:tcPr>
            <w:tcW w:w="1725" w:type="dxa"/>
            <w:vMerge w:val="restart"/>
            <w:tcBorders>
              <w:top w:val="single" w:sz="4" w:space="0" w:color="auto"/>
              <w:left w:val="single" w:sz="4" w:space="0" w:color="auto"/>
              <w:right w:val="single" w:sz="4" w:space="0" w:color="auto"/>
            </w:tcBorders>
            <w:shd w:val="clear" w:color="auto" w:fill="365F91" w:themeFill="accent1" w:themeFillShade="BF"/>
            <w:vAlign w:val="center"/>
          </w:tcPr>
          <w:p w:rsidR="008B182E" w:rsidRPr="005460EB" w:rsidRDefault="008B182E" w:rsidP="008B182E">
            <w:pPr>
              <w:jc w:val="center"/>
              <w:rPr>
                <w:rFonts w:asciiTheme="majorHAnsi" w:hAnsiTheme="majorHAnsi"/>
                <w:b/>
                <w:color w:val="FFFFFF" w:themeColor="background1"/>
                <w:sz w:val="22"/>
                <w:szCs w:val="22"/>
              </w:rPr>
            </w:pPr>
          </w:p>
          <w:p w:rsidR="008B182E" w:rsidRPr="005460EB" w:rsidRDefault="008B182E" w:rsidP="008B182E">
            <w:pPr>
              <w:jc w:val="center"/>
              <w:rPr>
                <w:rFonts w:asciiTheme="majorHAnsi" w:hAnsiTheme="majorHAnsi"/>
                <w:b/>
                <w:color w:val="FFFFFF" w:themeColor="background1"/>
                <w:sz w:val="22"/>
                <w:szCs w:val="22"/>
              </w:rPr>
            </w:pP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2018-2020</w:t>
            </w: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Expand interoperable health IT and users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4. Call to action: Providers should routinely utilize cost and quality data to make shared diagnostic and treatment planning decisions.</w:t>
            </w:r>
          </w:p>
        </w:tc>
      </w:tr>
      <w:tr w:rsidR="008B182E" w:rsidRPr="00CC642B" w:rsidTr="00FB1566">
        <w:trPr>
          <w:trHeight w:val="1970"/>
        </w:trPr>
        <w:tc>
          <w:tcPr>
            <w:tcW w:w="1725" w:type="dxa"/>
            <w:vMerge/>
            <w:tcBorders>
              <w:left w:val="single" w:sz="4" w:space="0" w:color="auto"/>
              <w:right w:val="single" w:sz="4" w:space="0" w:color="auto"/>
            </w:tcBorders>
            <w:shd w:val="clear" w:color="auto" w:fill="365F91" w:themeFill="accent1" w:themeFillShade="BF"/>
          </w:tcPr>
          <w:p w:rsidR="008B182E" w:rsidRPr="005460EB" w:rsidRDefault="008B182E" w:rsidP="005610B9">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5. Call to action: Providers should work together with purchasers of care to develop, test and implement appropriate and credible indicators of value.</w:t>
            </w:r>
          </w:p>
        </w:tc>
      </w:tr>
      <w:tr w:rsidR="008B182E" w:rsidRPr="00CC642B" w:rsidTr="00FB1566">
        <w:trPr>
          <w:trHeight w:val="1250"/>
        </w:trPr>
        <w:tc>
          <w:tcPr>
            <w:tcW w:w="1725" w:type="dxa"/>
            <w:vMerge/>
            <w:tcBorders>
              <w:left w:val="single" w:sz="4" w:space="0" w:color="auto"/>
              <w:bottom w:val="single" w:sz="4" w:space="0" w:color="auto"/>
              <w:right w:val="single" w:sz="4" w:space="0" w:color="auto"/>
            </w:tcBorders>
            <w:shd w:val="clear" w:color="auto" w:fill="365F91" w:themeFill="accent1" w:themeFillShade="BF"/>
          </w:tcPr>
          <w:p w:rsidR="008B182E" w:rsidRPr="005460EB" w:rsidRDefault="008B182E" w:rsidP="005610B9">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8B182E" w:rsidRDefault="008B182E" w:rsidP="008B182E">
            <w:pPr>
              <w:rPr>
                <w:rFonts w:asciiTheme="majorHAnsi" w:hAnsiTheme="majorHAnsi"/>
                <w:sz w:val="22"/>
                <w:szCs w:val="22"/>
              </w:rPr>
            </w:pPr>
            <w:r>
              <w:rPr>
                <w:rFonts w:asciiTheme="majorHAnsi" w:hAnsiTheme="majorHAnsi"/>
                <w:sz w:val="22"/>
                <w:szCs w:val="22"/>
              </w:rPr>
              <w:t xml:space="preserve">6. </w:t>
            </w:r>
            <w:r w:rsidRPr="008B182E">
              <w:rPr>
                <w:rFonts w:asciiTheme="majorHAnsi" w:hAnsiTheme="majorHAnsi"/>
                <w:sz w:val="22"/>
                <w:szCs w:val="22"/>
              </w:rPr>
              <w:t>Call to action: Providers should support consumer-facing services such as:</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Online scheduling</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Medication refill requests</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Electronic/Telehealth Visits</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Patient provided device data, screenings and assessments</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Informed consent and education modules</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Integration of patient-generated health data in the medical record</w:t>
            </w:r>
          </w:p>
          <w:p w:rsidR="008B182E" w:rsidRP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Patient-defined goals of care</w:t>
            </w:r>
          </w:p>
          <w:p w:rsidR="008B182E" w:rsidRDefault="008B182E" w:rsidP="008B182E">
            <w:pPr>
              <w:pStyle w:val="ListParagraph"/>
              <w:numPr>
                <w:ilvl w:val="0"/>
                <w:numId w:val="24"/>
              </w:numPr>
              <w:rPr>
                <w:rFonts w:asciiTheme="majorHAnsi" w:hAnsiTheme="majorHAnsi"/>
                <w:sz w:val="22"/>
                <w:szCs w:val="22"/>
              </w:rPr>
            </w:pPr>
            <w:r w:rsidRPr="008B182E">
              <w:rPr>
                <w:rFonts w:asciiTheme="majorHAnsi" w:hAnsiTheme="majorHAnsi"/>
                <w:sz w:val="22"/>
                <w:szCs w:val="22"/>
              </w:rPr>
              <w:t>Shared care planning</w:t>
            </w: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Default="008B182E" w:rsidP="008B182E">
            <w:pPr>
              <w:rPr>
                <w:rFonts w:asciiTheme="majorHAnsi" w:hAnsiTheme="majorHAnsi"/>
                <w:sz w:val="22"/>
                <w:szCs w:val="22"/>
              </w:rPr>
            </w:pPr>
          </w:p>
          <w:p w:rsidR="008B182E" w:rsidRPr="008B182E" w:rsidRDefault="008B182E" w:rsidP="008B182E">
            <w:pPr>
              <w:rPr>
                <w:rFonts w:asciiTheme="majorHAnsi" w:hAnsiTheme="majorHAnsi"/>
                <w:sz w:val="22"/>
                <w:szCs w:val="22"/>
              </w:rPr>
            </w:pPr>
          </w:p>
        </w:tc>
      </w:tr>
      <w:tr w:rsidR="008B182E" w:rsidRPr="00CC642B" w:rsidTr="008B182E">
        <w:trPr>
          <w:trHeight w:val="2510"/>
        </w:trPr>
        <w:tc>
          <w:tcPr>
            <w:tcW w:w="1725" w:type="dxa"/>
            <w:vMerge w:val="restart"/>
            <w:tcBorders>
              <w:top w:val="single" w:sz="4" w:space="0" w:color="auto"/>
              <w:left w:val="single" w:sz="4" w:space="0" w:color="auto"/>
              <w:right w:val="single" w:sz="4" w:space="0" w:color="auto"/>
            </w:tcBorders>
            <w:shd w:val="clear" w:color="auto" w:fill="365F91" w:themeFill="accent1" w:themeFillShade="BF"/>
            <w:vAlign w:val="center"/>
          </w:tcPr>
          <w:p w:rsidR="008B182E" w:rsidRPr="005460EB" w:rsidRDefault="008B182E" w:rsidP="008B182E">
            <w:pPr>
              <w:jc w:val="center"/>
              <w:rPr>
                <w:rFonts w:asciiTheme="majorHAnsi" w:hAnsiTheme="majorHAnsi"/>
                <w:b/>
                <w:color w:val="FFFFFF" w:themeColor="background1"/>
                <w:sz w:val="22"/>
                <w:szCs w:val="22"/>
              </w:rPr>
            </w:pPr>
          </w:p>
          <w:p w:rsidR="008B182E" w:rsidRPr="005460EB" w:rsidRDefault="008B182E" w:rsidP="008B182E">
            <w:pPr>
              <w:jc w:val="center"/>
              <w:rPr>
                <w:rFonts w:asciiTheme="majorHAnsi" w:hAnsiTheme="majorHAnsi"/>
                <w:b/>
                <w:color w:val="FFFFFF" w:themeColor="background1"/>
                <w:sz w:val="22"/>
                <w:szCs w:val="22"/>
              </w:rPr>
            </w:pP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2021-2024</w:t>
            </w:r>
          </w:p>
          <w:p w:rsidR="008B182E" w:rsidRPr="005460EB" w:rsidRDefault="008B182E" w:rsidP="008B182E">
            <w:pPr>
              <w:jc w:val="center"/>
              <w:rPr>
                <w:rFonts w:asciiTheme="majorHAnsi" w:hAnsiTheme="majorHAnsi"/>
                <w:b/>
                <w:color w:val="FFFFFF" w:themeColor="background1"/>
                <w:sz w:val="22"/>
                <w:szCs w:val="22"/>
              </w:rPr>
            </w:pPr>
            <w:r w:rsidRPr="005460EB">
              <w:rPr>
                <w:rFonts w:asciiTheme="majorHAnsi" w:hAnsiTheme="majorHAnsi"/>
                <w:b/>
                <w:color w:val="FFFFFF" w:themeColor="background1"/>
                <w:sz w:val="22"/>
                <w:szCs w:val="22"/>
              </w:rPr>
              <w:t>Achieve  nationwide LHS</w:t>
            </w: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7. Call to action: Providers should demonstrate the value of their care to those who receive and pay for it using objective, trusted metrics.</w:t>
            </w:r>
          </w:p>
        </w:tc>
      </w:tr>
      <w:tr w:rsidR="008B182E" w:rsidRPr="00CC642B" w:rsidTr="008B182E">
        <w:trPr>
          <w:trHeight w:val="2690"/>
        </w:trPr>
        <w:tc>
          <w:tcPr>
            <w:tcW w:w="1725" w:type="dxa"/>
            <w:vMerge/>
            <w:tcBorders>
              <w:left w:val="single" w:sz="4" w:space="0" w:color="auto"/>
              <w:right w:val="single" w:sz="4" w:space="0" w:color="auto"/>
            </w:tcBorders>
            <w:shd w:val="clear" w:color="auto" w:fill="365F91" w:themeFill="accent1" w:themeFillShade="BF"/>
          </w:tcPr>
          <w:p w:rsidR="008B182E" w:rsidRPr="007577A8" w:rsidRDefault="008B182E" w:rsidP="005610B9">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8. Call to action: Providers and individuals should work together to substantially reduce the burden of care coordination through patient-centered tools and sharing and use of electronic health information.</w:t>
            </w:r>
          </w:p>
        </w:tc>
      </w:tr>
      <w:tr w:rsidR="008B182E" w:rsidRPr="00CC642B" w:rsidTr="008B182E">
        <w:trPr>
          <w:trHeight w:val="3140"/>
        </w:trPr>
        <w:tc>
          <w:tcPr>
            <w:tcW w:w="1725" w:type="dxa"/>
            <w:vMerge/>
            <w:tcBorders>
              <w:left w:val="single" w:sz="4" w:space="0" w:color="auto"/>
              <w:bottom w:val="single" w:sz="4" w:space="0" w:color="auto"/>
              <w:right w:val="single" w:sz="4" w:space="0" w:color="auto"/>
            </w:tcBorders>
            <w:shd w:val="clear" w:color="auto" w:fill="365F91" w:themeFill="accent1" w:themeFillShade="BF"/>
          </w:tcPr>
          <w:p w:rsidR="008B182E" w:rsidRPr="007577A8" w:rsidRDefault="008B182E" w:rsidP="005610B9">
            <w:pPr>
              <w:jc w:val="center"/>
              <w:rPr>
                <w:rFonts w:asciiTheme="majorHAnsi" w:hAnsiTheme="majorHAnsi"/>
                <w:b/>
                <w:color w:val="FFFFFF" w:themeColor="background1"/>
                <w:sz w:val="22"/>
                <w:szCs w:val="22"/>
              </w:rPr>
            </w:pPr>
          </w:p>
        </w:tc>
        <w:tc>
          <w:tcPr>
            <w:tcW w:w="15210" w:type="dxa"/>
            <w:tcBorders>
              <w:top w:val="single" w:sz="4" w:space="0" w:color="auto"/>
              <w:left w:val="single" w:sz="4" w:space="0" w:color="auto"/>
              <w:bottom w:val="single" w:sz="4" w:space="0" w:color="auto"/>
              <w:right w:val="single" w:sz="4" w:space="0" w:color="auto"/>
            </w:tcBorders>
            <w:shd w:val="clear" w:color="auto" w:fill="auto"/>
          </w:tcPr>
          <w:p w:rsidR="008B182E" w:rsidRPr="00CC642B" w:rsidRDefault="008B182E" w:rsidP="005610B9">
            <w:pPr>
              <w:rPr>
                <w:rFonts w:asciiTheme="majorHAnsi" w:hAnsiTheme="majorHAnsi"/>
                <w:sz w:val="22"/>
                <w:szCs w:val="22"/>
              </w:rPr>
            </w:pPr>
            <w:r w:rsidRPr="008B182E">
              <w:rPr>
                <w:rFonts w:asciiTheme="majorHAnsi" w:hAnsiTheme="majorHAnsi"/>
                <w:sz w:val="22"/>
                <w:szCs w:val="22"/>
              </w:rPr>
              <w:t>9. Call to action: Individuals should interact easily and seamlessly with their care team as they transition into and out of the health care system, communicating remotely with their care team as needed over time, rather than only in face-to-face care situations.</w:t>
            </w:r>
          </w:p>
        </w:tc>
      </w:tr>
    </w:tbl>
    <w:p w:rsidR="008B182E" w:rsidRPr="00985BD8" w:rsidRDefault="008B182E">
      <w:pPr>
        <w:rPr>
          <w:rFonts w:asciiTheme="majorHAnsi" w:hAnsiTheme="majorHAnsi"/>
        </w:rPr>
      </w:pPr>
    </w:p>
    <w:sectPr w:rsidR="008B182E" w:rsidRPr="00985BD8" w:rsidSect="00C95560">
      <w:headerReference w:type="default" r:id="rId9"/>
      <w:footerReference w:type="default" r:id="rId10"/>
      <w:pgSz w:w="2016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3E" w:rsidRDefault="0023153E" w:rsidP="006641EF">
      <w:r>
        <w:separator/>
      </w:r>
    </w:p>
  </w:endnote>
  <w:endnote w:type="continuationSeparator" w:id="0">
    <w:p w:rsidR="0023153E" w:rsidRDefault="0023153E" w:rsidP="006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56280"/>
      <w:docPartObj>
        <w:docPartGallery w:val="Page Numbers (Bottom of Page)"/>
        <w:docPartUnique/>
      </w:docPartObj>
    </w:sdtPr>
    <w:sdtEndPr>
      <w:rPr>
        <w:noProof/>
      </w:rPr>
    </w:sdtEndPr>
    <w:sdtContent>
      <w:p w:rsidR="00A13827" w:rsidRDefault="008503AE">
        <w:pPr>
          <w:pStyle w:val="Footer"/>
        </w:pPr>
        <w:r>
          <w:fldChar w:fldCharType="begin"/>
        </w:r>
        <w:r w:rsidR="00A13827">
          <w:instrText xml:space="preserve"> PAGE   \* MERGEFORMAT </w:instrText>
        </w:r>
        <w:r>
          <w:fldChar w:fldCharType="separate"/>
        </w:r>
        <w:r w:rsidR="00CD4567">
          <w:rPr>
            <w:noProof/>
          </w:rPr>
          <w:t>1</w:t>
        </w:r>
        <w:r>
          <w:rPr>
            <w:noProof/>
          </w:rPr>
          <w:fldChar w:fldCharType="end"/>
        </w:r>
      </w:p>
    </w:sdtContent>
  </w:sdt>
  <w:p w:rsidR="00A13827" w:rsidRDefault="00A13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3E" w:rsidRDefault="0023153E" w:rsidP="006641EF">
      <w:r>
        <w:separator/>
      </w:r>
    </w:p>
  </w:footnote>
  <w:footnote w:type="continuationSeparator" w:id="0">
    <w:p w:rsidR="0023153E" w:rsidRDefault="0023153E" w:rsidP="0066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8A6CB4">
    <w:pPr>
      <w:pStyle w:val="Header"/>
    </w:pPr>
    <w:r>
      <w:t>2/23/2015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CEF"/>
    <w:multiLevelType w:val="hybridMultilevel"/>
    <w:tmpl w:val="BEC4F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C530D"/>
    <w:multiLevelType w:val="hybridMultilevel"/>
    <w:tmpl w:val="806AE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1316E"/>
    <w:multiLevelType w:val="hybridMultilevel"/>
    <w:tmpl w:val="2E747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8E36CE"/>
    <w:multiLevelType w:val="hybridMultilevel"/>
    <w:tmpl w:val="09A09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D37EA"/>
    <w:multiLevelType w:val="hybridMultilevel"/>
    <w:tmpl w:val="72FC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162DC9"/>
    <w:multiLevelType w:val="hybridMultilevel"/>
    <w:tmpl w:val="49D85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3C0668"/>
    <w:multiLevelType w:val="hybridMultilevel"/>
    <w:tmpl w:val="0B8C3B6E"/>
    <w:lvl w:ilvl="0" w:tplc="5CFC87AE">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ind w:left="1080" w:hanging="360"/>
      </w:pPr>
      <w:rPr>
        <w:rFonts w:hint="default"/>
      </w:rPr>
    </w:lvl>
    <w:lvl w:ilvl="2" w:tplc="3612D544" w:tentative="1">
      <w:start w:val="1"/>
      <w:numFmt w:val="bullet"/>
      <w:lvlText w:val="–"/>
      <w:lvlJc w:val="left"/>
      <w:pPr>
        <w:tabs>
          <w:tab w:val="num" w:pos="1800"/>
        </w:tabs>
        <w:ind w:left="1800" w:hanging="360"/>
      </w:pPr>
      <w:rPr>
        <w:rFonts w:ascii="Arial" w:hAnsi="Arial" w:hint="default"/>
      </w:rPr>
    </w:lvl>
    <w:lvl w:ilvl="3" w:tplc="532EA65A" w:tentative="1">
      <w:start w:val="1"/>
      <w:numFmt w:val="bullet"/>
      <w:lvlText w:val="–"/>
      <w:lvlJc w:val="left"/>
      <w:pPr>
        <w:tabs>
          <w:tab w:val="num" w:pos="2520"/>
        </w:tabs>
        <w:ind w:left="2520" w:hanging="360"/>
      </w:pPr>
      <w:rPr>
        <w:rFonts w:ascii="Arial" w:hAnsi="Arial" w:hint="default"/>
      </w:rPr>
    </w:lvl>
    <w:lvl w:ilvl="4" w:tplc="718A5094" w:tentative="1">
      <w:start w:val="1"/>
      <w:numFmt w:val="bullet"/>
      <w:lvlText w:val="–"/>
      <w:lvlJc w:val="left"/>
      <w:pPr>
        <w:tabs>
          <w:tab w:val="num" w:pos="3240"/>
        </w:tabs>
        <w:ind w:left="3240" w:hanging="360"/>
      </w:pPr>
      <w:rPr>
        <w:rFonts w:ascii="Arial" w:hAnsi="Arial" w:hint="default"/>
      </w:rPr>
    </w:lvl>
    <w:lvl w:ilvl="5" w:tplc="D41CC490" w:tentative="1">
      <w:start w:val="1"/>
      <w:numFmt w:val="bullet"/>
      <w:lvlText w:val="–"/>
      <w:lvlJc w:val="left"/>
      <w:pPr>
        <w:tabs>
          <w:tab w:val="num" w:pos="3960"/>
        </w:tabs>
        <w:ind w:left="3960" w:hanging="360"/>
      </w:pPr>
      <w:rPr>
        <w:rFonts w:ascii="Arial" w:hAnsi="Arial" w:hint="default"/>
      </w:rPr>
    </w:lvl>
    <w:lvl w:ilvl="6" w:tplc="6ED44658" w:tentative="1">
      <w:start w:val="1"/>
      <w:numFmt w:val="bullet"/>
      <w:lvlText w:val="–"/>
      <w:lvlJc w:val="left"/>
      <w:pPr>
        <w:tabs>
          <w:tab w:val="num" w:pos="4680"/>
        </w:tabs>
        <w:ind w:left="4680" w:hanging="360"/>
      </w:pPr>
      <w:rPr>
        <w:rFonts w:ascii="Arial" w:hAnsi="Arial" w:hint="default"/>
      </w:rPr>
    </w:lvl>
    <w:lvl w:ilvl="7" w:tplc="F86E2334" w:tentative="1">
      <w:start w:val="1"/>
      <w:numFmt w:val="bullet"/>
      <w:lvlText w:val="–"/>
      <w:lvlJc w:val="left"/>
      <w:pPr>
        <w:tabs>
          <w:tab w:val="num" w:pos="5400"/>
        </w:tabs>
        <w:ind w:left="5400" w:hanging="360"/>
      </w:pPr>
      <w:rPr>
        <w:rFonts w:ascii="Arial" w:hAnsi="Arial" w:hint="default"/>
      </w:rPr>
    </w:lvl>
    <w:lvl w:ilvl="8" w:tplc="EDB61F28" w:tentative="1">
      <w:start w:val="1"/>
      <w:numFmt w:val="bullet"/>
      <w:lvlText w:val="–"/>
      <w:lvlJc w:val="left"/>
      <w:pPr>
        <w:tabs>
          <w:tab w:val="num" w:pos="6120"/>
        </w:tabs>
        <w:ind w:left="6120" w:hanging="360"/>
      </w:pPr>
      <w:rPr>
        <w:rFonts w:ascii="Arial" w:hAnsi="Arial" w:hint="default"/>
      </w:rPr>
    </w:lvl>
  </w:abstractNum>
  <w:abstractNum w:abstractNumId="7">
    <w:nsid w:val="20964C89"/>
    <w:multiLevelType w:val="hybridMultilevel"/>
    <w:tmpl w:val="AC1E8FA6"/>
    <w:lvl w:ilvl="0" w:tplc="7F5A2E1E">
      <w:start w:val="1"/>
      <w:numFmt w:val="bullet"/>
      <w:lvlText w:val="–"/>
      <w:lvlJc w:val="left"/>
      <w:pPr>
        <w:tabs>
          <w:tab w:val="num" w:pos="720"/>
        </w:tabs>
        <w:ind w:left="720" w:hanging="360"/>
      </w:pPr>
      <w:rPr>
        <w:rFonts w:ascii="Arial" w:hAnsi="Arial" w:hint="default"/>
      </w:rPr>
    </w:lvl>
    <w:lvl w:ilvl="1" w:tplc="B99C0C66">
      <w:start w:val="1"/>
      <w:numFmt w:val="bullet"/>
      <w:lvlText w:val="–"/>
      <w:lvlJc w:val="left"/>
      <w:pPr>
        <w:tabs>
          <w:tab w:val="num" w:pos="1440"/>
        </w:tabs>
        <w:ind w:left="1440" w:hanging="360"/>
      </w:pPr>
      <w:rPr>
        <w:rFonts w:ascii="Arial" w:hAnsi="Arial" w:hint="default"/>
      </w:rPr>
    </w:lvl>
    <w:lvl w:ilvl="2" w:tplc="106AF0C6" w:tentative="1">
      <w:start w:val="1"/>
      <w:numFmt w:val="bullet"/>
      <w:lvlText w:val="–"/>
      <w:lvlJc w:val="left"/>
      <w:pPr>
        <w:tabs>
          <w:tab w:val="num" w:pos="2160"/>
        </w:tabs>
        <w:ind w:left="2160" w:hanging="360"/>
      </w:pPr>
      <w:rPr>
        <w:rFonts w:ascii="Arial" w:hAnsi="Arial" w:hint="default"/>
      </w:rPr>
    </w:lvl>
    <w:lvl w:ilvl="3" w:tplc="8A66F6B0" w:tentative="1">
      <w:start w:val="1"/>
      <w:numFmt w:val="bullet"/>
      <w:lvlText w:val="–"/>
      <w:lvlJc w:val="left"/>
      <w:pPr>
        <w:tabs>
          <w:tab w:val="num" w:pos="2880"/>
        </w:tabs>
        <w:ind w:left="2880" w:hanging="360"/>
      </w:pPr>
      <w:rPr>
        <w:rFonts w:ascii="Arial" w:hAnsi="Arial" w:hint="default"/>
      </w:rPr>
    </w:lvl>
    <w:lvl w:ilvl="4" w:tplc="562C4272" w:tentative="1">
      <w:start w:val="1"/>
      <w:numFmt w:val="bullet"/>
      <w:lvlText w:val="–"/>
      <w:lvlJc w:val="left"/>
      <w:pPr>
        <w:tabs>
          <w:tab w:val="num" w:pos="3600"/>
        </w:tabs>
        <w:ind w:left="3600" w:hanging="360"/>
      </w:pPr>
      <w:rPr>
        <w:rFonts w:ascii="Arial" w:hAnsi="Arial" w:hint="default"/>
      </w:rPr>
    </w:lvl>
    <w:lvl w:ilvl="5" w:tplc="5B9850A6" w:tentative="1">
      <w:start w:val="1"/>
      <w:numFmt w:val="bullet"/>
      <w:lvlText w:val="–"/>
      <w:lvlJc w:val="left"/>
      <w:pPr>
        <w:tabs>
          <w:tab w:val="num" w:pos="4320"/>
        </w:tabs>
        <w:ind w:left="4320" w:hanging="360"/>
      </w:pPr>
      <w:rPr>
        <w:rFonts w:ascii="Arial" w:hAnsi="Arial" w:hint="default"/>
      </w:rPr>
    </w:lvl>
    <w:lvl w:ilvl="6" w:tplc="893652C8" w:tentative="1">
      <w:start w:val="1"/>
      <w:numFmt w:val="bullet"/>
      <w:lvlText w:val="–"/>
      <w:lvlJc w:val="left"/>
      <w:pPr>
        <w:tabs>
          <w:tab w:val="num" w:pos="5040"/>
        </w:tabs>
        <w:ind w:left="5040" w:hanging="360"/>
      </w:pPr>
      <w:rPr>
        <w:rFonts w:ascii="Arial" w:hAnsi="Arial" w:hint="default"/>
      </w:rPr>
    </w:lvl>
    <w:lvl w:ilvl="7" w:tplc="4FBEC196" w:tentative="1">
      <w:start w:val="1"/>
      <w:numFmt w:val="bullet"/>
      <w:lvlText w:val="–"/>
      <w:lvlJc w:val="left"/>
      <w:pPr>
        <w:tabs>
          <w:tab w:val="num" w:pos="5760"/>
        </w:tabs>
        <w:ind w:left="5760" w:hanging="360"/>
      </w:pPr>
      <w:rPr>
        <w:rFonts w:ascii="Arial" w:hAnsi="Arial" w:hint="default"/>
      </w:rPr>
    </w:lvl>
    <w:lvl w:ilvl="8" w:tplc="48FE8D12" w:tentative="1">
      <w:start w:val="1"/>
      <w:numFmt w:val="bullet"/>
      <w:lvlText w:val="–"/>
      <w:lvlJc w:val="left"/>
      <w:pPr>
        <w:tabs>
          <w:tab w:val="num" w:pos="6480"/>
        </w:tabs>
        <w:ind w:left="6480" w:hanging="360"/>
      </w:pPr>
      <w:rPr>
        <w:rFonts w:ascii="Arial" w:hAnsi="Arial" w:hint="default"/>
      </w:rPr>
    </w:lvl>
  </w:abstractNum>
  <w:abstractNum w:abstractNumId="8">
    <w:nsid w:val="23D153D3"/>
    <w:multiLevelType w:val="hybridMultilevel"/>
    <w:tmpl w:val="D174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9689A"/>
    <w:multiLevelType w:val="hybridMultilevel"/>
    <w:tmpl w:val="3C6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62ABE"/>
    <w:multiLevelType w:val="hybridMultilevel"/>
    <w:tmpl w:val="C3FC18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D46C0"/>
    <w:multiLevelType w:val="hybridMultilevel"/>
    <w:tmpl w:val="32844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00B19"/>
    <w:multiLevelType w:val="hybridMultilevel"/>
    <w:tmpl w:val="31643F6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BA0500"/>
    <w:multiLevelType w:val="hybridMultilevel"/>
    <w:tmpl w:val="182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A5E27"/>
    <w:multiLevelType w:val="hybridMultilevel"/>
    <w:tmpl w:val="E14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D1F22"/>
    <w:multiLevelType w:val="hybridMultilevel"/>
    <w:tmpl w:val="0360C992"/>
    <w:lvl w:ilvl="0" w:tplc="99B07BD0">
      <w:start w:val="1"/>
      <w:numFmt w:val="bullet"/>
      <w:lvlText w:val="•"/>
      <w:lvlJc w:val="left"/>
      <w:pPr>
        <w:tabs>
          <w:tab w:val="num" w:pos="720"/>
        </w:tabs>
        <w:ind w:left="720" w:hanging="360"/>
      </w:pPr>
      <w:rPr>
        <w:rFonts w:ascii="Arial" w:hAnsi="Arial" w:hint="default"/>
      </w:rPr>
    </w:lvl>
    <w:lvl w:ilvl="1" w:tplc="5502B14A" w:tentative="1">
      <w:start w:val="1"/>
      <w:numFmt w:val="bullet"/>
      <w:lvlText w:val="•"/>
      <w:lvlJc w:val="left"/>
      <w:pPr>
        <w:tabs>
          <w:tab w:val="num" w:pos="1440"/>
        </w:tabs>
        <w:ind w:left="1440" w:hanging="360"/>
      </w:pPr>
      <w:rPr>
        <w:rFonts w:ascii="Arial" w:hAnsi="Arial" w:hint="default"/>
      </w:rPr>
    </w:lvl>
    <w:lvl w:ilvl="2" w:tplc="0C28BAE4" w:tentative="1">
      <w:start w:val="1"/>
      <w:numFmt w:val="bullet"/>
      <w:lvlText w:val="•"/>
      <w:lvlJc w:val="left"/>
      <w:pPr>
        <w:tabs>
          <w:tab w:val="num" w:pos="2160"/>
        </w:tabs>
        <w:ind w:left="2160" w:hanging="360"/>
      </w:pPr>
      <w:rPr>
        <w:rFonts w:ascii="Arial" w:hAnsi="Arial" w:hint="default"/>
      </w:rPr>
    </w:lvl>
    <w:lvl w:ilvl="3" w:tplc="59DA7A7C" w:tentative="1">
      <w:start w:val="1"/>
      <w:numFmt w:val="bullet"/>
      <w:lvlText w:val="•"/>
      <w:lvlJc w:val="left"/>
      <w:pPr>
        <w:tabs>
          <w:tab w:val="num" w:pos="2880"/>
        </w:tabs>
        <w:ind w:left="2880" w:hanging="360"/>
      </w:pPr>
      <w:rPr>
        <w:rFonts w:ascii="Arial" w:hAnsi="Arial" w:hint="default"/>
      </w:rPr>
    </w:lvl>
    <w:lvl w:ilvl="4" w:tplc="6562D04A" w:tentative="1">
      <w:start w:val="1"/>
      <w:numFmt w:val="bullet"/>
      <w:lvlText w:val="•"/>
      <w:lvlJc w:val="left"/>
      <w:pPr>
        <w:tabs>
          <w:tab w:val="num" w:pos="3600"/>
        </w:tabs>
        <w:ind w:left="3600" w:hanging="360"/>
      </w:pPr>
      <w:rPr>
        <w:rFonts w:ascii="Arial" w:hAnsi="Arial" w:hint="default"/>
      </w:rPr>
    </w:lvl>
    <w:lvl w:ilvl="5" w:tplc="5AC6B836" w:tentative="1">
      <w:start w:val="1"/>
      <w:numFmt w:val="bullet"/>
      <w:lvlText w:val="•"/>
      <w:lvlJc w:val="left"/>
      <w:pPr>
        <w:tabs>
          <w:tab w:val="num" w:pos="4320"/>
        </w:tabs>
        <w:ind w:left="4320" w:hanging="360"/>
      </w:pPr>
      <w:rPr>
        <w:rFonts w:ascii="Arial" w:hAnsi="Arial" w:hint="default"/>
      </w:rPr>
    </w:lvl>
    <w:lvl w:ilvl="6" w:tplc="7FBA98DA" w:tentative="1">
      <w:start w:val="1"/>
      <w:numFmt w:val="bullet"/>
      <w:lvlText w:val="•"/>
      <w:lvlJc w:val="left"/>
      <w:pPr>
        <w:tabs>
          <w:tab w:val="num" w:pos="5040"/>
        </w:tabs>
        <w:ind w:left="5040" w:hanging="360"/>
      </w:pPr>
      <w:rPr>
        <w:rFonts w:ascii="Arial" w:hAnsi="Arial" w:hint="default"/>
      </w:rPr>
    </w:lvl>
    <w:lvl w:ilvl="7" w:tplc="49CC63B8" w:tentative="1">
      <w:start w:val="1"/>
      <w:numFmt w:val="bullet"/>
      <w:lvlText w:val="•"/>
      <w:lvlJc w:val="left"/>
      <w:pPr>
        <w:tabs>
          <w:tab w:val="num" w:pos="5760"/>
        </w:tabs>
        <w:ind w:left="5760" w:hanging="360"/>
      </w:pPr>
      <w:rPr>
        <w:rFonts w:ascii="Arial" w:hAnsi="Arial" w:hint="default"/>
      </w:rPr>
    </w:lvl>
    <w:lvl w:ilvl="8" w:tplc="20085E12" w:tentative="1">
      <w:start w:val="1"/>
      <w:numFmt w:val="bullet"/>
      <w:lvlText w:val="•"/>
      <w:lvlJc w:val="left"/>
      <w:pPr>
        <w:tabs>
          <w:tab w:val="num" w:pos="6480"/>
        </w:tabs>
        <w:ind w:left="6480" w:hanging="360"/>
      </w:pPr>
      <w:rPr>
        <w:rFonts w:ascii="Arial" w:hAnsi="Arial" w:hint="default"/>
      </w:rPr>
    </w:lvl>
  </w:abstractNum>
  <w:abstractNum w:abstractNumId="16">
    <w:nsid w:val="57C97E99"/>
    <w:multiLevelType w:val="hybridMultilevel"/>
    <w:tmpl w:val="4EEE6632"/>
    <w:lvl w:ilvl="0" w:tplc="FC1A31FC">
      <w:start w:val="1"/>
      <w:numFmt w:val="bullet"/>
      <w:lvlText w:val="•"/>
      <w:lvlJc w:val="left"/>
      <w:pPr>
        <w:tabs>
          <w:tab w:val="num" w:pos="720"/>
        </w:tabs>
        <w:ind w:left="720" w:hanging="360"/>
      </w:pPr>
      <w:rPr>
        <w:rFonts w:ascii="Arial" w:hAnsi="Arial" w:hint="default"/>
      </w:rPr>
    </w:lvl>
    <w:lvl w:ilvl="1" w:tplc="FF04E268" w:tentative="1">
      <w:start w:val="1"/>
      <w:numFmt w:val="bullet"/>
      <w:lvlText w:val="•"/>
      <w:lvlJc w:val="left"/>
      <w:pPr>
        <w:tabs>
          <w:tab w:val="num" w:pos="1440"/>
        </w:tabs>
        <w:ind w:left="1440" w:hanging="360"/>
      </w:pPr>
      <w:rPr>
        <w:rFonts w:ascii="Arial" w:hAnsi="Arial" w:hint="default"/>
      </w:rPr>
    </w:lvl>
    <w:lvl w:ilvl="2" w:tplc="48E04A76" w:tentative="1">
      <w:start w:val="1"/>
      <w:numFmt w:val="bullet"/>
      <w:lvlText w:val="•"/>
      <w:lvlJc w:val="left"/>
      <w:pPr>
        <w:tabs>
          <w:tab w:val="num" w:pos="2160"/>
        </w:tabs>
        <w:ind w:left="2160" w:hanging="360"/>
      </w:pPr>
      <w:rPr>
        <w:rFonts w:ascii="Arial" w:hAnsi="Arial" w:hint="default"/>
      </w:rPr>
    </w:lvl>
    <w:lvl w:ilvl="3" w:tplc="EBC45B60" w:tentative="1">
      <w:start w:val="1"/>
      <w:numFmt w:val="bullet"/>
      <w:lvlText w:val="•"/>
      <w:lvlJc w:val="left"/>
      <w:pPr>
        <w:tabs>
          <w:tab w:val="num" w:pos="2880"/>
        </w:tabs>
        <w:ind w:left="2880" w:hanging="360"/>
      </w:pPr>
      <w:rPr>
        <w:rFonts w:ascii="Arial" w:hAnsi="Arial" w:hint="default"/>
      </w:rPr>
    </w:lvl>
    <w:lvl w:ilvl="4" w:tplc="F34069C8" w:tentative="1">
      <w:start w:val="1"/>
      <w:numFmt w:val="bullet"/>
      <w:lvlText w:val="•"/>
      <w:lvlJc w:val="left"/>
      <w:pPr>
        <w:tabs>
          <w:tab w:val="num" w:pos="3600"/>
        </w:tabs>
        <w:ind w:left="3600" w:hanging="360"/>
      </w:pPr>
      <w:rPr>
        <w:rFonts w:ascii="Arial" w:hAnsi="Arial" w:hint="default"/>
      </w:rPr>
    </w:lvl>
    <w:lvl w:ilvl="5" w:tplc="7848043A" w:tentative="1">
      <w:start w:val="1"/>
      <w:numFmt w:val="bullet"/>
      <w:lvlText w:val="•"/>
      <w:lvlJc w:val="left"/>
      <w:pPr>
        <w:tabs>
          <w:tab w:val="num" w:pos="4320"/>
        </w:tabs>
        <w:ind w:left="4320" w:hanging="360"/>
      </w:pPr>
      <w:rPr>
        <w:rFonts w:ascii="Arial" w:hAnsi="Arial" w:hint="default"/>
      </w:rPr>
    </w:lvl>
    <w:lvl w:ilvl="6" w:tplc="8D7C6BC4" w:tentative="1">
      <w:start w:val="1"/>
      <w:numFmt w:val="bullet"/>
      <w:lvlText w:val="•"/>
      <w:lvlJc w:val="left"/>
      <w:pPr>
        <w:tabs>
          <w:tab w:val="num" w:pos="5040"/>
        </w:tabs>
        <w:ind w:left="5040" w:hanging="360"/>
      </w:pPr>
      <w:rPr>
        <w:rFonts w:ascii="Arial" w:hAnsi="Arial" w:hint="default"/>
      </w:rPr>
    </w:lvl>
    <w:lvl w:ilvl="7" w:tplc="CA60826C" w:tentative="1">
      <w:start w:val="1"/>
      <w:numFmt w:val="bullet"/>
      <w:lvlText w:val="•"/>
      <w:lvlJc w:val="left"/>
      <w:pPr>
        <w:tabs>
          <w:tab w:val="num" w:pos="5760"/>
        </w:tabs>
        <w:ind w:left="5760" w:hanging="360"/>
      </w:pPr>
      <w:rPr>
        <w:rFonts w:ascii="Arial" w:hAnsi="Arial" w:hint="default"/>
      </w:rPr>
    </w:lvl>
    <w:lvl w:ilvl="8" w:tplc="E46A4AD2" w:tentative="1">
      <w:start w:val="1"/>
      <w:numFmt w:val="bullet"/>
      <w:lvlText w:val="•"/>
      <w:lvlJc w:val="left"/>
      <w:pPr>
        <w:tabs>
          <w:tab w:val="num" w:pos="6480"/>
        </w:tabs>
        <w:ind w:left="6480" w:hanging="360"/>
      </w:pPr>
      <w:rPr>
        <w:rFonts w:ascii="Arial" w:hAnsi="Arial" w:hint="default"/>
      </w:rPr>
    </w:lvl>
  </w:abstractNum>
  <w:abstractNum w:abstractNumId="17">
    <w:nsid w:val="5937566F"/>
    <w:multiLevelType w:val="hybridMultilevel"/>
    <w:tmpl w:val="001C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A1CC1"/>
    <w:multiLevelType w:val="hybridMultilevel"/>
    <w:tmpl w:val="BB96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92F46"/>
    <w:multiLevelType w:val="hybridMultilevel"/>
    <w:tmpl w:val="A8BA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87557"/>
    <w:multiLevelType w:val="hybridMultilevel"/>
    <w:tmpl w:val="9DD8CE88"/>
    <w:lvl w:ilvl="0" w:tplc="C1AC8582">
      <w:start w:val="1"/>
      <w:numFmt w:val="bullet"/>
      <w:lvlText w:val="–"/>
      <w:lvlJc w:val="left"/>
      <w:pPr>
        <w:tabs>
          <w:tab w:val="num" w:pos="720"/>
        </w:tabs>
        <w:ind w:left="720" w:hanging="360"/>
      </w:pPr>
      <w:rPr>
        <w:rFonts w:ascii="Arial" w:hAnsi="Arial" w:hint="default"/>
      </w:rPr>
    </w:lvl>
    <w:lvl w:ilvl="1" w:tplc="5B8209C6">
      <w:start w:val="1"/>
      <w:numFmt w:val="bullet"/>
      <w:lvlText w:val="–"/>
      <w:lvlJc w:val="left"/>
      <w:pPr>
        <w:tabs>
          <w:tab w:val="num" w:pos="1440"/>
        </w:tabs>
        <w:ind w:left="1440" w:hanging="360"/>
      </w:pPr>
      <w:rPr>
        <w:rFonts w:ascii="Arial" w:hAnsi="Arial" w:hint="default"/>
      </w:rPr>
    </w:lvl>
    <w:lvl w:ilvl="2" w:tplc="54FEF07E" w:tentative="1">
      <w:start w:val="1"/>
      <w:numFmt w:val="bullet"/>
      <w:lvlText w:val="–"/>
      <w:lvlJc w:val="left"/>
      <w:pPr>
        <w:tabs>
          <w:tab w:val="num" w:pos="2160"/>
        </w:tabs>
        <w:ind w:left="2160" w:hanging="360"/>
      </w:pPr>
      <w:rPr>
        <w:rFonts w:ascii="Arial" w:hAnsi="Arial" w:hint="default"/>
      </w:rPr>
    </w:lvl>
    <w:lvl w:ilvl="3" w:tplc="AF6E8A44" w:tentative="1">
      <w:start w:val="1"/>
      <w:numFmt w:val="bullet"/>
      <w:lvlText w:val="–"/>
      <w:lvlJc w:val="left"/>
      <w:pPr>
        <w:tabs>
          <w:tab w:val="num" w:pos="2880"/>
        </w:tabs>
        <w:ind w:left="2880" w:hanging="360"/>
      </w:pPr>
      <w:rPr>
        <w:rFonts w:ascii="Arial" w:hAnsi="Arial" w:hint="default"/>
      </w:rPr>
    </w:lvl>
    <w:lvl w:ilvl="4" w:tplc="F15E6A8E" w:tentative="1">
      <w:start w:val="1"/>
      <w:numFmt w:val="bullet"/>
      <w:lvlText w:val="–"/>
      <w:lvlJc w:val="left"/>
      <w:pPr>
        <w:tabs>
          <w:tab w:val="num" w:pos="3600"/>
        </w:tabs>
        <w:ind w:left="3600" w:hanging="360"/>
      </w:pPr>
      <w:rPr>
        <w:rFonts w:ascii="Arial" w:hAnsi="Arial" w:hint="default"/>
      </w:rPr>
    </w:lvl>
    <w:lvl w:ilvl="5" w:tplc="390E4076" w:tentative="1">
      <w:start w:val="1"/>
      <w:numFmt w:val="bullet"/>
      <w:lvlText w:val="–"/>
      <w:lvlJc w:val="left"/>
      <w:pPr>
        <w:tabs>
          <w:tab w:val="num" w:pos="4320"/>
        </w:tabs>
        <w:ind w:left="4320" w:hanging="360"/>
      </w:pPr>
      <w:rPr>
        <w:rFonts w:ascii="Arial" w:hAnsi="Arial" w:hint="default"/>
      </w:rPr>
    </w:lvl>
    <w:lvl w:ilvl="6" w:tplc="7378524C" w:tentative="1">
      <w:start w:val="1"/>
      <w:numFmt w:val="bullet"/>
      <w:lvlText w:val="–"/>
      <w:lvlJc w:val="left"/>
      <w:pPr>
        <w:tabs>
          <w:tab w:val="num" w:pos="5040"/>
        </w:tabs>
        <w:ind w:left="5040" w:hanging="360"/>
      </w:pPr>
      <w:rPr>
        <w:rFonts w:ascii="Arial" w:hAnsi="Arial" w:hint="default"/>
      </w:rPr>
    </w:lvl>
    <w:lvl w:ilvl="7" w:tplc="C7268446" w:tentative="1">
      <w:start w:val="1"/>
      <w:numFmt w:val="bullet"/>
      <w:lvlText w:val="–"/>
      <w:lvlJc w:val="left"/>
      <w:pPr>
        <w:tabs>
          <w:tab w:val="num" w:pos="5760"/>
        </w:tabs>
        <w:ind w:left="5760" w:hanging="360"/>
      </w:pPr>
      <w:rPr>
        <w:rFonts w:ascii="Arial" w:hAnsi="Arial" w:hint="default"/>
      </w:rPr>
    </w:lvl>
    <w:lvl w:ilvl="8" w:tplc="D2CC73E4" w:tentative="1">
      <w:start w:val="1"/>
      <w:numFmt w:val="bullet"/>
      <w:lvlText w:val="–"/>
      <w:lvlJc w:val="left"/>
      <w:pPr>
        <w:tabs>
          <w:tab w:val="num" w:pos="6480"/>
        </w:tabs>
        <w:ind w:left="6480" w:hanging="360"/>
      </w:pPr>
      <w:rPr>
        <w:rFonts w:ascii="Arial" w:hAnsi="Arial" w:hint="default"/>
      </w:rPr>
    </w:lvl>
  </w:abstractNum>
  <w:abstractNum w:abstractNumId="21">
    <w:nsid w:val="63311DD0"/>
    <w:multiLevelType w:val="hybridMultilevel"/>
    <w:tmpl w:val="09A09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263B88"/>
    <w:multiLevelType w:val="hybridMultilevel"/>
    <w:tmpl w:val="03508F64"/>
    <w:lvl w:ilvl="0" w:tplc="5CFC87AE">
      <w:start w:val="1"/>
      <w:numFmt w:val="bullet"/>
      <w:lvlText w:val="–"/>
      <w:lvlJc w:val="left"/>
      <w:pPr>
        <w:tabs>
          <w:tab w:val="num" w:pos="720"/>
        </w:tabs>
        <w:ind w:left="720" w:hanging="360"/>
      </w:pPr>
      <w:rPr>
        <w:rFonts w:ascii="Arial" w:hAnsi="Arial" w:hint="default"/>
      </w:rPr>
    </w:lvl>
    <w:lvl w:ilvl="1" w:tplc="81866D9A">
      <w:start w:val="1"/>
      <w:numFmt w:val="bullet"/>
      <w:lvlText w:val="–"/>
      <w:lvlJc w:val="left"/>
      <w:pPr>
        <w:tabs>
          <w:tab w:val="num" w:pos="1440"/>
        </w:tabs>
        <w:ind w:left="1440" w:hanging="360"/>
      </w:pPr>
      <w:rPr>
        <w:rFonts w:ascii="Arial" w:hAnsi="Arial" w:hint="default"/>
      </w:rPr>
    </w:lvl>
    <w:lvl w:ilvl="2" w:tplc="3612D544" w:tentative="1">
      <w:start w:val="1"/>
      <w:numFmt w:val="bullet"/>
      <w:lvlText w:val="–"/>
      <w:lvlJc w:val="left"/>
      <w:pPr>
        <w:tabs>
          <w:tab w:val="num" w:pos="2160"/>
        </w:tabs>
        <w:ind w:left="2160" w:hanging="360"/>
      </w:pPr>
      <w:rPr>
        <w:rFonts w:ascii="Arial" w:hAnsi="Arial" w:hint="default"/>
      </w:rPr>
    </w:lvl>
    <w:lvl w:ilvl="3" w:tplc="532EA65A" w:tentative="1">
      <w:start w:val="1"/>
      <w:numFmt w:val="bullet"/>
      <w:lvlText w:val="–"/>
      <w:lvlJc w:val="left"/>
      <w:pPr>
        <w:tabs>
          <w:tab w:val="num" w:pos="2880"/>
        </w:tabs>
        <w:ind w:left="2880" w:hanging="360"/>
      </w:pPr>
      <w:rPr>
        <w:rFonts w:ascii="Arial" w:hAnsi="Arial" w:hint="default"/>
      </w:rPr>
    </w:lvl>
    <w:lvl w:ilvl="4" w:tplc="718A5094" w:tentative="1">
      <w:start w:val="1"/>
      <w:numFmt w:val="bullet"/>
      <w:lvlText w:val="–"/>
      <w:lvlJc w:val="left"/>
      <w:pPr>
        <w:tabs>
          <w:tab w:val="num" w:pos="3600"/>
        </w:tabs>
        <w:ind w:left="3600" w:hanging="360"/>
      </w:pPr>
      <w:rPr>
        <w:rFonts w:ascii="Arial" w:hAnsi="Arial" w:hint="default"/>
      </w:rPr>
    </w:lvl>
    <w:lvl w:ilvl="5" w:tplc="D41CC490" w:tentative="1">
      <w:start w:val="1"/>
      <w:numFmt w:val="bullet"/>
      <w:lvlText w:val="–"/>
      <w:lvlJc w:val="left"/>
      <w:pPr>
        <w:tabs>
          <w:tab w:val="num" w:pos="4320"/>
        </w:tabs>
        <w:ind w:left="4320" w:hanging="360"/>
      </w:pPr>
      <w:rPr>
        <w:rFonts w:ascii="Arial" w:hAnsi="Arial" w:hint="default"/>
      </w:rPr>
    </w:lvl>
    <w:lvl w:ilvl="6" w:tplc="6ED44658" w:tentative="1">
      <w:start w:val="1"/>
      <w:numFmt w:val="bullet"/>
      <w:lvlText w:val="–"/>
      <w:lvlJc w:val="left"/>
      <w:pPr>
        <w:tabs>
          <w:tab w:val="num" w:pos="5040"/>
        </w:tabs>
        <w:ind w:left="5040" w:hanging="360"/>
      </w:pPr>
      <w:rPr>
        <w:rFonts w:ascii="Arial" w:hAnsi="Arial" w:hint="default"/>
      </w:rPr>
    </w:lvl>
    <w:lvl w:ilvl="7" w:tplc="F86E2334" w:tentative="1">
      <w:start w:val="1"/>
      <w:numFmt w:val="bullet"/>
      <w:lvlText w:val="–"/>
      <w:lvlJc w:val="left"/>
      <w:pPr>
        <w:tabs>
          <w:tab w:val="num" w:pos="5760"/>
        </w:tabs>
        <w:ind w:left="5760" w:hanging="360"/>
      </w:pPr>
      <w:rPr>
        <w:rFonts w:ascii="Arial" w:hAnsi="Arial" w:hint="default"/>
      </w:rPr>
    </w:lvl>
    <w:lvl w:ilvl="8" w:tplc="EDB61F28" w:tentative="1">
      <w:start w:val="1"/>
      <w:numFmt w:val="bullet"/>
      <w:lvlText w:val="–"/>
      <w:lvlJc w:val="left"/>
      <w:pPr>
        <w:tabs>
          <w:tab w:val="num" w:pos="6480"/>
        </w:tabs>
        <w:ind w:left="6480" w:hanging="360"/>
      </w:pPr>
      <w:rPr>
        <w:rFonts w:ascii="Arial" w:hAnsi="Arial" w:hint="default"/>
      </w:rPr>
    </w:lvl>
  </w:abstractNum>
  <w:abstractNum w:abstractNumId="23">
    <w:nsid w:val="6F4A3C19"/>
    <w:multiLevelType w:val="hybridMultilevel"/>
    <w:tmpl w:val="B32A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DC50E4"/>
    <w:multiLevelType w:val="hybridMultilevel"/>
    <w:tmpl w:val="F6688D30"/>
    <w:lvl w:ilvl="0" w:tplc="ECC29616">
      <w:start w:val="1"/>
      <w:numFmt w:val="bullet"/>
      <w:lvlText w:val="–"/>
      <w:lvlJc w:val="left"/>
      <w:pPr>
        <w:tabs>
          <w:tab w:val="num" w:pos="720"/>
        </w:tabs>
        <w:ind w:left="720" w:hanging="360"/>
      </w:pPr>
      <w:rPr>
        <w:rFonts w:ascii="Arial" w:hAnsi="Arial" w:hint="default"/>
      </w:rPr>
    </w:lvl>
    <w:lvl w:ilvl="1" w:tplc="3BE05B52">
      <w:start w:val="1"/>
      <w:numFmt w:val="bullet"/>
      <w:lvlText w:val="–"/>
      <w:lvlJc w:val="left"/>
      <w:pPr>
        <w:tabs>
          <w:tab w:val="num" w:pos="1440"/>
        </w:tabs>
        <w:ind w:left="1440" w:hanging="360"/>
      </w:pPr>
      <w:rPr>
        <w:rFonts w:ascii="Arial" w:hAnsi="Arial" w:hint="default"/>
      </w:rPr>
    </w:lvl>
    <w:lvl w:ilvl="2" w:tplc="B2C60998" w:tentative="1">
      <w:start w:val="1"/>
      <w:numFmt w:val="bullet"/>
      <w:lvlText w:val="–"/>
      <w:lvlJc w:val="left"/>
      <w:pPr>
        <w:tabs>
          <w:tab w:val="num" w:pos="2160"/>
        </w:tabs>
        <w:ind w:left="2160" w:hanging="360"/>
      </w:pPr>
      <w:rPr>
        <w:rFonts w:ascii="Arial" w:hAnsi="Arial" w:hint="default"/>
      </w:rPr>
    </w:lvl>
    <w:lvl w:ilvl="3" w:tplc="458692F0" w:tentative="1">
      <w:start w:val="1"/>
      <w:numFmt w:val="bullet"/>
      <w:lvlText w:val="–"/>
      <w:lvlJc w:val="left"/>
      <w:pPr>
        <w:tabs>
          <w:tab w:val="num" w:pos="2880"/>
        </w:tabs>
        <w:ind w:left="2880" w:hanging="360"/>
      </w:pPr>
      <w:rPr>
        <w:rFonts w:ascii="Arial" w:hAnsi="Arial" w:hint="default"/>
      </w:rPr>
    </w:lvl>
    <w:lvl w:ilvl="4" w:tplc="946A3238" w:tentative="1">
      <w:start w:val="1"/>
      <w:numFmt w:val="bullet"/>
      <w:lvlText w:val="–"/>
      <w:lvlJc w:val="left"/>
      <w:pPr>
        <w:tabs>
          <w:tab w:val="num" w:pos="3600"/>
        </w:tabs>
        <w:ind w:left="3600" w:hanging="360"/>
      </w:pPr>
      <w:rPr>
        <w:rFonts w:ascii="Arial" w:hAnsi="Arial" w:hint="default"/>
      </w:rPr>
    </w:lvl>
    <w:lvl w:ilvl="5" w:tplc="16C007A2" w:tentative="1">
      <w:start w:val="1"/>
      <w:numFmt w:val="bullet"/>
      <w:lvlText w:val="–"/>
      <w:lvlJc w:val="left"/>
      <w:pPr>
        <w:tabs>
          <w:tab w:val="num" w:pos="4320"/>
        </w:tabs>
        <w:ind w:left="4320" w:hanging="360"/>
      </w:pPr>
      <w:rPr>
        <w:rFonts w:ascii="Arial" w:hAnsi="Arial" w:hint="default"/>
      </w:rPr>
    </w:lvl>
    <w:lvl w:ilvl="6" w:tplc="503A4088" w:tentative="1">
      <w:start w:val="1"/>
      <w:numFmt w:val="bullet"/>
      <w:lvlText w:val="–"/>
      <w:lvlJc w:val="left"/>
      <w:pPr>
        <w:tabs>
          <w:tab w:val="num" w:pos="5040"/>
        </w:tabs>
        <w:ind w:left="5040" w:hanging="360"/>
      </w:pPr>
      <w:rPr>
        <w:rFonts w:ascii="Arial" w:hAnsi="Arial" w:hint="default"/>
      </w:rPr>
    </w:lvl>
    <w:lvl w:ilvl="7" w:tplc="00287F9C" w:tentative="1">
      <w:start w:val="1"/>
      <w:numFmt w:val="bullet"/>
      <w:lvlText w:val="–"/>
      <w:lvlJc w:val="left"/>
      <w:pPr>
        <w:tabs>
          <w:tab w:val="num" w:pos="5760"/>
        </w:tabs>
        <w:ind w:left="5760" w:hanging="360"/>
      </w:pPr>
      <w:rPr>
        <w:rFonts w:ascii="Arial" w:hAnsi="Arial" w:hint="default"/>
      </w:rPr>
    </w:lvl>
    <w:lvl w:ilvl="8" w:tplc="0C0ED24C" w:tentative="1">
      <w:start w:val="1"/>
      <w:numFmt w:val="bullet"/>
      <w:lvlText w:val="–"/>
      <w:lvlJc w:val="left"/>
      <w:pPr>
        <w:tabs>
          <w:tab w:val="num" w:pos="6480"/>
        </w:tabs>
        <w:ind w:left="6480" w:hanging="360"/>
      </w:pPr>
      <w:rPr>
        <w:rFonts w:ascii="Arial" w:hAnsi="Arial" w:hint="default"/>
      </w:rPr>
    </w:lvl>
  </w:abstractNum>
  <w:abstractNum w:abstractNumId="25">
    <w:nsid w:val="75A7552F"/>
    <w:multiLevelType w:val="hybridMultilevel"/>
    <w:tmpl w:val="4F863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F35296"/>
    <w:multiLevelType w:val="hybridMultilevel"/>
    <w:tmpl w:val="254EA3DE"/>
    <w:lvl w:ilvl="0" w:tplc="FC1A31F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8"/>
  </w:num>
  <w:num w:numId="4">
    <w:abstractNumId w:val="0"/>
  </w:num>
  <w:num w:numId="5">
    <w:abstractNumId w:val="5"/>
  </w:num>
  <w:num w:numId="6">
    <w:abstractNumId w:val="4"/>
  </w:num>
  <w:num w:numId="7">
    <w:abstractNumId w:val="19"/>
  </w:num>
  <w:num w:numId="8">
    <w:abstractNumId w:val="21"/>
  </w:num>
  <w:num w:numId="9">
    <w:abstractNumId w:val="3"/>
  </w:num>
  <w:num w:numId="10">
    <w:abstractNumId w:val="1"/>
  </w:num>
  <w:num w:numId="11">
    <w:abstractNumId w:val="13"/>
  </w:num>
  <w:num w:numId="12">
    <w:abstractNumId w:val="18"/>
  </w:num>
  <w:num w:numId="13">
    <w:abstractNumId w:val="17"/>
  </w:num>
  <w:num w:numId="14">
    <w:abstractNumId w:val="14"/>
  </w:num>
  <w:num w:numId="15">
    <w:abstractNumId w:val="9"/>
  </w:num>
  <w:num w:numId="16">
    <w:abstractNumId w:val="20"/>
  </w:num>
  <w:num w:numId="17">
    <w:abstractNumId w:val="24"/>
  </w:num>
  <w:num w:numId="18">
    <w:abstractNumId w:val="7"/>
  </w:num>
  <w:num w:numId="19">
    <w:abstractNumId w:val="15"/>
  </w:num>
  <w:num w:numId="20">
    <w:abstractNumId w:val="23"/>
  </w:num>
  <w:num w:numId="21">
    <w:abstractNumId w:val="16"/>
  </w:num>
  <w:num w:numId="22">
    <w:abstractNumId w:val="11"/>
  </w:num>
  <w:num w:numId="23">
    <w:abstractNumId w:val="2"/>
  </w:num>
  <w:num w:numId="24">
    <w:abstractNumId w:val="25"/>
  </w:num>
  <w:num w:numId="25">
    <w:abstractNumId w:val="26"/>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CB"/>
    <w:rsid w:val="00006A2D"/>
    <w:rsid w:val="00035336"/>
    <w:rsid w:val="000411F1"/>
    <w:rsid w:val="0008554C"/>
    <w:rsid w:val="0009068F"/>
    <w:rsid w:val="00095E4E"/>
    <w:rsid w:val="000B1BA2"/>
    <w:rsid w:val="000C64F2"/>
    <w:rsid w:val="000D6504"/>
    <w:rsid w:val="000E1F43"/>
    <w:rsid w:val="000F1D99"/>
    <w:rsid w:val="000F26A0"/>
    <w:rsid w:val="001015A0"/>
    <w:rsid w:val="00102CC0"/>
    <w:rsid w:val="0010447D"/>
    <w:rsid w:val="00105F2A"/>
    <w:rsid w:val="00112536"/>
    <w:rsid w:val="00113745"/>
    <w:rsid w:val="001233EF"/>
    <w:rsid w:val="00126B1D"/>
    <w:rsid w:val="001347D1"/>
    <w:rsid w:val="00186D1C"/>
    <w:rsid w:val="00195A8D"/>
    <w:rsid w:val="001B47D2"/>
    <w:rsid w:val="001F6E8E"/>
    <w:rsid w:val="002102CC"/>
    <w:rsid w:val="002312FA"/>
    <w:rsid w:val="0023153E"/>
    <w:rsid w:val="00244E63"/>
    <w:rsid w:val="0025083E"/>
    <w:rsid w:val="00261640"/>
    <w:rsid w:val="00285151"/>
    <w:rsid w:val="00285F03"/>
    <w:rsid w:val="002865E5"/>
    <w:rsid w:val="002951FB"/>
    <w:rsid w:val="003039B4"/>
    <w:rsid w:val="00306C09"/>
    <w:rsid w:val="003105F5"/>
    <w:rsid w:val="00322ACF"/>
    <w:rsid w:val="003438D4"/>
    <w:rsid w:val="003561B2"/>
    <w:rsid w:val="003A21E3"/>
    <w:rsid w:val="003B4759"/>
    <w:rsid w:val="003B4C6B"/>
    <w:rsid w:val="003C1C2C"/>
    <w:rsid w:val="003D25A3"/>
    <w:rsid w:val="003F3EC0"/>
    <w:rsid w:val="0040435B"/>
    <w:rsid w:val="00420FB0"/>
    <w:rsid w:val="004267AB"/>
    <w:rsid w:val="00447B3B"/>
    <w:rsid w:val="004567E4"/>
    <w:rsid w:val="00475F3A"/>
    <w:rsid w:val="00476A40"/>
    <w:rsid w:val="004A54C9"/>
    <w:rsid w:val="004D7D21"/>
    <w:rsid w:val="004E4AA5"/>
    <w:rsid w:val="00500186"/>
    <w:rsid w:val="00503D06"/>
    <w:rsid w:val="00517895"/>
    <w:rsid w:val="00524B99"/>
    <w:rsid w:val="005277BA"/>
    <w:rsid w:val="0053183F"/>
    <w:rsid w:val="00544BB3"/>
    <w:rsid w:val="005460EB"/>
    <w:rsid w:val="00560813"/>
    <w:rsid w:val="005831D5"/>
    <w:rsid w:val="0059379A"/>
    <w:rsid w:val="00593A3B"/>
    <w:rsid w:val="005C3021"/>
    <w:rsid w:val="005F2CAD"/>
    <w:rsid w:val="005F3495"/>
    <w:rsid w:val="00654EF9"/>
    <w:rsid w:val="006641EF"/>
    <w:rsid w:val="00687E91"/>
    <w:rsid w:val="00692562"/>
    <w:rsid w:val="006B64E2"/>
    <w:rsid w:val="00712BBD"/>
    <w:rsid w:val="007251D7"/>
    <w:rsid w:val="0072725A"/>
    <w:rsid w:val="00747467"/>
    <w:rsid w:val="007577A8"/>
    <w:rsid w:val="00757E33"/>
    <w:rsid w:val="007A535C"/>
    <w:rsid w:val="007F4569"/>
    <w:rsid w:val="007F6A10"/>
    <w:rsid w:val="0080245B"/>
    <w:rsid w:val="0081375A"/>
    <w:rsid w:val="008503AE"/>
    <w:rsid w:val="00867FD5"/>
    <w:rsid w:val="008701AD"/>
    <w:rsid w:val="008A6CB4"/>
    <w:rsid w:val="008B182E"/>
    <w:rsid w:val="008B40F4"/>
    <w:rsid w:val="008D09B0"/>
    <w:rsid w:val="008D7397"/>
    <w:rsid w:val="008E048F"/>
    <w:rsid w:val="008E36DC"/>
    <w:rsid w:val="0095632E"/>
    <w:rsid w:val="00976BB5"/>
    <w:rsid w:val="00985BD8"/>
    <w:rsid w:val="009B66BA"/>
    <w:rsid w:val="00A13827"/>
    <w:rsid w:val="00A36284"/>
    <w:rsid w:val="00A37F6A"/>
    <w:rsid w:val="00AB1FCB"/>
    <w:rsid w:val="00AC0085"/>
    <w:rsid w:val="00AF1D7D"/>
    <w:rsid w:val="00B025E0"/>
    <w:rsid w:val="00B13189"/>
    <w:rsid w:val="00B45E00"/>
    <w:rsid w:val="00B5595E"/>
    <w:rsid w:val="00B946AC"/>
    <w:rsid w:val="00BC3BE1"/>
    <w:rsid w:val="00BF274B"/>
    <w:rsid w:val="00C04CF0"/>
    <w:rsid w:val="00C131B9"/>
    <w:rsid w:val="00C17D92"/>
    <w:rsid w:val="00C2367D"/>
    <w:rsid w:val="00C57880"/>
    <w:rsid w:val="00C67306"/>
    <w:rsid w:val="00C8322A"/>
    <w:rsid w:val="00C95560"/>
    <w:rsid w:val="00CC642B"/>
    <w:rsid w:val="00CD4567"/>
    <w:rsid w:val="00CE7609"/>
    <w:rsid w:val="00D010C9"/>
    <w:rsid w:val="00D5385D"/>
    <w:rsid w:val="00D53931"/>
    <w:rsid w:val="00D54939"/>
    <w:rsid w:val="00D77343"/>
    <w:rsid w:val="00D9136C"/>
    <w:rsid w:val="00DA3413"/>
    <w:rsid w:val="00DD1477"/>
    <w:rsid w:val="00DE02B1"/>
    <w:rsid w:val="00DF156D"/>
    <w:rsid w:val="00E4105C"/>
    <w:rsid w:val="00E425CD"/>
    <w:rsid w:val="00E61135"/>
    <w:rsid w:val="00E71657"/>
    <w:rsid w:val="00E720A8"/>
    <w:rsid w:val="00EC2CB9"/>
    <w:rsid w:val="00ED457C"/>
    <w:rsid w:val="00F07B6F"/>
    <w:rsid w:val="00F07EEB"/>
    <w:rsid w:val="00F103DE"/>
    <w:rsid w:val="00F12898"/>
    <w:rsid w:val="00F1753F"/>
    <w:rsid w:val="00F230AD"/>
    <w:rsid w:val="00F25F43"/>
    <w:rsid w:val="00F41897"/>
    <w:rsid w:val="00F501EF"/>
    <w:rsid w:val="00F6045D"/>
    <w:rsid w:val="00F73A4F"/>
    <w:rsid w:val="00F749C7"/>
    <w:rsid w:val="00F74E03"/>
    <w:rsid w:val="00FB3ABE"/>
    <w:rsid w:val="00FC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udy Old Style" w:eastAsiaTheme="minorEastAsia" w:hAnsi="Goudy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CB"/>
    <w:pPr>
      <w:ind w:left="720"/>
      <w:contextualSpacing/>
    </w:pPr>
  </w:style>
  <w:style w:type="table" w:styleId="TableGrid">
    <w:name w:val="Table Grid"/>
    <w:basedOn w:val="TableNormal"/>
    <w:uiPriority w:val="59"/>
    <w:rsid w:val="0058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1AD"/>
    <w:rPr>
      <w:rFonts w:ascii="Tahoma" w:hAnsi="Tahoma" w:cs="Tahoma"/>
      <w:sz w:val="16"/>
      <w:szCs w:val="16"/>
    </w:rPr>
  </w:style>
  <w:style w:type="character" w:customStyle="1" w:styleId="BalloonTextChar">
    <w:name w:val="Balloon Text Char"/>
    <w:basedOn w:val="DefaultParagraphFont"/>
    <w:link w:val="BalloonText"/>
    <w:uiPriority w:val="99"/>
    <w:semiHidden/>
    <w:rsid w:val="008701AD"/>
    <w:rPr>
      <w:rFonts w:ascii="Tahoma" w:hAnsi="Tahoma" w:cs="Tahoma"/>
      <w:sz w:val="16"/>
      <w:szCs w:val="16"/>
    </w:rPr>
  </w:style>
  <w:style w:type="paragraph" w:styleId="Header">
    <w:name w:val="header"/>
    <w:basedOn w:val="Normal"/>
    <w:link w:val="HeaderChar"/>
    <w:uiPriority w:val="99"/>
    <w:unhideWhenUsed/>
    <w:rsid w:val="006641EF"/>
    <w:pPr>
      <w:tabs>
        <w:tab w:val="center" w:pos="4680"/>
        <w:tab w:val="right" w:pos="9360"/>
      </w:tabs>
    </w:pPr>
  </w:style>
  <w:style w:type="character" w:customStyle="1" w:styleId="HeaderChar">
    <w:name w:val="Header Char"/>
    <w:basedOn w:val="DefaultParagraphFont"/>
    <w:link w:val="Header"/>
    <w:uiPriority w:val="99"/>
    <w:rsid w:val="006641EF"/>
  </w:style>
  <w:style w:type="paragraph" w:styleId="Footer">
    <w:name w:val="footer"/>
    <w:basedOn w:val="Normal"/>
    <w:link w:val="FooterChar"/>
    <w:uiPriority w:val="99"/>
    <w:unhideWhenUsed/>
    <w:rsid w:val="006641EF"/>
    <w:pPr>
      <w:tabs>
        <w:tab w:val="center" w:pos="4680"/>
        <w:tab w:val="right" w:pos="9360"/>
      </w:tabs>
    </w:pPr>
  </w:style>
  <w:style w:type="character" w:customStyle="1" w:styleId="FooterChar">
    <w:name w:val="Footer Char"/>
    <w:basedOn w:val="DefaultParagraphFont"/>
    <w:link w:val="Footer"/>
    <w:uiPriority w:val="99"/>
    <w:rsid w:val="006641EF"/>
  </w:style>
  <w:style w:type="character" w:styleId="Hyperlink">
    <w:name w:val="Hyperlink"/>
    <w:basedOn w:val="DefaultParagraphFont"/>
    <w:uiPriority w:val="99"/>
    <w:unhideWhenUsed/>
    <w:rsid w:val="003F3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udy Old Style" w:eastAsiaTheme="minorEastAsia" w:hAnsi="Goudy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CB"/>
    <w:pPr>
      <w:ind w:left="720"/>
      <w:contextualSpacing/>
    </w:pPr>
  </w:style>
  <w:style w:type="table" w:styleId="TableGrid">
    <w:name w:val="Table Grid"/>
    <w:basedOn w:val="TableNormal"/>
    <w:uiPriority w:val="59"/>
    <w:rsid w:val="0058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1AD"/>
    <w:rPr>
      <w:rFonts w:ascii="Tahoma" w:hAnsi="Tahoma" w:cs="Tahoma"/>
      <w:sz w:val="16"/>
      <w:szCs w:val="16"/>
    </w:rPr>
  </w:style>
  <w:style w:type="character" w:customStyle="1" w:styleId="BalloonTextChar">
    <w:name w:val="Balloon Text Char"/>
    <w:basedOn w:val="DefaultParagraphFont"/>
    <w:link w:val="BalloonText"/>
    <w:uiPriority w:val="99"/>
    <w:semiHidden/>
    <w:rsid w:val="008701AD"/>
    <w:rPr>
      <w:rFonts w:ascii="Tahoma" w:hAnsi="Tahoma" w:cs="Tahoma"/>
      <w:sz w:val="16"/>
      <w:szCs w:val="16"/>
    </w:rPr>
  </w:style>
  <w:style w:type="paragraph" w:styleId="Header">
    <w:name w:val="header"/>
    <w:basedOn w:val="Normal"/>
    <w:link w:val="HeaderChar"/>
    <w:uiPriority w:val="99"/>
    <w:unhideWhenUsed/>
    <w:rsid w:val="006641EF"/>
    <w:pPr>
      <w:tabs>
        <w:tab w:val="center" w:pos="4680"/>
        <w:tab w:val="right" w:pos="9360"/>
      </w:tabs>
    </w:pPr>
  </w:style>
  <w:style w:type="character" w:customStyle="1" w:styleId="HeaderChar">
    <w:name w:val="Header Char"/>
    <w:basedOn w:val="DefaultParagraphFont"/>
    <w:link w:val="Header"/>
    <w:uiPriority w:val="99"/>
    <w:rsid w:val="006641EF"/>
  </w:style>
  <w:style w:type="paragraph" w:styleId="Footer">
    <w:name w:val="footer"/>
    <w:basedOn w:val="Normal"/>
    <w:link w:val="FooterChar"/>
    <w:uiPriority w:val="99"/>
    <w:unhideWhenUsed/>
    <w:rsid w:val="006641EF"/>
    <w:pPr>
      <w:tabs>
        <w:tab w:val="center" w:pos="4680"/>
        <w:tab w:val="right" w:pos="9360"/>
      </w:tabs>
    </w:pPr>
  </w:style>
  <w:style w:type="character" w:customStyle="1" w:styleId="FooterChar">
    <w:name w:val="Footer Char"/>
    <w:basedOn w:val="DefaultParagraphFont"/>
    <w:link w:val="Footer"/>
    <w:uiPriority w:val="99"/>
    <w:rsid w:val="006641EF"/>
  </w:style>
  <w:style w:type="character" w:styleId="Hyperlink">
    <w:name w:val="Hyperlink"/>
    <w:basedOn w:val="DefaultParagraphFont"/>
    <w:uiPriority w:val="99"/>
    <w:unhideWhenUsed/>
    <w:rsid w:val="003F3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9315">
      <w:bodyDiv w:val="1"/>
      <w:marLeft w:val="0"/>
      <w:marRight w:val="0"/>
      <w:marTop w:val="0"/>
      <w:marBottom w:val="0"/>
      <w:divBdr>
        <w:top w:val="none" w:sz="0" w:space="0" w:color="auto"/>
        <w:left w:val="none" w:sz="0" w:space="0" w:color="auto"/>
        <w:bottom w:val="none" w:sz="0" w:space="0" w:color="auto"/>
        <w:right w:val="none" w:sz="0" w:space="0" w:color="auto"/>
      </w:divBdr>
      <w:divsChild>
        <w:div w:id="1054040151">
          <w:marLeft w:val="1166"/>
          <w:marRight w:val="0"/>
          <w:marTop w:val="106"/>
          <w:marBottom w:val="0"/>
          <w:divBdr>
            <w:top w:val="none" w:sz="0" w:space="0" w:color="auto"/>
            <w:left w:val="none" w:sz="0" w:space="0" w:color="auto"/>
            <w:bottom w:val="none" w:sz="0" w:space="0" w:color="auto"/>
            <w:right w:val="none" w:sz="0" w:space="0" w:color="auto"/>
          </w:divBdr>
        </w:div>
      </w:divsChild>
    </w:div>
    <w:div w:id="216667962">
      <w:bodyDiv w:val="1"/>
      <w:marLeft w:val="0"/>
      <w:marRight w:val="0"/>
      <w:marTop w:val="0"/>
      <w:marBottom w:val="0"/>
      <w:divBdr>
        <w:top w:val="none" w:sz="0" w:space="0" w:color="auto"/>
        <w:left w:val="none" w:sz="0" w:space="0" w:color="auto"/>
        <w:bottom w:val="none" w:sz="0" w:space="0" w:color="auto"/>
        <w:right w:val="none" w:sz="0" w:space="0" w:color="auto"/>
      </w:divBdr>
      <w:divsChild>
        <w:div w:id="2004433057">
          <w:marLeft w:val="1166"/>
          <w:marRight w:val="0"/>
          <w:marTop w:val="106"/>
          <w:marBottom w:val="0"/>
          <w:divBdr>
            <w:top w:val="none" w:sz="0" w:space="0" w:color="auto"/>
            <w:left w:val="none" w:sz="0" w:space="0" w:color="auto"/>
            <w:bottom w:val="none" w:sz="0" w:space="0" w:color="auto"/>
            <w:right w:val="none" w:sz="0" w:space="0" w:color="auto"/>
          </w:divBdr>
        </w:div>
      </w:divsChild>
    </w:div>
    <w:div w:id="288047429">
      <w:bodyDiv w:val="1"/>
      <w:marLeft w:val="0"/>
      <w:marRight w:val="0"/>
      <w:marTop w:val="0"/>
      <w:marBottom w:val="0"/>
      <w:divBdr>
        <w:top w:val="none" w:sz="0" w:space="0" w:color="auto"/>
        <w:left w:val="none" w:sz="0" w:space="0" w:color="auto"/>
        <w:bottom w:val="none" w:sz="0" w:space="0" w:color="auto"/>
        <w:right w:val="none" w:sz="0" w:space="0" w:color="auto"/>
      </w:divBdr>
      <w:divsChild>
        <w:div w:id="1737165665">
          <w:marLeft w:val="547"/>
          <w:marRight w:val="0"/>
          <w:marTop w:val="120"/>
          <w:marBottom w:val="0"/>
          <w:divBdr>
            <w:top w:val="none" w:sz="0" w:space="0" w:color="auto"/>
            <w:left w:val="none" w:sz="0" w:space="0" w:color="auto"/>
            <w:bottom w:val="none" w:sz="0" w:space="0" w:color="auto"/>
            <w:right w:val="none" w:sz="0" w:space="0" w:color="auto"/>
          </w:divBdr>
        </w:div>
      </w:divsChild>
    </w:div>
    <w:div w:id="667250435">
      <w:bodyDiv w:val="1"/>
      <w:marLeft w:val="0"/>
      <w:marRight w:val="0"/>
      <w:marTop w:val="0"/>
      <w:marBottom w:val="0"/>
      <w:divBdr>
        <w:top w:val="none" w:sz="0" w:space="0" w:color="auto"/>
        <w:left w:val="none" w:sz="0" w:space="0" w:color="auto"/>
        <w:bottom w:val="none" w:sz="0" w:space="0" w:color="auto"/>
        <w:right w:val="none" w:sz="0" w:space="0" w:color="auto"/>
      </w:divBdr>
      <w:divsChild>
        <w:div w:id="92283401">
          <w:marLeft w:val="1166"/>
          <w:marRight w:val="0"/>
          <w:marTop w:val="106"/>
          <w:marBottom w:val="0"/>
          <w:divBdr>
            <w:top w:val="none" w:sz="0" w:space="0" w:color="auto"/>
            <w:left w:val="none" w:sz="0" w:space="0" w:color="auto"/>
            <w:bottom w:val="none" w:sz="0" w:space="0" w:color="auto"/>
            <w:right w:val="none" w:sz="0" w:space="0" w:color="auto"/>
          </w:divBdr>
        </w:div>
        <w:div w:id="296032942">
          <w:marLeft w:val="1166"/>
          <w:marRight w:val="0"/>
          <w:marTop w:val="106"/>
          <w:marBottom w:val="0"/>
          <w:divBdr>
            <w:top w:val="none" w:sz="0" w:space="0" w:color="auto"/>
            <w:left w:val="none" w:sz="0" w:space="0" w:color="auto"/>
            <w:bottom w:val="none" w:sz="0" w:space="0" w:color="auto"/>
            <w:right w:val="none" w:sz="0" w:space="0" w:color="auto"/>
          </w:divBdr>
        </w:div>
        <w:div w:id="1058473428">
          <w:marLeft w:val="1166"/>
          <w:marRight w:val="0"/>
          <w:marTop w:val="106"/>
          <w:marBottom w:val="0"/>
          <w:divBdr>
            <w:top w:val="none" w:sz="0" w:space="0" w:color="auto"/>
            <w:left w:val="none" w:sz="0" w:space="0" w:color="auto"/>
            <w:bottom w:val="none" w:sz="0" w:space="0" w:color="auto"/>
            <w:right w:val="none" w:sz="0" w:space="0" w:color="auto"/>
          </w:divBdr>
        </w:div>
      </w:divsChild>
    </w:div>
    <w:div w:id="1239170414">
      <w:bodyDiv w:val="1"/>
      <w:marLeft w:val="0"/>
      <w:marRight w:val="0"/>
      <w:marTop w:val="0"/>
      <w:marBottom w:val="0"/>
      <w:divBdr>
        <w:top w:val="none" w:sz="0" w:space="0" w:color="auto"/>
        <w:left w:val="none" w:sz="0" w:space="0" w:color="auto"/>
        <w:bottom w:val="none" w:sz="0" w:space="0" w:color="auto"/>
        <w:right w:val="none" w:sz="0" w:space="0" w:color="auto"/>
      </w:divBdr>
    </w:div>
    <w:div w:id="1263101033">
      <w:bodyDiv w:val="1"/>
      <w:marLeft w:val="0"/>
      <w:marRight w:val="0"/>
      <w:marTop w:val="0"/>
      <w:marBottom w:val="0"/>
      <w:divBdr>
        <w:top w:val="none" w:sz="0" w:space="0" w:color="auto"/>
        <w:left w:val="none" w:sz="0" w:space="0" w:color="auto"/>
        <w:bottom w:val="none" w:sz="0" w:space="0" w:color="auto"/>
        <w:right w:val="none" w:sz="0" w:space="0" w:color="auto"/>
      </w:divBdr>
      <w:divsChild>
        <w:div w:id="296574958">
          <w:marLeft w:val="1166"/>
          <w:marRight w:val="0"/>
          <w:marTop w:val="106"/>
          <w:marBottom w:val="0"/>
          <w:divBdr>
            <w:top w:val="none" w:sz="0" w:space="0" w:color="auto"/>
            <w:left w:val="none" w:sz="0" w:space="0" w:color="auto"/>
            <w:bottom w:val="none" w:sz="0" w:space="0" w:color="auto"/>
            <w:right w:val="none" w:sz="0" w:space="0" w:color="auto"/>
          </w:divBdr>
        </w:div>
      </w:divsChild>
    </w:div>
    <w:div w:id="1698659186">
      <w:bodyDiv w:val="1"/>
      <w:marLeft w:val="0"/>
      <w:marRight w:val="0"/>
      <w:marTop w:val="0"/>
      <w:marBottom w:val="0"/>
      <w:divBdr>
        <w:top w:val="none" w:sz="0" w:space="0" w:color="auto"/>
        <w:left w:val="none" w:sz="0" w:space="0" w:color="auto"/>
        <w:bottom w:val="none" w:sz="0" w:space="0" w:color="auto"/>
        <w:right w:val="none" w:sz="0" w:space="0" w:color="auto"/>
      </w:divBdr>
      <w:divsChild>
        <w:div w:id="1329021816">
          <w:marLeft w:val="274"/>
          <w:marRight w:val="0"/>
          <w:marTop w:val="0"/>
          <w:marBottom w:val="0"/>
          <w:divBdr>
            <w:top w:val="none" w:sz="0" w:space="0" w:color="auto"/>
            <w:left w:val="none" w:sz="0" w:space="0" w:color="auto"/>
            <w:bottom w:val="none" w:sz="0" w:space="0" w:color="auto"/>
            <w:right w:val="none" w:sz="0" w:space="0" w:color="auto"/>
          </w:divBdr>
        </w:div>
        <w:div w:id="1365866800">
          <w:marLeft w:val="274"/>
          <w:marRight w:val="0"/>
          <w:marTop w:val="0"/>
          <w:marBottom w:val="0"/>
          <w:divBdr>
            <w:top w:val="none" w:sz="0" w:space="0" w:color="auto"/>
            <w:left w:val="none" w:sz="0" w:space="0" w:color="auto"/>
            <w:bottom w:val="none" w:sz="0" w:space="0" w:color="auto"/>
            <w:right w:val="none" w:sz="0" w:space="0" w:color="auto"/>
          </w:divBdr>
        </w:div>
        <w:div w:id="1570262643">
          <w:marLeft w:val="274"/>
          <w:marRight w:val="0"/>
          <w:marTop w:val="0"/>
          <w:marBottom w:val="0"/>
          <w:divBdr>
            <w:top w:val="none" w:sz="0" w:space="0" w:color="auto"/>
            <w:left w:val="none" w:sz="0" w:space="0" w:color="auto"/>
            <w:bottom w:val="none" w:sz="0" w:space="0" w:color="auto"/>
            <w:right w:val="none" w:sz="0" w:space="0" w:color="auto"/>
          </w:divBdr>
        </w:div>
        <w:div w:id="409619480">
          <w:marLeft w:val="274"/>
          <w:marRight w:val="0"/>
          <w:marTop w:val="0"/>
          <w:marBottom w:val="0"/>
          <w:divBdr>
            <w:top w:val="none" w:sz="0" w:space="0" w:color="auto"/>
            <w:left w:val="none" w:sz="0" w:space="0" w:color="auto"/>
            <w:bottom w:val="none" w:sz="0" w:space="0" w:color="auto"/>
            <w:right w:val="none" w:sz="0" w:space="0" w:color="auto"/>
          </w:divBdr>
        </w:div>
      </w:divsChild>
    </w:div>
    <w:div w:id="1726488614">
      <w:bodyDiv w:val="1"/>
      <w:marLeft w:val="0"/>
      <w:marRight w:val="0"/>
      <w:marTop w:val="0"/>
      <w:marBottom w:val="0"/>
      <w:divBdr>
        <w:top w:val="none" w:sz="0" w:space="0" w:color="auto"/>
        <w:left w:val="none" w:sz="0" w:space="0" w:color="auto"/>
        <w:bottom w:val="none" w:sz="0" w:space="0" w:color="auto"/>
        <w:right w:val="none" w:sz="0" w:space="0" w:color="auto"/>
      </w:divBdr>
    </w:div>
    <w:div w:id="17413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0612-0AB0-4991-9C2D-FB10BBCE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2623</Words>
  <Characters>14953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Bechtel</dc:creator>
  <cp:lastModifiedBy>Lonnie Moore</cp:lastModifiedBy>
  <cp:revision>2</cp:revision>
  <cp:lastPrinted>2015-01-06T18:36:00Z</cp:lastPrinted>
  <dcterms:created xsi:type="dcterms:W3CDTF">2015-02-23T15:13:00Z</dcterms:created>
  <dcterms:modified xsi:type="dcterms:W3CDTF">2015-02-23T15:13:00Z</dcterms:modified>
</cp:coreProperties>
</file>