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84" w:rsidRPr="00692562" w:rsidRDefault="00692562" w:rsidP="00285F03">
      <w:pPr>
        <w:jc w:val="center"/>
        <w:rPr>
          <w:rFonts w:asciiTheme="majorHAnsi" w:hAnsiTheme="majorHAnsi"/>
          <w:b/>
        </w:rPr>
      </w:pPr>
      <w:bookmarkStart w:id="0" w:name="_GoBack"/>
      <w:bookmarkEnd w:id="0"/>
      <w:r w:rsidRPr="00692562">
        <w:rPr>
          <w:rFonts w:asciiTheme="majorHAnsi" w:hAnsiTheme="majorHAnsi"/>
          <w:b/>
        </w:rPr>
        <w:t>Consumer Workgroup</w:t>
      </w:r>
    </w:p>
    <w:p w:rsidR="00692562" w:rsidRDefault="00692562" w:rsidP="00692562">
      <w:pPr>
        <w:jc w:val="center"/>
        <w:rPr>
          <w:rFonts w:asciiTheme="majorHAnsi" w:hAnsiTheme="majorHAnsi"/>
        </w:rPr>
      </w:pPr>
    </w:p>
    <w:p w:rsidR="00A36284" w:rsidRDefault="00692562" w:rsidP="00285F03">
      <w:pPr>
        <w:jc w:val="center"/>
        <w:rPr>
          <w:rFonts w:asciiTheme="majorHAnsi" w:hAnsiTheme="majorHAnsi"/>
        </w:rPr>
      </w:pPr>
      <w:r w:rsidRPr="00285F03">
        <w:rPr>
          <w:rFonts w:asciiTheme="majorHAnsi" w:hAnsiTheme="majorHAnsi"/>
        </w:rPr>
        <w:t>Interoperability Roadmap Comments Template</w:t>
      </w:r>
    </w:p>
    <w:p w:rsidR="005831D5" w:rsidRPr="00985BD8" w:rsidRDefault="005831D5" w:rsidP="00AB1FCB">
      <w:pPr>
        <w:rPr>
          <w:rFonts w:asciiTheme="majorHAnsi" w:hAnsiTheme="majorHAnsi"/>
        </w:rPr>
      </w:pPr>
    </w:p>
    <w:tbl>
      <w:tblPr>
        <w:tblW w:w="16935" w:type="dxa"/>
        <w:tblInd w:w="93" w:type="dxa"/>
        <w:tblLook w:val="04A0" w:firstRow="1" w:lastRow="0" w:firstColumn="1" w:lastColumn="0" w:noHBand="0" w:noVBand="1"/>
      </w:tblPr>
      <w:tblGrid>
        <w:gridCol w:w="1725"/>
        <w:gridCol w:w="15210"/>
      </w:tblGrid>
      <w:tr w:rsidR="00C2367D" w:rsidRPr="00687E91" w:rsidTr="005460EB">
        <w:trPr>
          <w:trHeight w:val="1160"/>
          <w:tblHeader/>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77BA" w:rsidRPr="00C2367D" w:rsidRDefault="00DD1477" w:rsidP="00C2367D">
            <w:pPr>
              <w:numPr>
                <w:ilvl w:val="0"/>
                <w:numId w:val="21"/>
              </w:numPr>
              <w:rPr>
                <w:rFonts w:ascii="Calibri" w:eastAsia="Times New Roman" w:hAnsi="Calibri" w:cs="Times New Roman"/>
                <w:b/>
                <w:bCs/>
                <w:color w:val="000000"/>
                <w:sz w:val="22"/>
                <w:szCs w:val="22"/>
              </w:rPr>
            </w:pPr>
            <w:r w:rsidRPr="00C2367D">
              <w:rPr>
                <w:rFonts w:ascii="Calibri" w:eastAsia="Times New Roman" w:hAnsi="Calibri" w:cs="Times New Roman"/>
                <w:b/>
                <w:bCs/>
                <w:color w:val="000000"/>
                <w:sz w:val="22"/>
                <w:szCs w:val="22"/>
              </w:rPr>
              <w:t xml:space="preserve">Are the actions the right actions to improve interoperability nationwide in the near term while working toward a learning health system in the long term? </w:t>
            </w:r>
          </w:p>
          <w:p w:rsidR="005277BA" w:rsidRPr="00C2367D" w:rsidRDefault="00DD1477" w:rsidP="00C2367D">
            <w:pPr>
              <w:numPr>
                <w:ilvl w:val="0"/>
                <w:numId w:val="21"/>
              </w:numPr>
              <w:rPr>
                <w:rFonts w:ascii="Calibri" w:eastAsia="Times New Roman" w:hAnsi="Calibri" w:cs="Times New Roman"/>
                <w:b/>
                <w:bCs/>
                <w:color w:val="000000"/>
                <w:sz w:val="22"/>
                <w:szCs w:val="22"/>
              </w:rPr>
            </w:pPr>
            <w:r w:rsidRPr="00C2367D">
              <w:rPr>
                <w:rFonts w:ascii="Calibri" w:eastAsia="Times New Roman" w:hAnsi="Calibri" w:cs="Times New Roman"/>
                <w:b/>
                <w:bCs/>
                <w:color w:val="000000"/>
                <w:sz w:val="22"/>
                <w:szCs w:val="22"/>
              </w:rPr>
              <w:t xml:space="preserve">What, if any, gaps need to be addressed? </w:t>
            </w:r>
          </w:p>
          <w:p w:rsidR="005277BA" w:rsidRPr="00C2367D" w:rsidRDefault="00DD1477" w:rsidP="00C2367D">
            <w:pPr>
              <w:numPr>
                <w:ilvl w:val="0"/>
                <w:numId w:val="21"/>
              </w:numPr>
              <w:rPr>
                <w:rFonts w:ascii="Calibri" w:eastAsia="Times New Roman" w:hAnsi="Calibri" w:cs="Times New Roman"/>
                <w:b/>
                <w:bCs/>
                <w:color w:val="000000"/>
                <w:sz w:val="22"/>
                <w:szCs w:val="22"/>
              </w:rPr>
            </w:pPr>
            <w:r w:rsidRPr="00C2367D">
              <w:rPr>
                <w:rFonts w:ascii="Calibri" w:eastAsia="Times New Roman" w:hAnsi="Calibri" w:cs="Times New Roman"/>
                <w:b/>
                <w:bCs/>
                <w:color w:val="000000"/>
                <w:sz w:val="22"/>
                <w:szCs w:val="22"/>
              </w:rPr>
              <w:t xml:space="preserve">Is the timing of specific actions appropriate? </w:t>
            </w:r>
          </w:p>
          <w:p w:rsidR="00C2367D" w:rsidRPr="00C2367D" w:rsidRDefault="00DD1477" w:rsidP="00C2367D">
            <w:pPr>
              <w:numPr>
                <w:ilvl w:val="0"/>
                <w:numId w:val="21"/>
              </w:numPr>
              <w:rPr>
                <w:rFonts w:ascii="Calibri" w:eastAsia="Times New Roman" w:hAnsi="Calibri" w:cs="Times New Roman"/>
                <w:b/>
                <w:bCs/>
                <w:color w:val="000000"/>
                <w:sz w:val="22"/>
                <w:szCs w:val="22"/>
                <w:u w:val="single"/>
              </w:rPr>
            </w:pPr>
            <w:r w:rsidRPr="00C2367D">
              <w:rPr>
                <w:rFonts w:ascii="Calibri" w:eastAsia="Times New Roman" w:hAnsi="Calibri" w:cs="Times New Roman"/>
                <w:b/>
                <w:bCs/>
                <w:color w:val="000000"/>
                <w:sz w:val="22"/>
                <w:szCs w:val="22"/>
              </w:rPr>
              <w:t>Are the right actors/stakeholders associated with critical actions?</w:t>
            </w:r>
            <w:r w:rsidRPr="00C2367D">
              <w:rPr>
                <w:rFonts w:ascii="Calibri" w:eastAsia="Times New Roman" w:hAnsi="Calibri" w:cs="Times New Roman"/>
                <w:b/>
                <w:bCs/>
                <w:color w:val="000000"/>
                <w:sz w:val="22"/>
                <w:szCs w:val="22"/>
                <w:u w:val="single"/>
              </w:rPr>
              <w:t xml:space="preserve"> </w:t>
            </w:r>
          </w:p>
        </w:tc>
      </w:tr>
      <w:tr w:rsidR="00687E91" w:rsidRPr="00687E91" w:rsidTr="005460EB">
        <w:trPr>
          <w:trHeight w:val="440"/>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7E91" w:rsidRPr="00C2367D" w:rsidRDefault="00C2367D" w:rsidP="00C2367D">
            <w:pPr>
              <w:rPr>
                <w:rFonts w:ascii="Calibri" w:eastAsia="Times New Roman" w:hAnsi="Calibri" w:cs="Times New Roman"/>
                <w:b/>
                <w:bCs/>
                <w:color w:val="000000"/>
                <w:sz w:val="22"/>
                <w:szCs w:val="22"/>
              </w:rPr>
            </w:pPr>
            <w:r w:rsidRPr="00C2367D">
              <w:rPr>
                <w:rFonts w:ascii="Calibri" w:eastAsia="Times New Roman" w:hAnsi="Calibri" w:cs="Times New Roman"/>
                <w:b/>
                <w:bCs/>
                <w:color w:val="000000"/>
                <w:sz w:val="22"/>
                <w:szCs w:val="22"/>
              </w:rPr>
              <w:t>C1. Cultural change for individuals including demanding and using their electronic health information</w:t>
            </w:r>
          </w:p>
        </w:tc>
      </w:tr>
      <w:tr w:rsidR="00C2367D" w:rsidRPr="00687E91" w:rsidTr="00DA3413">
        <w:trPr>
          <w:trHeight w:val="1520"/>
        </w:trPr>
        <w:tc>
          <w:tcPr>
            <w:tcW w:w="1725" w:type="dxa"/>
            <w:tcBorders>
              <w:top w:val="nil"/>
              <w:left w:val="single" w:sz="4" w:space="0" w:color="auto"/>
              <w:bottom w:val="single" w:sz="4" w:space="0" w:color="auto"/>
              <w:right w:val="single" w:sz="4" w:space="0" w:color="auto"/>
            </w:tcBorders>
            <w:shd w:val="clear" w:color="auto" w:fill="365F91" w:themeFill="accent1" w:themeFillShade="BF"/>
          </w:tcPr>
          <w:p w:rsidR="00C2367D" w:rsidRPr="00DA3413" w:rsidRDefault="00C2367D" w:rsidP="00C2367D">
            <w:pPr>
              <w:jc w:val="center"/>
              <w:rPr>
                <w:rFonts w:ascii="Calibri" w:eastAsia="Times New Roman" w:hAnsi="Calibri" w:cs="Times New Roman"/>
                <w:b/>
                <w:bCs/>
                <w:color w:val="FFFFFF" w:themeColor="background1"/>
                <w:sz w:val="22"/>
                <w:szCs w:val="22"/>
              </w:rPr>
            </w:pPr>
            <w:r w:rsidRPr="00DA3413">
              <w:rPr>
                <w:rFonts w:ascii="Calibri" w:eastAsia="Times New Roman" w:hAnsi="Calibri" w:cs="Times New Roman"/>
                <w:b/>
                <w:bCs/>
                <w:color w:val="FFFFFF" w:themeColor="background1"/>
                <w:sz w:val="22"/>
                <w:szCs w:val="22"/>
              </w:rPr>
              <w:t>2015-2017</w:t>
            </w:r>
          </w:p>
          <w:p w:rsidR="00C2367D" w:rsidRPr="00DA3413" w:rsidRDefault="00C2367D" w:rsidP="00C2367D">
            <w:pPr>
              <w:jc w:val="center"/>
              <w:rPr>
                <w:rFonts w:ascii="Calibri" w:eastAsia="Times New Roman" w:hAnsi="Calibri" w:cs="Times New Roman"/>
                <w:b/>
                <w:bCs/>
                <w:color w:val="FFFFFF" w:themeColor="background1"/>
                <w:sz w:val="22"/>
                <w:szCs w:val="22"/>
                <w:u w:val="single"/>
              </w:rPr>
            </w:pPr>
            <w:r w:rsidRPr="00DA3413">
              <w:rPr>
                <w:rFonts w:ascii="Calibri" w:eastAsia="Times New Roman" w:hAnsi="Calibri" w:cs="Times New Roman"/>
                <w:b/>
                <w:bCs/>
                <w:color w:val="FFFFFF" w:themeColor="background1"/>
                <w:sz w:val="22"/>
                <w:szCs w:val="22"/>
              </w:rPr>
              <w:t>Send, receive, find and use a common clinical data set</w:t>
            </w:r>
          </w:p>
        </w:tc>
        <w:tc>
          <w:tcPr>
            <w:tcW w:w="15210" w:type="dxa"/>
            <w:tcBorders>
              <w:top w:val="nil"/>
              <w:left w:val="single" w:sz="4" w:space="0" w:color="auto"/>
              <w:bottom w:val="single" w:sz="4" w:space="0" w:color="auto"/>
              <w:right w:val="single" w:sz="4" w:space="0" w:color="auto"/>
            </w:tcBorders>
            <w:shd w:val="clear" w:color="auto" w:fill="FFFFFF" w:themeFill="background1"/>
          </w:tcPr>
          <w:p w:rsidR="00C2367D" w:rsidRPr="00186D1C" w:rsidRDefault="00C2367D" w:rsidP="00C2367D">
            <w:pPr>
              <w:rPr>
                <w:rFonts w:ascii="Calibri" w:eastAsia="Times New Roman" w:hAnsi="Calibri" w:cs="Times New Roman"/>
                <w:bCs/>
                <w:color w:val="000000"/>
                <w:sz w:val="22"/>
                <w:szCs w:val="22"/>
              </w:rPr>
            </w:pPr>
            <w:r w:rsidRPr="00186D1C">
              <w:rPr>
                <w:rFonts w:ascii="Calibri" w:eastAsia="Times New Roman" w:hAnsi="Calibri" w:cs="Times New Roman"/>
                <w:bCs/>
                <w:color w:val="000000"/>
                <w:sz w:val="22"/>
                <w:szCs w:val="22"/>
              </w:rPr>
              <w:t>1. Call to action: A majority of individuals and their caregivers should demand access to their electronic health information in a format they can use to manage their health or that of</w:t>
            </w:r>
            <w:r w:rsidR="000B1BA2">
              <w:rPr>
                <w:rFonts w:ascii="Calibri" w:eastAsia="Times New Roman" w:hAnsi="Calibri" w:cs="Times New Roman"/>
                <w:bCs/>
                <w:color w:val="000000"/>
                <w:sz w:val="22"/>
                <w:szCs w:val="22"/>
              </w:rPr>
              <w:t xml:space="preserve"> others.</w:t>
            </w:r>
          </w:p>
        </w:tc>
      </w:tr>
      <w:tr w:rsidR="00692562" w:rsidRPr="00687E91" w:rsidTr="00DA3413">
        <w:trPr>
          <w:trHeight w:val="1520"/>
        </w:trPr>
        <w:tc>
          <w:tcPr>
            <w:tcW w:w="1725" w:type="dxa"/>
            <w:vMerge w:val="restart"/>
            <w:tcBorders>
              <w:top w:val="nil"/>
              <w:left w:val="single" w:sz="4" w:space="0" w:color="auto"/>
              <w:right w:val="single" w:sz="4" w:space="0" w:color="auto"/>
            </w:tcBorders>
            <w:shd w:val="clear" w:color="auto" w:fill="365F91" w:themeFill="accent1" w:themeFillShade="BF"/>
          </w:tcPr>
          <w:p w:rsidR="00692562" w:rsidRPr="00DA3413" w:rsidRDefault="00692562" w:rsidP="00C2367D">
            <w:pPr>
              <w:jc w:val="center"/>
              <w:rPr>
                <w:rFonts w:ascii="Calibri" w:eastAsia="Times New Roman" w:hAnsi="Calibri" w:cs="Times New Roman"/>
                <w:b/>
                <w:bCs/>
                <w:color w:val="FFFFFF" w:themeColor="background1"/>
                <w:sz w:val="22"/>
                <w:szCs w:val="22"/>
              </w:rPr>
            </w:pPr>
          </w:p>
          <w:p w:rsidR="00692562" w:rsidRPr="00DA3413" w:rsidRDefault="00692562" w:rsidP="00C2367D">
            <w:pPr>
              <w:jc w:val="center"/>
              <w:rPr>
                <w:rFonts w:ascii="Calibri" w:eastAsia="Times New Roman" w:hAnsi="Calibri" w:cs="Times New Roman"/>
                <w:b/>
                <w:bCs/>
                <w:color w:val="FFFFFF" w:themeColor="background1"/>
                <w:sz w:val="22"/>
                <w:szCs w:val="22"/>
              </w:rPr>
            </w:pPr>
          </w:p>
          <w:p w:rsidR="00692562" w:rsidRPr="00DA3413" w:rsidRDefault="00692562" w:rsidP="00DA3413">
            <w:pPr>
              <w:shd w:val="clear" w:color="auto" w:fill="365F91" w:themeFill="accent1" w:themeFillShade="BF"/>
              <w:jc w:val="center"/>
              <w:rPr>
                <w:rFonts w:ascii="Calibri" w:eastAsia="Times New Roman" w:hAnsi="Calibri" w:cs="Times New Roman"/>
                <w:b/>
                <w:bCs/>
                <w:color w:val="FFFFFF" w:themeColor="background1"/>
                <w:sz w:val="22"/>
                <w:szCs w:val="22"/>
              </w:rPr>
            </w:pPr>
          </w:p>
          <w:p w:rsidR="00692562" w:rsidRPr="00DA3413" w:rsidRDefault="00692562" w:rsidP="00DA3413">
            <w:pPr>
              <w:shd w:val="clear" w:color="auto" w:fill="365F91" w:themeFill="accent1" w:themeFillShade="BF"/>
              <w:jc w:val="center"/>
              <w:rPr>
                <w:rFonts w:ascii="Calibri" w:eastAsia="Times New Roman" w:hAnsi="Calibri" w:cs="Times New Roman"/>
                <w:b/>
                <w:bCs/>
                <w:color w:val="FFFFFF" w:themeColor="background1"/>
                <w:sz w:val="22"/>
                <w:szCs w:val="22"/>
              </w:rPr>
            </w:pPr>
          </w:p>
          <w:p w:rsidR="00692562" w:rsidRPr="00DA3413" w:rsidRDefault="00692562" w:rsidP="00DA3413">
            <w:pPr>
              <w:shd w:val="clear" w:color="auto" w:fill="365F91" w:themeFill="accent1" w:themeFillShade="BF"/>
              <w:jc w:val="center"/>
              <w:rPr>
                <w:rFonts w:ascii="Calibri" w:eastAsia="Times New Roman" w:hAnsi="Calibri" w:cs="Times New Roman"/>
                <w:b/>
                <w:bCs/>
                <w:color w:val="FFFFFF" w:themeColor="background1"/>
                <w:sz w:val="22"/>
                <w:szCs w:val="22"/>
              </w:rPr>
            </w:pPr>
          </w:p>
          <w:p w:rsidR="00692562" w:rsidRPr="00DA3413" w:rsidRDefault="00692562" w:rsidP="00DA3413">
            <w:pPr>
              <w:shd w:val="clear" w:color="auto" w:fill="365F91" w:themeFill="accent1" w:themeFillShade="BF"/>
              <w:jc w:val="center"/>
              <w:rPr>
                <w:rFonts w:ascii="Calibri" w:eastAsia="Times New Roman" w:hAnsi="Calibri" w:cs="Times New Roman"/>
                <w:b/>
                <w:bCs/>
                <w:color w:val="FFFFFF" w:themeColor="background1"/>
                <w:sz w:val="22"/>
                <w:szCs w:val="22"/>
              </w:rPr>
            </w:pPr>
            <w:r w:rsidRPr="00DA3413">
              <w:rPr>
                <w:rFonts w:ascii="Calibri" w:eastAsia="Times New Roman" w:hAnsi="Calibri" w:cs="Times New Roman"/>
                <w:b/>
                <w:bCs/>
                <w:color w:val="FFFFFF" w:themeColor="background1"/>
                <w:sz w:val="22"/>
                <w:szCs w:val="22"/>
              </w:rPr>
              <w:t>2018-2020</w:t>
            </w:r>
          </w:p>
          <w:p w:rsidR="00692562" w:rsidRPr="00DA3413" w:rsidRDefault="00692562" w:rsidP="00DA3413">
            <w:pPr>
              <w:shd w:val="clear" w:color="auto" w:fill="365F91" w:themeFill="accent1" w:themeFillShade="BF"/>
              <w:jc w:val="center"/>
              <w:rPr>
                <w:rFonts w:ascii="Calibri" w:eastAsia="Times New Roman" w:hAnsi="Calibri" w:cs="Times New Roman"/>
                <w:b/>
                <w:bCs/>
                <w:color w:val="FFFFFF" w:themeColor="background1"/>
                <w:sz w:val="22"/>
                <w:szCs w:val="22"/>
              </w:rPr>
            </w:pPr>
            <w:r w:rsidRPr="00DA3413">
              <w:rPr>
                <w:rFonts w:ascii="Calibri" w:eastAsia="Times New Roman" w:hAnsi="Calibri" w:cs="Times New Roman"/>
                <w:b/>
                <w:bCs/>
                <w:color w:val="FFFFFF" w:themeColor="background1"/>
                <w:sz w:val="22"/>
                <w:szCs w:val="22"/>
              </w:rPr>
              <w:t>Expand interoperable health IT and users</w:t>
            </w:r>
          </w:p>
        </w:tc>
        <w:tc>
          <w:tcPr>
            <w:tcW w:w="15210" w:type="dxa"/>
            <w:tcBorders>
              <w:top w:val="nil"/>
              <w:left w:val="single" w:sz="4" w:space="0" w:color="auto"/>
              <w:bottom w:val="single" w:sz="4" w:space="0" w:color="auto"/>
              <w:right w:val="single" w:sz="4" w:space="0" w:color="auto"/>
            </w:tcBorders>
            <w:shd w:val="clear" w:color="auto" w:fill="FFFFFF" w:themeFill="background1"/>
          </w:tcPr>
          <w:p w:rsidR="00692562" w:rsidRPr="00186D1C" w:rsidRDefault="00692562" w:rsidP="00C2367D">
            <w:pPr>
              <w:rPr>
                <w:rFonts w:ascii="Calibri" w:eastAsia="Times New Roman" w:hAnsi="Calibri" w:cs="Times New Roman"/>
                <w:bCs/>
                <w:color w:val="000000"/>
                <w:sz w:val="22"/>
                <w:szCs w:val="22"/>
              </w:rPr>
            </w:pPr>
            <w:r w:rsidRPr="00186D1C">
              <w:rPr>
                <w:rFonts w:ascii="Calibri" w:eastAsia="Times New Roman" w:hAnsi="Calibri" w:cs="Times New Roman"/>
                <w:bCs/>
                <w:color w:val="000000"/>
                <w:sz w:val="22"/>
                <w:szCs w:val="22"/>
              </w:rPr>
              <w:t>2. Call to action: An increasing proportion of individuals and caregivers should demand and ask for access to their electronic health information in a format they can use to manage their health or that of others.</w:t>
            </w:r>
          </w:p>
          <w:p w:rsidR="00692562" w:rsidRPr="00186D1C" w:rsidRDefault="00692562" w:rsidP="00C2367D">
            <w:pPr>
              <w:rPr>
                <w:rFonts w:ascii="Calibri" w:eastAsia="Times New Roman" w:hAnsi="Calibri" w:cs="Times New Roman"/>
                <w:bCs/>
                <w:color w:val="000000"/>
                <w:sz w:val="22"/>
                <w:szCs w:val="22"/>
              </w:rPr>
            </w:pPr>
          </w:p>
          <w:p w:rsidR="00692562" w:rsidRPr="00186D1C" w:rsidRDefault="00692562" w:rsidP="00C2367D">
            <w:pPr>
              <w:rPr>
                <w:rFonts w:ascii="Calibri" w:eastAsia="Times New Roman" w:hAnsi="Calibri" w:cs="Times New Roman"/>
                <w:bCs/>
                <w:color w:val="000000"/>
                <w:sz w:val="22"/>
                <w:szCs w:val="22"/>
              </w:rPr>
            </w:pPr>
          </w:p>
          <w:p w:rsidR="00692562" w:rsidRPr="00186D1C" w:rsidRDefault="00692562" w:rsidP="00C2367D">
            <w:pPr>
              <w:rPr>
                <w:rFonts w:ascii="Calibri" w:eastAsia="Times New Roman" w:hAnsi="Calibri" w:cs="Times New Roman"/>
                <w:bCs/>
                <w:color w:val="000000"/>
                <w:sz w:val="22"/>
                <w:szCs w:val="22"/>
              </w:rPr>
            </w:pPr>
          </w:p>
          <w:p w:rsidR="00692562" w:rsidRPr="00186D1C" w:rsidRDefault="00692562" w:rsidP="00C2367D">
            <w:pPr>
              <w:rPr>
                <w:rFonts w:ascii="Calibri" w:eastAsia="Times New Roman" w:hAnsi="Calibri" w:cs="Times New Roman"/>
                <w:bCs/>
                <w:color w:val="000000"/>
                <w:sz w:val="22"/>
                <w:szCs w:val="22"/>
              </w:rPr>
            </w:pPr>
          </w:p>
        </w:tc>
      </w:tr>
      <w:tr w:rsidR="00692562" w:rsidRPr="00687E91" w:rsidTr="00DA3413">
        <w:trPr>
          <w:trHeight w:val="1645"/>
        </w:trPr>
        <w:tc>
          <w:tcPr>
            <w:tcW w:w="1725" w:type="dxa"/>
            <w:vMerge/>
            <w:tcBorders>
              <w:left w:val="single" w:sz="4" w:space="0" w:color="auto"/>
              <w:right w:val="single" w:sz="4" w:space="0" w:color="auto"/>
            </w:tcBorders>
            <w:shd w:val="clear" w:color="auto" w:fill="365F91" w:themeFill="accent1" w:themeFillShade="BF"/>
          </w:tcPr>
          <w:p w:rsidR="00692562" w:rsidRPr="00C2367D" w:rsidRDefault="00692562" w:rsidP="00C2367D">
            <w:pPr>
              <w:jc w:val="center"/>
              <w:rPr>
                <w:rFonts w:ascii="Calibri" w:eastAsia="Times New Roman" w:hAnsi="Calibri" w:cs="Times New Roman"/>
                <w:b/>
                <w:bCs/>
                <w:color w:val="FFFFFF" w:themeColor="background1"/>
                <w:sz w:val="22"/>
                <w:szCs w:val="22"/>
              </w:rPr>
            </w:pPr>
          </w:p>
        </w:tc>
        <w:tc>
          <w:tcPr>
            <w:tcW w:w="15210" w:type="dxa"/>
            <w:tcBorders>
              <w:top w:val="nil"/>
              <w:left w:val="single" w:sz="4" w:space="0" w:color="auto"/>
              <w:bottom w:val="single" w:sz="4" w:space="0" w:color="auto"/>
              <w:right w:val="single" w:sz="4" w:space="0" w:color="auto"/>
            </w:tcBorders>
            <w:shd w:val="clear" w:color="auto" w:fill="FFFFFF" w:themeFill="background1"/>
          </w:tcPr>
          <w:p w:rsidR="00692562" w:rsidRPr="00186D1C" w:rsidRDefault="00692562" w:rsidP="00692562">
            <w:pPr>
              <w:rPr>
                <w:rFonts w:ascii="Calibri" w:eastAsia="Times New Roman" w:hAnsi="Calibri" w:cs="Times New Roman"/>
                <w:bCs/>
                <w:color w:val="000000"/>
                <w:sz w:val="22"/>
                <w:szCs w:val="22"/>
              </w:rPr>
            </w:pPr>
            <w:r w:rsidRPr="00186D1C">
              <w:rPr>
                <w:rFonts w:ascii="Calibri" w:eastAsia="Times New Roman" w:hAnsi="Calibri" w:cs="Times New Roman"/>
                <w:bCs/>
                <w:color w:val="000000"/>
                <w:sz w:val="22"/>
                <w:szCs w:val="22"/>
              </w:rPr>
              <w:t>3. Call to action: Individuals should contribute clinically relevant patient-generated health data and request corrections to their electronic health information to effectively manage their interactions with the care delivery system and to manage their health and wellness where they live, work and play.</w:t>
            </w:r>
          </w:p>
          <w:p w:rsidR="00692562" w:rsidRPr="00186D1C" w:rsidRDefault="00692562" w:rsidP="00C2367D">
            <w:pPr>
              <w:rPr>
                <w:rFonts w:ascii="Calibri" w:eastAsia="Times New Roman" w:hAnsi="Calibri" w:cs="Times New Roman"/>
                <w:bCs/>
                <w:color w:val="000000"/>
                <w:sz w:val="22"/>
                <w:szCs w:val="22"/>
                <w:u w:val="single"/>
              </w:rPr>
            </w:pPr>
          </w:p>
        </w:tc>
      </w:tr>
      <w:tr w:rsidR="00692562" w:rsidRPr="00687E91" w:rsidTr="00DA3413">
        <w:trPr>
          <w:trHeight w:val="1645"/>
        </w:trPr>
        <w:tc>
          <w:tcPr>
            <w:tcW w:w="1725" w:type="dxa"/>
            <w:vMerge/>
            <w:tcBorders>
              <w:left w:val="single" w:sz="4" w:space="0" w:color="auto"/>
              <w:bottom w:val="single" w:sz="4" w:space="0" w:color="auto"/>
              <w:right w:val="single" w:sz="4" w:space="0" w:color="auto"/>
            </w:tcBorders>
            <w:shd w:val="clear" w:color="auto" w:fill="365F91" w:themeFill="accent1" w:themeFillShade="BF"/>
          </w:tcPr>
          <w:p w:rsidR="00692562" w:rsidRPr="00C2367D" w:rsidRDefault="00692562" w:rsidP="00C2367D">
            <w:pPr>
              <w:jc w:val="center"/>
              <w:rPr>
                <w:rFonts w:ascii="Calibri" w:eastAsia="Times New Roman" w:hAnsi="Calibri" w:cs="Times New Roman"/>
                <w:b/>
                <w:bCs/>
                <w:color w:val="FFFFFF" w:themeColor="background1"/>
                <w:sz w:val="22"/>
                <w:szCs w:val="22"/>
              </w:rPr>
            </w:pPr>
          </w:p>
        </w:tc>
        <w:tc>
          <w:tcPr>
            <w:tcW w:w="15210" w:type="dxa"/>
            <w:tcBorders>
              <w:top w:val="nil"/>
              <w:left w:val="single" w:sz="4" w:space="0" w:color="auto"/>
              <w:bottom w:val="single" w:sz="4" w:space="0" w:color="auto"/>
              <w:right w:val="single" w:sz="4" w:space="0" w:color="auto"/>
            </w:tcBorders>
            <w:shd w:val="clear" w:color="auto" w:fill="FFFFFF" w:themeFill="background1"/>
          </w:tcPr>
          <w:p w:rsidR="00692562" w:rsidRPr="00186D1C" w:rsidRDefault="00692562" w:rsidP="00C2367D">
            <w:pPr>
              <w:rPr>
                <w:rFonts w:ascii="Calibri" w:eastAsia="Times New Roman" w:hAnsi="Calibri" w:cs="Times New Roman"/>
                <w:bCs/>
                <w:color w:val="000000"/>
                <w:sz w:val="22"/>
                <w:szCs w:val="22"/>
              </w:rPr>
            </w:pPr>
            <w:r w:rsidRPr="00186D1C">
              <w:rPr>
                <w:rFonts w:ascii="Calibri" w:eastAsia="Times New Roman" w:hAnsi="Calibri" w:cs="Times New Roman"/>
                <w:bCs/>
                <w:color w:val="000000"/>
                <w:sz w:val="22"/>
                <w:szCs w:val="22"/>
              </w:rPr>
              <w:t>4. Call to action: Individuals and their extended care teams (including family and caregivers) should utilize care planning to capture individual goals and preferences as part of longitudinal health information used across care settings.</w:t>
            </w:r>
          </w:p>
        </w:tc>
      </w:tr>
      <w:tr w:rsidR="00C2367D" w:rsidRPr="00687E91" w:rsidTr="00DA3413">
        <w:trPr>
          <w:trHeight w:val="1160"/>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692562" w:rsidRPr="00DA3413" w:rsidRDefault="00692562" w:rsidP="00692562">
            <w:pPr>
              <w:jc w:val="center"/>
              <w:rPr>
                <w:rFonts w:ascii="Calibri" w:eastAsia="Times New Roman" w:hAnsi="Calibri" w:cs="Times New Roman"/>
                <w:bCs/>
                <w:color w:val="FFFFFF" w:themeColor="background1"/>
                <w:sz w:val="22"/>
                <w:szCs w:val="22"/>
              </w:rPr>
            </w:pPr>
          </w:p>
          <w:p w:rsidR="00692562" w:rsidRPr="00DA3413" w:rsidRDefault="00692562" w:rsidP="00692562">
            <w:pPr>
              <w:jc w:val="center"/>
              <w:rPr>
                <w:rFonts w:ascii="Calibri" w:eastAsia="Times New Roman" w:hAnsi="Calibri" w:cs="Times New Roman"/>
                <w:b/>
                <w:bCs/>
                <w:color w:val="FFFFFF" w:themeColor="background1"/>
                <w:sz w:val="22"/>
                <w:szCs w:val="22"/>
              </w:rPr>
            </w:pPr>
            <w:r w:rsidRPr="00DA3413">
              <w:rPr>
                <w:rFonts w:ascii="Calibri" w:eastAsia="Times New Roman" w:hAnsi="Calibri" w:cs="Times New Roman"/>
                <w:b/>
                <w:bCs/>
                <w:color w:val="FFFFFF" w:themeColor="background1"/>
                <w:sz w:val="22"/>
                <w:szCs w:val="22"/>
              </w:rPr>
              <w:t>2021-2024</w:t>
            </w:r>
          </w:p>
          <w:p w:rsidR="00C2367D" w:rsidRPr="00186D1C" w:rsidRDefault="00692562" w:rsidP="00692562">
            <w:pPr>
              <w:jc w:val="center"/>
              <w:rPr>
                <w:rFonts w:ascii="Calibri" w:eastAsia="Times New Roman" w:hAnsi="Calibri" w:cs="Times New Roman"/>
                <w:bCs/>
                <w:color w:val="FFFFFF" w:themeColor="background1"/>
                <w:sz w:val="22"/>
                <w:szCs w:val="22"/>
              </w:rPr>
            </w:pPr>
            <w:r w:rsidRPr="00DA3413">
              <w:rPr>
                <w:rFonts w:ascii="Calibri" w:eastAsia="Times New Roman" w:hAnsi="Calibri" w:cs="Times New Roman"/>
                <w:b/>
                <w:bCs/>
                <w:color w:val="FFFFFF" w:themeColor="background1"/>
                <w:sz w:val="22"/>
                <w:szCs w:val="22"/>
              </w:rPr>
              <w:t>Achieve  nationwide LHS</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C2367D" w:rsidRPr="00186D1C" w:rsidRDefault="00692562" w:rsidP="00B45E00">
            <w:pPr>
              <w:rPr>
                <w:rFonts w:ascii="Calibri" w:eastAsia="Times New Roman" w:hAnsi="Calibri" w:cs="Times New Roman"/>
                <w:bCs/>
                <w:color w:val="000000"/>
                <w:sz w:val="22"/>
                <w:szCs w:val="22"/>
              </w:rPr>
            </w:pPr>
            <w:r w:rsidRPr="00186D1C">
              <w:rPr>
                <w:rFonts w:ascii="Calibri" w:eastAsia="Times New Roman" w:hAnsi="Calibri" w:cs="Times New Roman"/>
                <w:bCs/>
                <w:color w:val="000000"/>
                <w:sz w:val="22"/>
                <w:szCs w:val="22"/>
              </w:rPr>
              <w:t>5. Call to action: Individuals should regularly access and contribute to their health information in health IT, send and receive electronic health information through a variety of emerging technologies and use the information to manage  and participate in shared decision making with their care team.</w:t>
            </w:r>
          </w:p>
        </w:tc>
      </w:tr>
      <w:tr w:rsidR="00006A2D" w:rsidRPr="00687E91" w:rsidTr="005460EB">
        <w:trPr>
          <w:trHeight w:val="360"/>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6A2D" w:rsidRPr="00476A40" w:rsidRDefault="00006A2D" w:rsidP="00006A2D">
            <w:pPr>
              <w:rPr>
                <w:rFonts w:ascii="Calibri" w:eastAsia="Times New Roman" w:hAnsi="Calibri" w:cs="Times New Roman"/>
                <w:b/>
                <w:bCs/>
                <w:color w:val="000000"/>
                <w:sz w:val="22"/>
                <w:szCs w:val="22"/>
              </w:rPr>
            </w:pPr>
            <w:r w:rsidRPr="00476A40">
              <w:rPr>
                <w:rFonts w:ascii="Calibri" w:eastAsia="Times New Roman" w:hAnsi="Calibri" w:cs="Times New Roman"/>
                <w:b/>
                <w:bCs/>
                <w:color w:val="000000"/>
                <w:sz w:val="22"/>
                <w:szCs w:val="22"/>
              </w:rPr>
              <w:t>C2. Providers and technology developers supporting individual empowerment</w:t>
            </w:r>
          </w:p>
        </w:tc>
      </w:tr>
      <w:tr w:rsidR="00006A2D" w:rsidRPr="00687E91" w:rsidTr="00DA3413">
        <w:trPr>
          <w:trHeight w:val="99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06A2D" w:rsidRPr="00DA3413" w:rsidRDefault="00006A2D" w:rsidP="00006A2D">
            <w:pPr>
              <w:jc w:val="center"/>
              <w:rPr>
                <w:rFonts w:ascii="Calibri" w:eastAsia="Times New Roman" w:hAnsi="Calibri" w:cs="Times New Roman"/>
                <w:b/>
                <w:bCs/>
                <w:color w:val="FFFFFF" w:themeColor="background1"/>
                <w:sz w:val="22"/>
                <w:szCs w:val="22"/>
                <w:u w:val="single"/>
              </w:rPr>
            </w:pPr>
          </w:p>
          <w:p w:rsidR="00006A2D" w:rsidRPr="00DA3413" w:rsidRDefault="00006A2D" w:rsidP="00DA3413">
            <w:pPr>
              <w:shd w:val="clear" w:color="auto" w:fill="365F91" w:themeFill="accent1" w:themeFillShade="BF"/>
              <w:jc w:val="center"/>
              <w:rPr>
                <w:rFonts w:ascii="Calibri" w:eastAsia="Times New Roman" w:hAnsi="Calibri" w:cs="Times New Roman"/>
                <w:b/>
                <w:bCs/>
                <w:color w:val="FFFFFF" w:themeColor="background1"/>
                <w:sz w:val="22"/>
                <w:szCs w:val="22"/>
                <w:u w:val="single"/>
              </w:rPr>
            </w:pPr>
          </w:p>
          <w:p w:rsidR="00006A2D" w:rsidRPr="00DA3413" w:rsidRDefault="00006A2D" w:rsidP="00DA3413">
            <w:pPr>
              <w:shd w:val="clear" w:color="auto" w:fill="365F91" w:themeFill="accent1" w:themeFillShade="BF"/>
              <w:jc w:val="center"/>
              <w:rPr>
                <w:rFonts w:ascii="Calibri" w:eastAsia="Times New Roman" w:hAnsi="Calibri" w:cs="Times New Roman"/>
                <w:b/>
                <w:bCs/>
                <w:color w:val="FFFFFF" w:themeColor="background1"/>
                <w:sz w:val="22"/>
                <w:szCs w:val="22"/>
                <w:u w:val="single"/>
              </w:rPr>
            </w:pPr>
          </w:p>
          <w:p w:rsidR="00006A2D" w:rsidRPr="00DA3413" w:rsidRDefault="00006A2D" w:rsidP="00DA3413">
            <w:pPr>
              <w:shd w:val="clear" w:color="auto" w:fill="365F91" w:themeFill="accent1" w:themeFillShade="BF"/>
              <w:jc w:val="center"/>
              <w:rPr>
                <w:rFonts w:ascii="Calibri" w:eastAsia="Times New Roman" w:hAnsi="Calibri" w:cs="Times New Roman"/>
                <w:b/>
                <w:bCs/>
                <w:color w:val="FFFFFF" w:themeColor="background1"/>
                <w:sz w:val="22"/>
                <w:szCs w:val="22"/>
                <w:u w:val="single"/>
              </w:rPr>
            </w:pPr>
          </w:p>
          <w:p w:rsidR="00006A2D" w:rsidRPr="00DA3413" w:rsidRDefault="00006A2D" w:rsidP="00DA3413">
            <w:pPr>
              <w:shd w:val="clear" w:color="auto" w:fill="365F91" w:themeFill="accent1" w:themeFillShade="BF"/>
              <w:jc w:val="center"/>
              <w:rPr>
                <w:rFonts w:ascii="Calibri" w:eastAsia="Times New Roman" w:hAnsi="Calibri" w:cs="Times New Roman"/>
                <w:b/>
                <w:bCs/>
                <w:color w:val="FFFFFF" w:themeColor="background1"/>
                <w:sz w:val="22"/>
                <w:szCs w:val="22"/>
                <w:u w:val="single"/>
              </w:rPr>
            </w:pPr>
          </w:p>
          <w:p w:rsidR="00006A2D" w:rsidRPr="00DA3413" w:rsidRDefault="00006A2D" w:rsidP="00DA3413">
            <w:pPr>
              <w:shd w:val="clear" w:color="auto" w:fill="365F91" w:themeFill="accent1" w:themeFillShade="BF"/>
              <w:jc w:val="center"/>
              <w:rPr>
                <w:rFonts w:ascii="Calibri" w:eastAsia="Times New Roman" w:hAnsi="Calibri" w:cs="Times New Roman"/>
                <w:b/>
                <w:bCs/>
                <w:color w:val="FFFFFF" w:themeColor="background1"/>
                <w:sz w:val="22"/>
                <w:szCs w:val="22"/>
                <w:u w:val="single"/>
              </w:rPr>
            </w:pPr>
          </w:p>
          <w:p w:rsidR="00006A2D" w:rsidRPr="00DA3413" w:rsidRDefault="00006A2D" w:rsidP="00DA3413">
            <w:pPr>
              <w:shd w:val="clear" w:color="auto" w:fill="365F91" w:themeFill="accent1" w:themeFillShade="BF"/>
              <w:jc w:val="center"/>
              <w:rPr>
                <w:rFonts w:ascii="Calibri" w:eastAsia="Times New Roman" w:hAnsi="Calibri" w:cs="Times New Roman"/>
                <w:b/>
                <w:bCs/>
                <w:color w:val="FFFFFF" w:themeColor="background1"/>
                <w:sz w:val="22"/>
                <w:szCs w:val="22"/>
              </w:rPr>
            </w:pPr>
            <w:r w:rsidRPr="00DA3413">
              <w:rPr>
                <w:rFonts w:ascii="Calibri" w:eastAsia="Times New Roman" w:hAnsi="Calibri" w:cs="Times New Roman"/>
                <w:b/>
                <w:bCs/>
                <w:color w:val="FFFFFF" w:themeColor="background1"/>
                <w:sz w:val="22"/>
                <w:szCs w:val="22"/>
              </w:rPr>
              <w:t>2015-2017</w:t>
            </w:r>
          </w:p>
          <w:p w:rsidR="00006A2D" w:rsidRPr="00DA3413" w:rsidRDefault="00006A2D" w:rsidP="00DA3413">
            <w:pPr>
              <w:shd w:val="clear" w:color="auto" w:fill="365F91" w:themeFill="accent1" w:themeFillShade="BF"/>
              <w:jc w:val="center"/>
              <w:rPr>
                <w:rFonts w:ascii="Calibri" w:eastAsia="Times New Roman" w:hAnsi="Calibri" w:cs="Times New Roman"/>
                <w:b/>
                <w:bCs/>
                <w:color w:val="FFFFFF" w:themeColor="background1"/>
                <w:sz w:val="22"/>
                <w:szCs w:val="22"/>
                <w:u w:val="single"/>
              </w:rPr>
            </w:pPr>
            <w:r w:rsidRPr="00DA3413">
              <w:rPr>
                <w:rFonts w:ascii="Calibri" w:eastAsia="Times New Roman" w:hAnsi="Calibri" w:cs="Times New Roman"/>
                <w:b/>
                <w:bCs/>
                <w:color w:val="FFFFFF" w:themeColor="background1"/>
                <w:sz w:val="22"/>
                <w:szCs w:val="22"/>
              </w:rPr>
              <w:t>Send, receive, find and use a common clinical data set</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006A2D" w:rsidRPr="00186D1C" w:rsidRDefault="00006A2D" w:rsidP="00006A2D">
            <w:pPr>
              <w:rPr>
                <w:rFonts w:ascii="Calibri" w:eastAsia="Times New Roman" w:hAnsi="Calibri" w:cs="Times New Roman"/>
                <w:bCs/>
                <w:color w:val="000000"/>
                <w:sz w:val="22"/>
                <w:szCs w:val="22"/>
              </w:rPr>
            </w:pPr>
            <w:r w:rsidRPr="00186D1C">
              <w:rPr>
                <w:rFonts w:ascii="Calibri" w:eastAsia="Times New Roman" w:hAnsi="Calibri" w:cs="Times New Roman"/>
                <w:bCs/>
                <w:color w:val="000000"/>
                <w:sz w:val="22"/>
                <w:szCs w:val="22"/>
              </w:rPr>
              <w:t>1. ONC, government and the industry will identify best practices for the incorporation of patient-generated health data in health care delivery.</w:t>
            </w:r>
          </w:p>
        </w:tc>
      </w:tr>
      <w:tr w:rsidR="00006A2D" w:rsidRPr="00687E91" w:rsidTr="00DA3413">
        <w:trPr>
          <w:trHeight w:val="117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06A2D" w:rsidRPr="00006A2D" w:rsidRDefault="00006A2D" w:rsidP="00006A2D">
            <w:pPr>
              <w:jc w:val="center"/>
              <w:rPr>
                <w:rFonts w:ascii="Calibri" w:eastAsia="Times New Roman" w:hAnsi="Calibri" w:cs="Times New Roman"/>
                <w:b/>
                <w:bCs/>
                <w:color w:val="000000"/>
                <w:sz w:val="22"/>
                <w:szCs w:val="22"/>
                <w:u w:val="single"/>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006A2D" w:rsidRPr="00186D1C" w:rsidRDefault="00006A2D" w:rsidP="00006A2D">
            <w:pPr>
              <w:rPr>
                <w:rFonts w:ascii="Calibri" w:eastAsia="Times New Roman" w:hAnsi="Calibri" w:cs="Times New Roman"/>
                <w:bCs/>
                <w:color w:val="000000"/>
                <w:sz w:val="22"/>
                <w:szCs w:val="22"/>
              </w:rPr>
            </w:pPr>
            <w:r w:rsidRPr="00186D1C">
              <w:rPr>
                <w:rFonts w:ascii="Calibri" w:eastAsia="Times New Roman" w:hAnsi="Calibri" w:cs="Times New Roman"/>
                <w:bCs/>
                <w:color w:val="000000"/>
                <w:sz w:val="22"/>
                <w:szCs w:val="22"/>
              </w:rPr>
              <w:t>2. Call to action: Providers should encourage their patients to access their health information online and will enable patients to view, download and transmit that information to a destination of the patient’s choice.</w:t>
            </w:r>
          </w:p>
        </w:tc>
      </w:tr>
      <w:tr w:rsidR="00006A2D" w:rsidRPr="00687E91" w:rsidTr="00DA3413">
        <w:trPr>
          <w:trHeight w:val="117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06A2D" w:rsidRPr="00006A2D" w:rsidRDefault="00006A2D" w:rsidP="00006A2D">
            <w:pPr>
              <w:jc w:val="center"/>
              <w:rPr>
                <w:rFonts w:ascii="Calibri" w:eastAsia="Times New Roman" w:hAnsi="Calibri" w:cs="Times New Roman"/>
                <w:b/>
                <w:bCs/>
                <w:color w:val="000000"/>
                <w:sz w:val="22"/>
                <w:szCs w:val="22"/>
                <w:u w:val="single"/>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006A2D" w:rsidRPr="00186D1C" w:rsidRDefault="00006A2D" w:rsidP="00006A2D">
            <w:pPr>
              <w:rPr>
                <w:rFonts w:ascii="Calibri" w:eastAsia="Times New Roman" w:hAnsi="Calibri" w:cs="Times New Roman"/>
                <w:bCs/>
                <w:color w:val="000000"/>
                <w:sz w:val="22"/>
                <w:szCs w:val="22"/>
              </w:rPr>
            </w:pPr>
            <w:r w:rsidRPr="00186D1C">
              <w:rPr>
                <w:rFonts w:ascii="Calibri" w:eastAsia="Times New Roman" w:hAnsi="Calibri" w:cs="Times New Roman"/>
                <w:bCs/>
                <w:color w:val="000000"/>
                <w:sz w:val="22"/>
                <w:szCs w:val="22"/>
              </w:rPr>
              <w:t>3. Call to action: Providers and technology developers should provide a majority of individuals with the ability to send and receive their health information and make decisions with the providers of their choice, including but not limited to their existing care team based on their preferences.</w:t>
            </w:r>
          </w:p>
        </w:tc>
      </w:tr>
      <w:tr w:rsidR="00006A2D" w:rsidRPr="00687E91" w:rsidTr="00DA3413">
        <w:trPr>
          <w:trHeight w:val="117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06A2D" w:rsidRPr="00006A2D" w:rsidRDefault="00006A2D" w:rsidP="00006A2D">
            <w:pPr>
              <w:jc w:val="center"/>
              <w:rPr>
                <w:rFonts w:ascii="Calibri" w:eastAsia="Times New Roman" w:hAnsi="Calibri" w:cs="Times New Roman"/>
                <w:b/>
                <w:bCs/>
                <w:color w:val="000000"/>
                <w:sz w:val="22"/>
                <w:szCs w:val="22"/>
                <w:u w:val="single"/>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006A2D" w:rsidRPr="00186D1C" w:rsidRDefault="00006A2D" w:rsidP="00006A2D">
            <w:pPr>
              <w:rPr>
                <w:rFonts w:ascii="Calibri" w:eastAsia="Times New Roman" w:hAnsi="Calibri" w:cs="Times New Roman"/>
                <w:bCs/>
                <w:color w:val="000000"/>
                <w:sz w:val="22"/>
                <w:szCs w:val="22"/>
              </w:rPr>
            </w:pPr>
            <w:r w:rsidRPr="00186D1C">
              <w:rPr>
                <w:rFonts w:ascii="Calibri" w:eastAsia="Times New Roman" w:hAnsi="Calibri" w:cs="Times New Roman"/>
                <w:bCs/>
                <w:color w:val="000000"/>
                <w:sz w:val="22"/>
                <w:szCs w:val="22"/>
              </w:rPr>
              <w:t>4. ONC will work with the technology community to increase the use of Blue Button through implementation of a portfolio of standards to support consistency in the way that individuals receive information.</w:t>
            </w:r>
          </w:p>
        </w:tc>
      </w:tr>
      <w:tr w:rsidR="00006A2D" w:rsidRPr="00687E91" w:rsidTr="00DA3413">
        <w:trPr>
          <w:trHeight w:val="117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06A2D" w:rsidRPr="00006A2D" w:rsidRDefault="00006A2D" w:rsidP="00006A2D">
            <w:pPr>
              <w:jc w:val="center"/>
              <w:rPr>
                <w:rFonts w:ascii="Calibri" w:eastAsia="Times New Roman" w:hAnsi="Calibri" w:cs="Times New Roman"/>
                <w:b/>
                <w:bCs/>
                <w:color w:val="000000"/>
                <w:sz w:val="22"/>
                <w:szCs w:val="22"/>
                <w:u w:val="single"/>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006A2D" w:rsidRPr="00186D1C" w:rsidRDefault="00006A2D" w:rsidP="00006A2D">
            <w:pPr>
              <w:rPr>
                <w:rFonts w:ascii="Calibri" w:eastAsia="Times New Roman" w:hAnsi="Calibri" w:cs="Times New Roman"/>
                <w:bCs/>
                <w:color w:val="000000"/>
                <w:sz w:val="22"/>
                <w:szCs w:val="22"/>
              </w:rPr>
            </w:pPr>
            <w:r w:rsidRPr="00186D1C">
              <w:rPr>
                <w:rFonts w:ascii="Calibri" w:eastAsia="Times New Roman" w:hAnsi="Calibri" w:cs="Times New Roman"/>
                <w:bCs/>
                <w:color w:val="000000"/>
                <w:sz w:val="22"/>
                <w:szCs w:val="22"/>
              </w:rPr>
              <w:t>5. ONC and government ensure that patients understand their ability to access, send and receive health information.</w:t>
            </w:r>
          </w:p>
          <w:p w:rsidR="00285151" w:rsidRPr="00186D1C" w:rsidRDefault="00285151" w:rsidP="00006A2D">
            <w:pPr>
              <w:rPr>
                <w:rFonts w:ascii="Calibri" w:eastAsia="Times New Roman" w:hAnsi="Calibri" w:cs="Times New Roman"/>
                <w:bCs/>
                <w:color w:val="000000"/>
                <w:sz w:val="22"/>
                <w:szCs w:val="22"/>
              </w:rPr>
            </w:pPr>
          </w:p>
          <w:p w:rsidR="00285151" w:rsidRPr="00186D1C" w:rsidRDefault="00285151" w:rsidP="00006A2D">
            <w:pPr>
              <w:rPr>
                <w:rFonts w:ascii="Calibri" w:eastAsia="Times New Roman" w:hAnsi="Calibri" w:cs="Times New Roman"/>
                <w:bCs/>
                <w:color w:val="000000"/>
                <w:sz w:val="22"/>
                <w:szCs w:val="22"/>
              </w:rPr>
            </w:pPr>
          </w:p>
          <w:p w:rsidR="00285151" w:rsidRPr="00186D1C" w:rsidRDefault="00285151" w:rsidP="00006A2D">
            <w:pPr>
              <w:rPr>
                <w:rFonts w:ascii="Calibri" w:eastAsia="Times New Roman" w:hAnsi="Calibri" w:cs="Times New Roman"/>
                <w:bCs/>
                <w:color w:val="000000"/>
                <w:sz w:val="22"/>
                <w:szCs w:val="22"/>
              </w:rPr>
            </w:pPr>
          </w:p>
          <w:p w:rsidR="00285151" w:rsidRPr="00186D1C" w:rsidRDefault="00285151" w:rsidP="00006A2D">
            <w:pPr>
              <w:rPr>
                <w:rFonts w:ascii="Calibri" w:eastAsia="Times New Roman" w:hAnsi="Calibri" w:cs="Times New Roman"/>
                <w:bCs/>
                <w:color w:val="000000"/>
                <w:sz w:val="22"/>
                <w:szCs w:val="22"/>
              </w:rPr>
            </w:pPr>
          </w:p>
          <w:p w:rsidR="00285151" w:rsidRPr="00186D1C" w:rsidRDefault="00285151" w:rsidP="00006A2D">
            <w:pPr>
              <w:rPr>
                <w:rFonts w:ascii="Calibri" w:eastAsia="Times New Roman" w:hAnsi="Calibri" w:cs="Times New Roman"/>
                <w:bCs/>
                <w:color w:val="000000"/>
                <w:sz w:val="22"/>
                <w:szCs w:val="22"/>
              </w:rPr>
            </w:pPr>
          </w:p>
          <w:p w:rsidR="00285151" w:rsidRPr="00186D1C" w:rsidRDefault="00285151" w:rsidP="00006A2D">
            <w:pPr>
              <w:rPr>
                <w:rFonts w:ascii="Calibri" w:eastAsia="Times New Roman" w:hAnsi="Calibri" w:cs="Times New Roman"/>
                <w:bCs/>
                <w:color w:val="000000"/>
                <w:sz w:val="22"/>
                <w:szCs w:val="22"/>
              </w:rPr>
            </w:pPr>
          </w:p>
        </w:tc>
      </w:tr>
      <w:tr w:rsidR="00285151" w:rsidRPr="00687E91" w:rsidTr="00DA3413">
        <w:trPr>
          <w:trHeight w:val="116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85151" w:rsidRPr="00DA3413" w:rsidRDefault="00285151" w:rsidP="00285151">
            <w:pPr>
              <w:jc w:val="center"/>
              <w:rPr>
                <w:rFonts w:ascii="Calibri" w:eastAsia="Times New Roman" w:hAnsi="Calibri" w:cs="Times New Roman"/>
                <w:b/>
                <w:bCs/>
                <w:color w:val="FFFFFF" w:themeColor="background1"/>
                <w:sz w:val="22"/>
                <w:szCs w:val="22"/>
                <w:u w:val="single"/>
              </w:rPr>
            </w:pPr>
          </w:p>
          <w:p w:rsidR="00285151" w:rsidRPr="00DA3413" w:rsidRDefault="00285151" w:rsidP="00DA3413">
            <w:pPr>
              <w:shd w:val="clear" w:color="auto" w:fill="365F91" w:themeFill="accent1" w:themeFillShade="BF"/>
              <w:jc w:val="center"/>
              <w:rPr>
                <w:rFonts w:ascii="Calibri" w:eastAsia="Times New Roman" w:hAnsi="Calibri" w:cs="Times New Roman"/>
                <w:b/>
                <w:bCs/>
                <w:color w:val="FFFFFF" w:themeColor="background1"/>
                <w:sz w:val="22"/>
                <w:szCs w:val="22"/>
                <w:u w:val="single"/>
              </w:rPr>
            </w:pPr>
          </w:p>
          <w:p w:rsidR="00285151" w:rsidRPr="00DA3413" w:rsidRDefault="00285151" w:rsidP="00DA3413">
            <w:pPr>
              <w:shd w:val="clear" w:color="auto" w:fill="365F91" w:themeFill="accent1" w:themeFillShade="BF"/>
              <w:jc w:val="center"/>
              <w:rPr>
                <w:rFonts w:ascii="Calibri" w:eastAsia="Times New Roman" w:hAnsi="Calibri" w:cs="Times New Roman"/>
                <w:b/>
                <w:bCs/>
                <w:color w:val="FFFFFF" w:themeColor="background1"/>
                <w:sz w:val="22"/>
                <w:szCs w:val="22"/>
                <w:u w:val="single"/>
              </w:rPr>
            </w:pPr>
          </w:p>
          <w:p w:rsidR="00285151" w:rsidRPr="00DA3413" w:rsidRDefault="00285151" w:rsidP="00DA3413">
            <w:pPr>
              <w:shd w:val="clear" w:color="auto" w:fill="365F91" w:themeFill="accent1" w:themeFillShade="BF"/>
              <w:jc w:val="center"/>
              <w:rPr>
                <w:rFonts w:ascii="Calibri" w:eastAsia="Times New Roman" w:hAnsi="Calibri" w:cs="Times New Roman"/>
                <w:b/>
                <w:bCs/>
                <w:color w:val="FFFFFF" w:themeColor="background1"/>
                <w:sz w:val="22"/>
                <w:szCs w:val="22"/>
                <w:u w:val="single"/>
              </w:rPr>
            </w:pPr>
          </w:p>
          <w:p w:rsidR="00285151" w:rsidRPr="00DA3413" w:rsidRDefault="00285151" w:rsidP="00DA3413">
            <w:pPr>
              <w:shd w:val="clear" w:color="auto" w:fill="365F91" w:themeFill="accent1" w:themeFillShade="BF"/>
              <w:jc w:val="center"/>
              <w:rPr>
                <w:rFonts w:ascii="Calibri" w:eastAsia="Times New Roman" w:hAnsi="Calibri" w:cs="Times New Roman"/>
                <w:b/>
                <w:bCs/>
                <w:color w:val="FFFFFF" w:themeColor="background1"/>
                <w:sz w:val="22"/>
                <w:szCs w:val="22"/>
                <w:u w:val="single"/>
              </w:rPr>
            </w:pPr>
          </w:p>
          <w:p w:rsidR="00285151" w:rsidRPr="00DA3413" w:rsidRDefault="00285151" w:rsidP="00DA3413">
            <w:pPr>
              <w:shd w:val="clear" w:color="auto" w:fill="365F91" w:themeFill="accent1" w:themeFillShade="BF"/>
              <w:jc w:val="center"/>
              <w:rPr>
                <w:rFonts w:ascii="Calibri" w:eastAsia="Times New Roman" w:hAnsi="Calibri" w:cs="Times New Roman"/>
                <w:b/>
                <w:bCs/>
                <w:color w:val="FFFFFF" w:themeColor="background1"/>
                <w:sz w:val="22"/>
                <w:szCs w:val="22"/>
              </w:rPr>
            </w:pPr>
            <w:r w:rsidRPr="00DA3413">
              <w:rPr>
                <w:rFonts w:ascii="Calibri" w:eastAsia="Times New Roman" w:hAnsi="Calibri" w:cs="Times New Roman"/>
                <w:b/>
                <w:bCs/>
                <w:color w:val="FFFFFF" w:themeColor="background1"/>
                <w:sz w:val="22"/>
                <w:szCs w:val="22"/>
              </w:rPr>
              <w:t xml:space="preserve">2018-2020 </w:t>
            </w:r>
          </w:p>
          <w:p w:rsidR="00285151" w:rsidRPr="00DA3413" w:rsidRDefault="00285151" w:rsidP="00DA3413">
            <w:pPr>
              <w:shd w:val="clear" w:color="auto" w:fill="365F91" w:themeFill="accent1" w:themeFillShade="BF"/>
              <w:jc w:val="center"/>
              <w:rPr>
                <w:rFonts w:ascii="Calibri" w:eastAsia="Times New Roman" w:hAnsi="Calibri" w:cs="Times New Roman"/>
                <w:b/>
                <w:bCs/>
                <w:color w:val="FFFFFF" w:themeColor="background1"/>
                <w:sz w:val="22"/>
                <w:szCs w:val="22"/>
                <w:u w:val="single"/>
              </w:rPr>
            </w:pPr>
            <w:r w:rsidRPr="00DA3413">
              <w:rPr>
                <w:rFonts w:ascii="Calibri" w:eastAsia="Times New Roman" w:hAnsi="Calibri" w:cs="Times New Roman"/>
                <w:b/>
                <w:bCs/>
                <w:color w:val="FFFFFF" w:themeColor="background1"/>
                <w:sz w:val="22"/>
                <w:szCs w:val="22"/>
              </w:rPr>
              <w:t>Expand interoperable health IT and users</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285151" w:rsidRPr="00186D1C" w:rsidRDefault="00285151" w:rsidP="00263F3C">
            <w:pPr>
              <w:rPr>
                <w:rFonts w:asciiTheme="majorHAnsi" w:hAnsiTheme="majorHAnsi"/>
                <w:sz w:val="22"/>
                <w:szCs w:val="22"/>
              </w:rPr>
            </w:pPr>
            <w:r w:rsidRPr="00186D1C">
              <w:rPr>
                <w:rFonts w:asciiTheme="majorHAnsi" w:hAnsiTheme="majorHAnsi"/>
                <w:sz w:val="22"/>
                <w:szCs w:val="22"/>
              </w:rPr>
              <w:t>6. Call to action: Providers and technology developers should support the incorporation of patient-generated health data in health care delivery, which may include advance directives, remote monitoring, glucose levels and other data individuals are tracking</w:t>
            </w:r>
          </w:p>
        </w:tc>
      </w:tr>
      <w:tr w:rsidR="00285151" w:rsidRPr="00687E91" w:rsidTr="00DA3413">
        <w:trPr>
          <w:trHeight w:val="1565"/>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85151" w:rsidRPr="00DA3413" w:rsidRDefault="00285151" w:rsidP="00285151">
            <w:pPr>
              <w:jc w:val="center"/>
              <w:rPr>
                <w:rFonts w:ascii="Calibri" w:eastAsia="Times New Roman" w:hAnsi="Calibri" w:cs="Times New Roman"/>
                <w:b/>
                <w:bCs/>
                <w:color w:val="FFFFFF" w:themeColor="background1"/>
                <w:sz w:val="22"/>
                <w:szCs w:val="22"/>
                <w:u w:val="single"/>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285151" w:rsidRPr="00186D1C" w:rsidRDefault="00285151" w:rsidP="00263F3C">
            <w:pPr>
              <w:rPr>
                <w:rFonts w:asciiTheme="majorHAnsi" w:hAnsiTheme="majorHAnsi"/>
                <w:sz w:val="22"/>
                <w:szCs w:val="22"/>
              </w:rPr>
            </w:pPr>
            <w:r w:rsidRPr="00186D1C">
              <w:rPr>
                <w:rFonts w:asciiTheme="majorHAnsi" w:hAnsiTheme="majorHAnsi"/>
                <w:sz w:val="22"/>
                <w:szCs w:val="22"/>
              </w:rPr>
              <w:t>7. Call to action: Technology developers should deploy innovative aggregation platforms and tools that allow individuals and caregivers to receive and compile health information from multiple sources in one place, send their data to a destination of their choice and find and use the information they need (as determined by the individual), to support for example, the individual participating in shared decision-making with their care team.</w:t>
            </w:r>
          </w:p>
        </w:tc>
      </w:tr>
      <w:tr w:rsidR="00285151" w:rsidRPr="00687E91" w:rsidTr="00DA3413">
        <w:trPr>
          <w:trHeight w:val="1475"/>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85151" w:rsidRPr="00DA3413" w:rsidRDefault="00285151" w:rsidP="00285151">
            <w:pPr>
              <w:jc w:val="center"/>
              <w:rPr>
                <w:rFonts w:ascii="Calibri" w:eastAsia="Times New Roman" w:hAnsi="Calibri" w:cs="Times New Roman"/>
                <w:b/>
                <w:bCs/>
                <w:color w:val="FFFFFF" w:themeColor="background1"/>
                <w:sz w:val="22"/>
                <w:szCs w:val="22"/>
                <w:u w:val="single"/>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285151" w:rsidRPr="00186D1C" w:rsidRDefault="00285151" w:rsidP="00263F3C">
            <w:pPr>
              <w:rPr>
                <w:rFonts w:asciiTheme="majorHAnsi" w:hAnsiTheme="majorHAnsi"/>
                <w:sz w:val="22"/>
                <w:szCs w:val="22"/>
              </w:rPr>
            </w:pPr>
            <w:r w:rsidRPr="00186D1C">
              <w:rPr>
                <w:rFonts w:asciiTheme="majorHAnsi" w:hAnsiTheme="majorHAnsi"/>
                <w:sz w:val="22"/>
                <w:szCs w:val="22"/>
              </w:rPr>
              <w:t xml:space="preserve">8. Call to action: Providers should welcome and use information from other providers to avoid duplication of tests and ensure coordinated care. </w:t>
            </w:r>
          </w:p>
        </w:tc>
      </w:tr>
      <w:tr w:rsidR="00285151" w:rsidRPr="00687E91" w:rsidTr="00DA3413">
        <w:trPr>
          <w:trHeight w:val="1475"/>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85151" w:rsidRPr="00DA3413" w:rsidRDefault="00285151" w:rsidP="00285151">
            <w:pPr>
              <w:jc w:val="center"/>
              <w:rPr>
                <w:rFonts w:asciiTheme="majorHAnsi" w:hAnsiTheme="majorHAnsi"/>
                <w:b/>
                <w:color w:val="FFFFFF" w:themeColor="background1"/>
                <w:sz w:val="22"/>
                <w:szCs w:val="22"/>
              </w:rPr>
            </w:pPr>
          </w:p>
          <w:p w:rsidR="00285151" w:rsidRPr="00DA3413" w:rsidRDefault="00285151" w:rsidP="00DA3413">
            <w:pPr>
              <w:shd w:val="clear" w:color="auto" w:fill="365F91" w:themeFill="accent1" w:themeFillShade="BF"/>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2021-2024</w:t>
            </w:r>
          </w:p>
          <w:p w:rsidR="00285151" w:rsidRPr="00DA3413" w:rsidRDefault="00285151" w:rsidP="00DA3413">
            <w:pPr>
              <w:shd w:val="clear" w:color="auto" w:fill="365F91" w:themeFill="accent1" w:themeFillShade="BF"/>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Achieve  a nationwide LHS</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285151" w:rsidRDefault="008D7397" w:rsidP="00263F3C">
            <w:pPr>
              <w:rPr>
                <w:rFonts w:asciiTheme="majorHAnsi" w:hAnsiTheme="majorHAnsi"/>
                <w:sz w:val="22"/>
                <w:szCs w:val="22"/>
              </w:rPr>
            </w:pPr>
            <w:r w:rsidRPr="00186D1C">
              <w:rPr>
                <w:rFonts w:asciiTheme="majorHAnsi" w:hAnsiTheme="majorHAnsi"/>
                <w:sz w:val="22"/>
                <w:szCs w:val="22"/>
              </w:rPr>
              <w:t>9. Call to action: Providers and health IT developers should provide a majority of individuals/caregivers the ability to contribute as needed to their electronic health information and support the incorporation of patient-generated health data.</w:t>
            </w:r>
          </w:p>
          <w:p w:rsidR="0008554C" w:rsidRDefault="0008554C" w:rsidP="00263F3C">
            <w:pPr>
              <w:rPr>
                <w:rFonts w:asciiTheme="majorHAnsi" w:hAnsiTheme="majorHAnsi"/>
                <w:sz w:val="22"/>
                <w:szCs w:val="22"/>
              </w:rPr>
            </w:pPr>
          </w:p>
          <w:p w:rsidR="0008554C" w:rsidRDefault="0008554C" w:rsidP="00263F3C">
            <w:pPr>
              <w:rPr>
                <w:rFonts w:asciiTheme="majorHAnsi" w:hAnsiTheme="majorHAnsi"/>
                <w:sz w:val="22"/>
                <w:szCs w:val="22"/>
              </w:rPr>
            </w:pPr>
          </w:p>
          <w:p w:rsidR="0008554C" w:rsidRDefault="0008554C" w:rsidP="00263F3C">
            <w:pPr>
              <w:rPr>
                <w:rFonts w:asciiTheme="majorHAnsi" w:hAnsiTheme="majorHAnsi"/>
                <w:sz w:val="22"/>
                <w:szCs w:val="22"/>
              </w:rPr>
            </w:pPr>
          </w:p>
          <w:p w:rsidR="0008554C" w:rsidRDefault="0008554C" w:rsidP="00263F3C">
            <w:pPr>
              <w:rPr>
                <w:rFonts w:asciiTheme="majorHAnsi" w:hAnsiTheme="majorHAnsi"/>
                <w:sz w:val="22"/>
                <w:szCs w:val="22"/>
              </w:rPr>
            </w:pPr>
          </w:p>
          <w:p w:rsidR="0008554C" w:rsidRDefault="0008554C" w:rsidP="00263F3C">
            <w:pPr>
              <w:rPr>
                <w:rFonts w:asciiTheme="majorHAnsi" w:hAnsiTheme="majorHAnsi"/>
                <w:sz w:val="22"/>
                <w:szCs w:val="22"/>
              </w:rPr>
            </w:pPr>
          </w:p>
          <w:p w:rsidR="0008554C" w:rsidRDefault="0008554C" w:rsidP="00263F3C">
            <w:pPr>
              <w:rPr>
                <w:rFonts w:asciiTheme="majorHAnsi" w:hAnsiTheme="majorHAnsi"/>
                <w:sz w:val="22"/>
                <w:szCs w:val="22"/>
              </w:rPr>
            </w:pPr>
          </w:p>
          <w:p w:rsidR="0008554C" w:rsidRDefault="0008554C" w:rsidP="00263F3C">
            <w:pPr>
              <w:rPr>
                <w:rFonts w:asciiTheme="majorHAnsi" w:hAnsiTheme="majorHAnsi"/>
                <w:sz w:val="22"/>
                <w:szCs w:val="22"/>
              </w:rPr>
            </w:pPr>
          </w:p>
          <w:p w:rsidR="0008554C" w:rsidRDefault="0008554C" w:rsidP="00263F3C">
            <w:pPr>
              <w:rPr>
                <w:rFonts w:asciiTheme="majorHAnsi" w:hAnsiTheme="majorHAnsi"/>
                <w:sz w:val="22"/>
                <w:szCs w:val="22"/>
              </w:rPr>
            </w:pPr>
          </w:p>
          <w:p w:rsidR="0008554C" w:rsidRDefault="0008554C" w:rsidP="00263F3C">
            <w:pPr>
              <w:rPr>
                <w:rFonts w:asciiTheme="majorHAnsi" w:hAnsiTheme="majorHAnsi"/>
                <w:sz w:val="22"/>
                <w:szCs w:val="22"/>
              </w:rPr>
            </w:pPr>
          </w:p>
          <w:p w:rsidR="0008554C" w:rsidRDefault="0008554C" w:rsidP="00263F3C">
            <w:pPr>
              <w:rPr>
                <w:rFonts w:asciiTheme="majorHAnsi" w:hAnsiTheme="majorHAnsi"/>
                <w:sz w:val="22"/>
                <w:szCs w:val="22"/>
              </w:rPr>
            </w:pPr>
          </w:p>
          <w:p w:rsidR="0008554C" w:rsidRPr="00186D1C" w:rsidRDefault="0008554C" w:rsidP="00263F3C">
            <w:pPr>
              <w:rPr>
                <w:rFonts w:asciiTheme="majorHAnsi" w:hAnsiTheme="majorHAnsi"/>
                <w:sz w:val="22"/>
                <w:szCs w:val="22"/>
              </w:rPr>
            </w:pPr>
          </w:p>
        </w:tc>
      </w:tr>
      <w:tr w:rsidR="008D7397" w:rsidRPr="00687E91" w:rsidTr="005460EB">
        <w:trPr>
          <w:trHeight w:val="485"/>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D7397" w:rsidRPr="008D7397" w:rsidRDefault="008D7397" w:rsidP="008D7397">
            <w:pPr>
              <w:rPr>
                <w:rFonts w:asciiTheme="majorHAnsi" w:hAnsiTheme="majorHAnsi"/>
                <w:b/>
                <w:sz w:val="22"/>
                <w:szCs w:val="22"/>
              </w:rPr>
            </w:pPr>
            <w:r>
              <w:rPr>
                <w:rFonts w:asciiTheme="majorHAnsi" w:hAnsiTheme="majorHAnsi"/>
                <w:b/>
                <w:sz w:val="22"/>
                <w:szCs w:val="22"/>
              </w:rPr>
              <w:lastRenderedPageBreak/>
              <w:t>C3. Privacy and Security for I</w:t>
            </w:r>
            <w:r w:rsidRPr="008D7397">
              <w:rPr>
                <w:rFonts w:asciiTheme="majorHAnsi" w:hAnsiTheme="majorHAnsi"/>
                <w:b/>
                <w:sz w:val="22"/>
                <w:szCs w:val="22"/>
              </w:rPr>
              <w:t>ndividuals</w:t>
            </w:r>
          </w:p>
        </w:tc>
      </w:tr>
      <w:tr w:rsidR="008D7397" w:rsidRPr="00687E91" w:rsidTr="0008554C">
        <w:trPr>
          <w:trHeight w:val="1385"/>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D7397" w:rsidRPr="00DA3413" w:rsidRDefault="008D7397" w:rsidP="008D7397">
            <w:pPr>
              <w:jc w:val="center"/>
              <w:rPr>
                <w:rFonts w:asciiTheme="majorHAnsi" w:hAnsiTheme="majorHAnsi"/>
                <w:b/>
                <w:color w:val="FFFFFF" w:themeColor="background1"/>
                <w:sz w:val="22"/>
                <w:szCs w:val="22"/>
              </w:rPr>
            </w:pPr>
          </w:p>
          <w:p w:rsidR="008D7397" w:rsidRPr="00DA3413" w:rsidRDefault="008D7397" w:rsidP="008D7397">
            <w:pPr>
              <w:jc w:val="center"/>
              <w:rPr>
                <w:rFonts w:asciiTheme="majorHAnsi" w:hAnsiTheme="majorHAnsi"/>
                <w:b/>
                <w:color w:val="FFFFFF" w:themeColor="background1"/>
                <w:sz w:val="22"/>
                <w:szCs w:val="22"/>
              </w:rPr>
            </w:pPr>
          </w:p>
          <w:p w:rsidR="008D7397" w:rsidRPr="00DA3413" w:rsidRDefault="008D7397" w:rsidP="008D7397">
            <w:pPr>
              <w:jc w:val="center"/>
              <w:rPr>
                <w:rFonts w:asciiTheme="majorHAnsi" w:hAnsiTheme="majorHAnsi"/>
                <w:b/>
                <w:color w:val="FFFFFF" w:themeColor="background1"/>
                <w:sz w:val="22"/>
                <w:szCs w:val="22"/>
              </w:rPr>
            </w:pPr>
          </w:p>
          <w:p w:rsidR="008D7397" w:rsidRPr="00DA3413" w:rsidRDefault="008D7397" w:rsidP="008D7397">
            <w:pPr>
              <w:jc w:val="center"/>
              <w:rPr>
                <w:rFonts w:asciiTheme="majorHAnsi" w:hAnsiTheme="majorHAnsi"/>
                <w:b/>
                <w:color w:val="FFFFFF" w:themeColor="background1"/>
                <w:sz w:val="22"/>
                <w:szCs w:val="22"/>
              </w:rPr>
            </w:pPr>
          </w:p>
          <w:p w:rsidR="008D7397" w:rsidRPr="00DA3413" w:rsidRDefault="008D7397" w:rsidP="00DA3413">
            <w:pPr>
              <w:shd w:val="clear" w:color="auto" w:fill="365F91" w:themeFill="accent1" w:themeFillShade="BF"/>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2015-2017</w:t>
            </w:r>
          </w:p>
          <w:p w:rsidR="008D7397" w:rsidRPr="00DA3413" w:rsidRDefault="008D7397" w:rsidP="00DA3413">
            <w:pPr>
              <w:shd w:val="clear" w:color="auto" w:fill="365F91" w:themeFill="accent1" w:themeFillShade="BF"/>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Send, receive, find and use a</w:t>
            </w:r>
          </w:p>
          <w:p w:rsidR="008D7397" w:rsidRPr="00DA3413" w:rsidRDefault="008D7397" w:rsidP="00DA3413">
            <w:pPr>
              <w:shd w:val="clear" w:color="auto" w:fill="365F91" w:themeFill="accent1" w:themeFillShade="BF"/>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common clinical data set</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7397" w:rsidRPr="00186D1C" w:rsidRDefault="008D7397" w:rsidP="008D7397">
            <w:pPr>
              <w:rPr>
                <w:rFonts w:asciiTheme="majorHAnsi" w:hAnsiTheme="majorHAnsi"/>
                <w:sz w:val="22"/>
                <w:szCs w:val="22"/>
              </w:rPr>
            </w:pPr>
            <w:r w:rsidRPr="00186D1C">
              <w:rPr>
                <w:rFonts w:asciiTheme="majorHAnsi" w:hAnsiTheme="majorHAnsi"/>
                <w:sz w:val="22"/>
                <w:szCs w:val="22"/>
              </w:rPr>
              <w:t>1. Call to action: Public and private sector stakeholders should assess whether people understand how to safeguard their health information and the need for resources related to this topic.</w:t>
            </w:r>
          </w:p>
          <w:p w:rsidR="008D7397" w:rsidRPr="00186D1C" w:rsidRDefault="008D7397" w:rsidP="008D7397">
            <w:pPr>
              <w:rPr>
                <w:rFonts w:asciiTheme="majorHAnsi" w:hAnsiTheme="majorHAnsi"/>
                <w:sz w:val="22"/>
                <w:szCs w:val="22"/>
              </w:rPr>
            </w:pPr>
          </w:p>
          <w:p w:rsidR="008D7397" w:rsidRPr="00186D1C" w:rsidRDefault="008D7397" w:rsidP="008D7397">
            <w:pPr>
              <w:rPr>
                <w:rFonts w:asciiTheme="majorHAnsi" w:hAnsiTheme="majorHAnsi"/>
                <w:sz w:val="22"/>
                <w:szCs w:val="22"/>
              </w:rPr>
            </w:pPr>
          </w:p>
        </w:tc>
      </w:tr>
      <w:tr w:rsidR="008D7397" w:rsidRPr="00687E91" w:rsidTr="0008554C">
        <w:trPr>
          <w:trHeight w:val="179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D7397" w:rsidRPr="008D7397" w:rsidRDefault="008D7397" w:rsidP="008D7397">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7397" w:rsidRPr="00186D1C" w:rsidRDefault="008D7397" w:rsidP="008D7397">
            <w:pPr>
              <w:rPr>
                <w:rFonts w:asciiTheme="majorHAnsi" w:hAnsiTheme="majorHAnsi"/>
                <w:sz w:val="22"/>
                <w:szCs w:val="22"/>
              </w:rPr>
            </w:pPr>
            <w:r w:rsidRPr="00186D1C">
              <w:rPr>
                <w:rFonts w:asciiTheme="majorHAnsi" w:hAnsiTheme="majorHAnsi"/>
                <w:sz w:val="22"/>
                <w:szCs w:val="22"/>
              </w:rPr>
              <w:t>2. Call to action: Providers should provide individuals with secure access to their own behavioral health information in a manner that is easy to use and enables them to make choices about disclosure of specific information that is sensitive to the individual and/or legally protected.</w:t>
            </w:r>
          </w:p>
        </w:tc>
      </w:tr>
      <w:tr w:rsidR="008D7397" w:rsidRPr="00687E91" w:rsidTr="0008554C">
        <w:trPr>
          <w:trHeight w:val="2285"/>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D7397" w:rsidRPr="00DA3413" w:rsidRDefault="008D7397" w:rsidP="008D73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2018-2020</w:t>
            </w:r>
          </w:p>
          <w:p w:rsidR="008D7397" w:rsidRPr="00DA3413" w:rsidRDefault="008D7397" w:rsidP="008D73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Expand interoperable health IT and users</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7397" w:rsidRPr="00186D1C" w:rsidRDefault="008D7397" w:rsidP="008D7397">
            <w:pPr>
              <w:rPr>
                <w:rFonts w:asciiTheme="majorHAnsi" w:hAnsiTheme="majorHAnsi"/>
                <w:sz w:val="22"/>
                <w:szCs w:val="22"/>
              </w:rPr>
            </w:pPr>
            <w:r w:rsidRPr="00186D1C">
              <w:rPr>
                <w:rFonts w:asciiTheme="majorHAnsi" w:hAnsiTheme="majorHAnsi"/>
                <w:sz w:val="22"/>
                <w:szCs w:val="22"/>
              </w:rPr>
              <w:t xml:space="preserve">3. Call to action: Individuals should be able to trust that their health information (such as that generated/collected via home monitoring devices or other emerging technologies) is protected </w:t>
            </w:r>
          </w:p>
          <w:p w:rsidR="008D7397" w:rsidRPr="00186D1C" w:rsidRDefault="008D7397" w:rsidP="008D7397">
            <w:pPr>
              <w:rPr>
                <w:rFonts w:asciiTheme="majorHAnsi" w:hAnsiTheme="majorHAnsi"/>
                <w:sz w:val="22"/>
                <w:szCs w:val="22"/>
              </w:rPr>
            </w:pPr>
            <w:r w:rsidRPr="00186D1C">
              <w:rPr>
                <w:rFonts w:asciiTheme="majorHAnsi" w:hAnsiTheme="majorHAnsi"/>
                <w:sz w:val="22"/>
                <w:szCs w:val="22"/>
              </w:rPr>
              <w:t>and secure.</w:t>
            </w:r>
          </w:p>
        </w:tc>
      </w:tr>
      <w:tr w:rsidR="008D7397" w:rsidRPr="00687E91" w:rsidTr="00DA3413">
        <w:trPr>
          <w:trHeight w:val="1808"/>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577A8" w:rsidRPr="00DA3413" w:rsidRDefault="007577A8" w:rsidP="008D7397">
            <w:pPr>
              <w:jc w:val="center"/>
              <w:rPr>
                <w:rFonts w:asciiTheme="majorHAnsi" w:hAnsiTheme="majorHAnsi"/>
                <w:b/>
                <w:color w:val="FFFFFF" w:themeColor="background1"/>
                <w:sz w:val="22"/>
                <w:szCs w:val="22"/>
              </w:rPr>
            </w:pPr>
          </w:p>
          <w:p w:rsidR="008D7397" w:rsidRPr="00DA3413" w:rsidRDefault="008D7397" w:rsidP="008D73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2021-2024</w:t>
            </w:r>
          </w:p>
          <w:p w:rsidR="008D7397" w:rsidRPr="00DA3413" w:rsidRDefault="008D7397" w:rsidP="008D73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Achieve  nationwide LHS</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7397" w:rsidRPr="00186D1C" w:rsidRDefault="008D7397" w:rsidP="008D7397">
            <w:pPr>
              <w:rPr>
                <w:rFonts w:asciiTheme="majorHAnsi" w:hAnsiTheme="majorHAnsi"/>
                <w:sz w:val="22"/>
                <w:szCs w:val="22"/>
              </w:rPr>
            </w:pPr>
            <w:r w:rsidRPr="00186D1C">
              <w:rPr>
                <w:rFonts w:asciiTheme="majorHAnsi" w:hAnsiTheme="majorHAnsi"/>
                <w:sz w:val="22"/>
                <w:szCs w:val="22"/>
              </w:rPr>
              <w:t xml:space="preserve">4. ONC and the industry will continue to provide individuals with relevant and updated resources based on current technology to assist with increasing their digital </w:t>
            </w:r>
          </w:p>
          <w:p w:rsidR="008D7397" w:rsidRDefault="008D7397" w:rsidP="008D7397">
            <w:pPr>
              <w:rPr>
                <w:rFonts w:asciiTheme="majorHAnsi" w:hAnsiTheme="majorHAnsi"/>
                <w:sz w:val="22"/>
                <w:szCs w:val="22"/>
              </w:rPr>
            </w:pPr>
            <w:r w:rsidRPr="00186D1C">
              <w:rPr>
                <w:rFonts w:asciiTheme="majorHAnsi" w:hAnsiTheme="majorHAnsi"/>
                <w:sz w:val="22"/>
                <w:szCs w:val="22"/>
              </w:rPr>
              <w:t>health literacy.</w:t>
            </w:r>
          </w:p>
          <w:p w:rsidR="0008554C" w:rsidRDefault="0008554C" w:rsidP="008D7397">
            <w:pPr>
              <w:rPr>
                <w:rFonts w:asciiTheme="majorHAnsi" w:hAnsiTheme="majorHAnsi"/>
                <w:sz w:val="22"/>
                <w:szCs w:val="22"/>
              </w:rPr>
            </w:pPr>
          </w:p>
          <w:p w:rsidR="0008554C" w:rsidRDefault="0008554C" w:rsidP="008D7397">
            <w:pPr>
              <w:rPr>
                <w:rFonts w:asciiTheme="majorHAnsi" w:hAnsiTheme="majorHAnsi"/>
                <w:sz w:val="22"/>
                <w:szCs w:val="22"/>
              </w:rPr>
            </w:pPr>
          </w:p>
          <w:p w:rsidR="0008554C" w:rsidRDefault="0008554C" w:rsidP="008D7397">
            <w:pPr>
              <w:rPr>
                <w:rFonts w:asciiTheme="majorHAnsi" w:hAnsiTheme="majorHAnsi"/>
                <w:sz w:val="22"/>
                <w:szCs w:val="22"/>
              </w:rPr>
            </w:pPr>
          </w:p>
          <w:p w:rsidR="0008554C" w:rsidRDefault="0008554C" w:rsidP="008D7397">
            <w:pPr>
              <w:rPr>
                <w:rFonts w:asciiTheme="majorHAnsi" w:hAnsiTheme="majorHAnsi"/>
                <w:sz w:val="22"/>
                <w:szCs w:val="22"/>
              </w:rPr>
            </w:pPr>
          </w:p>
          <w:p w:rsidR="0008554C" w:rsidRDefault="0008554C" w:rsidP="008D7397">
            <w:pPr>
              <w:rPr>
                <w:rFonts w:asciiTheme="majorHAnsi" w:hAnsiTheme="majorHAnsi"/>
                <w:sz w:val="22"/>
                <w:szCs w:val="22"/>
              </w:rPr>
            </w:pPr>
          </w:p>
          <w:p w:rsidR="0008554C" w:rsidRPr="00186D1C" w:rsidRDefault="0008554C" w:rsidP="008D7397">
            <w:pPr>
              <w:rPr>
                <w:rFonts w:asciiTheme="majorHAnsi" w:hAnsiTheme="majorHAnsi"/>
                <w:sz w:val="22"/>
                <w:szCs w:val="22"/>
              </w:rPr>
            </w:pPr>
          </w:p>
        </w:tc>
      </w:tr>
      <w:tr w:rsidR="008D7397" w:rsidRPr="00687E91" w:rsidTr="005460EB">
        <w:trPr>
          <w:trHeight w:val="332"/>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D7397" w:rsidRDefault="008D7397" w:rsidP="008D7397">
            <w:pPr>
              <w:rPr>
                <w:rFonts w:asciiTheme="majorHAnsi" w:hAnsiTheme="majorHAnsi"/>
                <w:b/>
                <w:sz w:val="22"/>
                <w:szCs w:val="22"/>
              </w:rPr>
            </w:pPr>
            <w:r>
              <w:rPr>
                <w:rFonts w:asciiTheme="majorHAnsi" w:hAnsiTheme="majorHAnsi"/>
                <w:b/>
                <w:sz w:val="22"/>
                <w:szCs w:val="22"/>
              </w:rPr>
              <w:lastRenderedPageBreak/>
              <w:t xml:space="preserve">C4. Education and digital health literacy for </w:t>
            </w:r>
            <w:r w:rsidRPr="008D7397">
              <w:rPr>
                <w:rFonts w:asciiTheme="majorHAnsi" w:hAnsiTheme="majorHAnsi"/>
                <w:b/>
                <w:sz w:val="22"/>
                <w:szCs w:val="22"/>
              </w:rPr>
              <w:t>individuals</w:t>
            </w:r>
          </w:p>
        </w:tc>
      </w:tr>
      <w:tr w:rsidR="008D7397" w:rsidRPr="00687E91" w:rsidTr="00DA3413">
        <w:trPr>
          <w:trHeight w:val="332"/>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577A8" w:rsidRPr="00DA3413" w:rsidRDefault="007577A8" w:rsidP="008D7397">
            <w:pPr>
              <w:jc w:val="center"/>
              <w:rPr>
                <w:rFonts w:asciiTheme="majorHAnsi" w:hAnsiTheme="majorHAnsi"/>
                <w:b/>
                <w:color w:val="FFFFFF" w:themeColor="background1"/>
                <w:sz w:val="22"/>
                <w:szCs w:val="22"/>
              </w:rPr>
            </w:pPr>
          </w:p>
          <w:p w:rsidR="007577A8" w:rsidRPr="00DA3413" w:rsidRDefault="007577A8" w:rsidP="008D7397">
            <w:pPr>
              <w:jc w:val="center"/>
              <w:rPr>
                <w:rFonts w:asciiTheme="majorHAnsi" w:hAnsiTheme="majorHAnsi"/>
                <w:b/>
                <w:color w:val="FFFFFF" w:themeColor="background1"/>
                <w:sz w:val="22"/>
                <w:szCs w:val="22"/>
              </w:rPr>
            </w:pPr>
          </w:p>
          <w:p w:rsidR="008D7397" w:rsidRPr="00DA3413" w:rsidRDefault="008D7397" w:rsidP="008D73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2015-2017</w:t>
            </w:r>
          </w:p>
          <w:p w:rsidR="008D7397" w:rsidRPr="00DA3413" w:rsidRDefault="008D7397" w:rsidP="008D73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 xml:space="preserve">Send, receive, find and use a </w:t>
            </w:r>
          </w:p>
          <w:p w:rsidR="008D7397" w:rsidRPr="00DA3413" w:rsidRDefault="008D7397" w:rsidP="008D73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common clinical data set</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7397" w:rsidRPr="00186D1C" w:rsidRDefault="008D7397" w:rsidP="008D7397">
            <w:pPr>
              <w:rPr>
                <w:rFonts w:asciiTheme="majorHAnsi" w:hAnsiTheme="majorHAnsi"/>
                <w:sz w:val="22"/>
                <w:szCs w:val="22"/>
              </w:rPr>
            </w:pPr>
            <w:r w:rsidRPr="00186D1C">
              <w:rPr>
                <w:rFonts w:asciiTheme="majorHAnsi" w:hAnsiTheme="majorHAnsi"/>
                <w:sz w:val="22"/>
                <w:szCs w:val="22"/>
              </w:rPr>
              <w:t>1. Call to action: Consumer advocacy groups in collaboration with government agencies, associations and</w:t>
            </w:r>
            <w:r w:rsidR="00186D1C">
              <w:rPr>
                <w:rFonts w:asciiTheme="majorHAnsi" w:hAnsiTheme="majorHAnsi"/>
                <w:sz w:val="22"/>
                <w:szCs w:val="22"/>
              </w:rPr>
              <w:t xml:space="preserve"> </w:t>
            </w:r>
            <w:r w:rsidRPr="00186D1C">
              <w:rPr>
                <w:rFonts w:asciiTheme="majorHAnsi" w:hAnsiTheme="majorHAnsi"/>
                <w:sz w:val="22"/>
                <w:szCs w:val="22"/>
              </w:rPr>
              <w:t xml:space="preserve">payers should develop and disseminate resources (toolkits </w:t>
            </w:r>
          </w:p>
          <w:p w:rsidR="008D7397" w:rsidRPr="00186D1C" w:rsidRDefault="008D7397" w:rsidP="008D7397">
            <w:pPr>
              <w:rPr>
                <w:rFonts w:asciiTheme="majorHAnsi" w:hAnsiTheme="majorHAnsi"/>
                <w:sz w:val="22"/>
                <w:szCs w:val="22"/>
              </w:rPr>
            </w:pPr>
            <w:r w:rsidRPr="00186D1C">
              <w:rPr>
                <w:rFonts w:asciiTheme="majorHAnsi" w:hAnsiTheme="majorHAnsi"/>
                <w:sz w:val="22"/>
                <w:szCs w:val="22"/>
              </w:rPr>
              <w:t>and best practices) based on consumer needs to assist individuals with increasing their digital health literacy. This supports consumer participation in shared decision making with their care team based on more complete and accurate information</w:t>
            </w:r>
            <w:r w:rsidR="00186D1C">
              <w:rPr>
                <w:rFonts w:asciiTheme="majorHAnsi" w:hAnsiTheme="majorHAnsi"/>
                <w:sz w:val="22"/>
                <w:szCs w:val="22"/>
              </w:rPr>
              <w:t>.</w:t>
            </w:r>
          </w:p>
        </w:tc>
      </w:tr>
      <w:tr w:rsidR="00F41897" w:rsidRPr="00687E91" w:rsidTr="00DA3413">
        <w:trPr>
          <w:trHeight w:val="134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41897" w:rsidRPr="00DA3413" w:rsidRDefault="00F41897" w:rsidP="00F41897">
            <w:pPr>
              <w:jc w:val="center"/>
              <w:rPr>
                <w:rFonts w:asciiTheme="majorHAnsi" w:hAnsiTheme="majorHAnsi"/>
                <w:b/>
                <w:color w:val="FFFFFF" w:themeColor="background1"/>
                <w:sz w:val="22"/>
                <w:szCs w:val="22"/>
              </w:rPr>
            </w:pPr>
          </w:p>
          <w:p w:rsidR="00F41897" w:rsidRPr="00DA3413" w:rsidRDefault="00F41897" w:rsidP="00F41897">
            <w:pPr>
              <w:jc w:val="center"/>
              <w:rPr>
                <w:rFonts w:asciiTheme="majorHAnsi" w:hAnsiTheme="majorHAnsi"/>
                <w:b/>
                <w:color w:val="FFFFFF" w:themeColor="background1"/>
                <w:sz w:val="22"/>
                <w:szCs w:val="22"/>
              </w:rPr>
            </w:pPr>
          </w:p>
          <w:p w:rsidR="00F41897" w:rsidRPr="00DA3413" w:rsidRDefault="00F41897" w:rsidP="00F41897">
            <w:pPr>
              <w:jc w:val="center"/>
              <w:rPr>
                <w:rFonts w:asciiTheme="majorHAnsi" w:hAnsiTheme="majorHAnsi"/>
                <w:b/>
                <w:color w:val="FFFFFF" w:themeColor="background1"/>
                <w:sz w:val="22"/>
                <w:szCs w:val="22"/>
              </w:rPr>
            </w:pPr>
          </w:p>
          <w:p w:rsidR="00F41897" w:rsidRPr="00DA3413" w:rsidRDefault="00F41897" w:rsidP="00F418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2018-2020</w:t>
            </w:r>
          </w:p>
          <w:p w:rsidR="00F41897" w:rsidRPr="00DA3413" w:rsidRDefault="00F41897" w:rsidP="00F418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Expand interoperable health IT and users</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F41897" w:rsidRPr="00186D1C" w:rsidRDefault="00F41897" w:rsidP="00F41897">
            <w:pPr>
              <w:rPr>
                <w:rFonts w:asciiTheme="majorHAnsi" w:hAnsiTheme="majorHAnsi"/>
                <w:sz w:val="22"/>
                <w:szCs w:val="22"/>
              </w:rPr>
            </w:pPr>
            <w:r w:rsidRPr="00186D1C">
              <w:rPr>
                <w:rFonts w:asciiTheme="majorHAnsi" w:hAnsiTheme="majorHAnsi"/>
                <w:sz w:val="22"/>
                <w:szCs w:val="22"/>
              </w:rPr>
              <w:t>2. ONC, government and the industry should work with individuals to help the majority understand the value of health IT for managing their health by providing individuals with easy resources to assist with increasing their digital health literacy.</w:t>
            </w:r>
          </w:p>
        </w:tc>
      </w:tr>
      <w:tr w:rsidR="00F41897" w:rsidRPr="00687E91" w:rsidTr="00DA3413">
        <w:trPr>
          <w:trHeight w:val="143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41897" w:rsidRPr="00DA3413" w:rsidRDefault="00F41897" w:rsidP="008D7397">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F41897" w:rsidRPr="00186D1C" w:rsidRDefault="00F41897" w:rsidP="00F41897">
            <w:pPr>
              <w:rPr>
                <w:rFonts w:asciiTheme="majorHAnsi" w:hAnsiTheme="majorHAnsi"/>
                <w:sz w:val="22"/>
                <w:szCs w:val="22"/>
              </w:rPr>
            </w:pPr>
            <w:r w:rsidRPr="00186D1C">
              <w:rPr>
                <w:rFonts w:asciiTheme="majorHAnsi" w:hAnsiTheme="majorHAnsi"/>
                <w:sz w:val="22"/>
                <w:szCs w:val="22"/>
              </w:rPr>
              <w:t xml:space="preserve">3. ONC and the industry should </w:t>
            </w:r>
          </w:p>
          <w:p w:rsidR="00F41897" w:rsidRPr="00186D1C" w:rsidRDefault="00F41897" w:rsidP="00F41897">
            <w:pPr>
              <w:rPr>
                <w:rFonts w:asciiTheme="majorHAnsi" w:hAnsiTheme="majorHAnsi"/>
                <w:sz w:val="22"/>
                <w:szCs w:val="22"/>
              </w:rPr>
            </w:pPr>
            <w:r w:rsidRPr="00186D1C">
              <w:rPr>
                <w:rFonts w:asciiTheme="majorHAnsi" w:hAnsiTheme="majorHAnsi"/>
                <w:sz w:val="22"/>
                <w:szCs w:val="22"/>
              </w:rPr>
              <w:t>continue to provide individuals with relevant and updated resources based on current technology to assist with increasing their digital health literacy</w:t>
            </w:r>
          </w:p>
        </w:tc>
      </w:tr>
      <w:tr w:rsidR="00F41897" w:rsidRPr="00687E91" w:rsidTr="00DA3413">
        <w:trPr>
          <w:trHeight w:val="143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41897" w:rsidRPr="00DA3413" w:rsidRDefault="00F41897" w:rsidP="00F41897">
            <w:pPr>
              <w:jc w:val="center"/>
              <w:rPr>
                <w:rFonts w:asciiTheme="majorHAnsi" w:hAnsiTheme="majorHAnsi"/>
                <w:b/>
                <w:color w:val="FFFFFF" w:themeColor="background1"/>
                <w:sz w:val="22"/>
                <w:szCs w:val="22"/>
              </w:rPr>
            </w:pPr>
          </w:p>
          <w:p w:rsidR="00F41897" w:rsidRPr="00DA3413" w:rsidRDefault="00F41897" w:rsidP="00F41897">
            <w:pPr>
              <w:jc w:val="center"/>
              <w:rPr>
                <w:rFonts w:asciiTheme="majorHAnsi" w:hAnsiTheme="majorHAnsi"/>
                <w:b/>
                <w:color w:val="FFFFFF" w:themeColor="background1"/>
                <w:sz w:val="22"/>
                <w:szCs w:val="22"/>
              </w:rPr>
            </w:pPr>
          </w:p>
          <w:p w:rsidR="00F41897" w:rsidRPr="00DA3413" w:rsidRDefault="00F41897" w:rsidP="00F41897">
            <w:pPr>
              <w:jc w:val="center"/>
              <w:rPr>
                <w:rFonts w:asciiTheme="majorHAnsi" w:hAnsiTheme="majorHAnsi"/>
                <w:b/>
                <w:color w:val="FFFFFF" w:themeColor="background1"/>
                <w:sz w:val="22"/>
                <w:szCs w:val="22"/>
              </w:rPr>
            </w:pPr>
          </w:p>
          <w:p w:rsidR="00F41897" w:rsidRPr="00DA3413" w:rsidRDefault="00F41897" w:rsidP="00F418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2021-2024</w:t>
            </w:r>
          </w:p>
          <w:p w:rsidR="00F41897" w:rsidRPr="00DA3413" w:rsidRDefault="00F41897" w:rsidP="00F418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Achieve  nationwide LHS</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F41897" w:rsidRPr="00186D1C" w:rsidRDefault="00F41897" w:rsidP="00F41897">
            <w:pPr>
              <w:rPr>
                <w:rFonts w:asciiTheme="majorHAnsi" w:hAnsiTheme="majorHAnsi"/>
                <w:sz w:val="22"/>
                <w:szCs w:val="22"/>
              </w:rPr>
            </w:pPr>
            <w:r w:rsidRPr="00186D1C">
              <w:rPr>
                <w:rFonts w:asciiTheme="majorHAnsi" w:hAnsiTheme="majorHAnsi"/>
                <w:sz w:val="22"/>
                <w:szCs w:val="22"/>
              </w:rPr>
              <w:t>4. ONC and the industry should work with individuals to ensure that a majority understand the value of sustained engagement in managing their health, supported by health IT.</w:t>
            </w:r>
          </w:p>
        </w:tc>
      </w:tr>
      <w:tr w:rsidR="00F41897" w:rsidRPr="00687E91" w:rsidTr="00DA3413">
        <w:trPr>
          <w:trHeight w:val="143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41897" w:rsidRPr="00F41897" w:rsidRDefault="00F41897" w:rsidP="00F41897">
            <w:pPr>
              <w:jc w:val="center"/>
              <w:rPr>
                <w:rFonts w:asciiTheme="majorHAnsi" w:hAnsiTheme="majorHAnsi"/>
                <w:b/>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F41897" w:rsidRPr="00186D1C" w:rsidRDefault="00F41897" w:rsidP="00F41897">
            <w:pPr>
              <w:rPr>
                <w:rFonts w:asciiTheme="majorHAnsi" w:hAnsiTheme="majorHAnsi"/>
                <w:sz w:val="22"/>
                <w:szCs w:val="22"/>
              </w:rPr>
            </w:pPr>
            <w:r w:rsidRPr="00186D1C">
              <w:rPr>
                <w:rFonts w:asciiTheme="majorHAnsi" w:hAnsiTheme="majorHAnsi"/>
                <w:sz w:val="22"/>
                <w:szCs w:val="22"/>
              </w:rPr>
              <w:t>5. ONC and the industry should continue to provide individuals with relevant and updated resources based on current technology to assist with increasing their digital health literacy.</w:t>
            </w:r>
          </w:p>
        </w:tc>
      </w:tr>
      <w:tr w:rsidR="00F41897" w:rsidRPr="00687E91" w:rsidTr="005460EB">
        <w:trPr>
          <w:trHeight w:val="350"/>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41897" w:rsidRDefault="00F41897" w:rsidP="00F41897">
            <w:pPr>
              <w:rPr>
                <w:rFonts w:asciiTheme="majorHAnsi" w:hAnsiTheme="majorHAnsi"/>
                <w:b/>
                <w:sz w:val="22"/>
                <w:szCs w:val="22"/>
              </w:rPr>
            </w:pPr>
            <w:r>
              <w:rPr>
                <w:rFonts w:asciiTheme="majorHAnsi" w:hAnsiTheme="majorHAnsi"/>
                <w:b/>
                <w:sz w:val="22"/>
                <w:szCs w:val="22"/>
              </w:rPr>
              <w:lastRenderedPageBreak/>
              <w:t xml:space="preserve">D1. Organization/ </w:t>
            </w:r>
            <w:r w:rsidRPr="00F41897">
              <w:rPr>
                <w:rFonts w:asciiTheme="majorHAnsi" w:hAnsiTheme="majorHAnsi"/>
                <w:b/>
                <w:sz w:val="22"/>
                <w:szCs w:val="22"/>
              </w:rPr>
              <w:t>Governance</w:t>
            </w:r>
          </w:p>
        </w:tc>
      </w:tr>
      <w:tr w:rsidR="00F41897" w:rsidRPr="00687E91" w:rsidTr="00DA3413">
        <w:trPr>
          <w:trHeight w:val="1250"/>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41897" w:rsidRPr="00DA3413" w:rsidRDefault="00F41897" w:rsidP="00F41897">
            <w:pPr>
              <w:jc w:val="center"/>
              <w:rPr>
                <w:rFonts w:asciiTheme="majorHAnsi" w:hAnsiTheme="majorHAnsi"/>
                <w:b/>
                <w:color w:val="FFFFFF" w:themeColor="background1"/>
                <w:sz w:val="22"/>
                <w:szCs w:val="22"/>
              </w:rPr>
            </w:pPr>
          </w:p>
          <w:p w:rsidR="00F41897" w:rsidRPr="00DA3413" w:rsidRDefault="00F41897" w:rsidP="00DA3413">
            <w:pPr>
              <w:shd w:val="clear" w:color="auto" w:fill="365F91" w:themeFill="accent1" w:themeFillShade="BF"/>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2015-2017</w:t>
            </w:r>
          </w:p>
          <w:p w:rsidR="00F41897" w:rsidRPr="00DA3413" w:rsidRDefault="00F41897" w:rsidP="00DA3413">
            <w:pPr>
              <w:shd w:val="clear" w:color="auto" w:fill="365F91" w:themeFill="accent1" w:themeFillShade="BF"/>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 xml:space="preserve">Send, receive, find and use a </w:t>
            </w:r>
          </w:p>
          <w:p w:rsidR="00F41897" w:rsidRPr="00DA3413" w:rsidRDefault="00F41897" w:rsidP="00DA3413">
            <w:pPr>
              <w:shd w:val="clear" w:color="auto" w:fill="365F91" w:themeFill="accent1" w:themeFillShade="BF"/>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common clinical data set</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F41897" w:rsidRPr="00186D1C" w:rsidRDefault="00F41897" w:rsidP="00F41897">
            <w:pPr>
              <w:rPr>
                <w:rFonts w:asciiTheme="majorHAnsi" w:hAnsiTheme="majorHAnsi"/>
                <w:sz w:val="22"/>
                <w:szCs w:val="22"/>
              </w:rPr>
            </w:pPr>
            <w:r w:rsidRPr="00186D1C">
              <w:rPr>
                <w:rFonts w:asciiTheme="majorHAnsi" w:hAnsiTheme="majorHAnsi"/>
                <w:sz w:val="22"/>
                <w:szCs w:val="22"/>
              </w:rPr>
              <w:t>1. Call to action: Providers should participate in governance of interoperability at all levels, from regional efforts to nationwide coordinated governance</w:t>
            </w:r>
          </w:p>
        </w:tc>
      </w:tr>
      <w:tr w:rsidR="00F41897" w:rsidRPr="00687E91" w:rsidTr="00DA3413">
        <w:trPr>
          <w:trHeight w:val="350"/>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07B6F" w:rsidRPr="00DA3413" w:rsidRDefault="00F07B6F" w:rsidP="00F07B6F">
            <w:pPr>
              <w:jc w:val="center"/>
              <w:rPr>
                <w:rFonts w:asciiTheme="majorHAnsi" w:hAnsiTheme="majorHAnsi"/>
                <w:b/>
                <w:color w:val="FFFFFF" w:themeColor="background1"/>
                <w:sz w:val="22"/>
                <w:szCs w:val="22"/>
              </w:rPr>
            </w:pPr>
          </w:p>
          <w:p w:rsidR="00F07B6F" w:rsidRPr="00DA3413" w:rsidRDefault="00F07B6F" w:rsidP="00F07B6F">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2018-2020</w:t>
            </w:r>
          </w:p>
          <w:p w:rsidR="00F41897" w:rsidRPr="00F41897" w:rsidRDefault="00F07B6F" w:rsidP="00F07B6F">
            <w:pPr>
              <w:jc w:val="center"/>
              <w:rPr>
                <w:rFonts w:asciiTheme="majorHAnsi" w:hAnsiTheme="majorHAnsi"/>
                <w:b/>
                <w:sz w:val="22"/>
                <w:szCs w:val="22"/>
              </w:rPr>
            </w:pPr>
            <w:r w:rsidRPr="00DA3413">
              <w:rPr>
                <w:rFonts w:asciiTheme="majorHAnsi" w:hAnsiTheme="majorHAnsi"/>
                <w:b/>
                <w:color w:val="FFFFFF" w:themeColor="background1"/>
                <w:sz w:val="22"/>
                <w:szCs w:val="22"/>
              </w:rPr>
              <w:t>Expand interoperable health IT and users</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F41897" w:rsidRPr="00186D1C" w:rsidRDefault="00F41897" w:rsidP="00F41897">
            <w:pPr>
              <w:rPr>
                <w:rFonts w:asciiTheme="majorHAnsi" w:hAnsiTheme="majorHAnsi"/>
                <w:sz w:val="22"/>
                <w:szCs w:val="22"/>
              </w:rPr>
            </w:pPr>
            <w:r w:rsidRPr="00186D1C">
              <w:rPr>
                <w:rFonts w:asciiTheme="majorHAnsi" w:hAnsiTheme="majorHAnsi"/>
                <w:sz w:val="22"/>
                <w:szCs w:val="22"/>
              </w:rPr>
              <w:t>2. Call to action: Providers should continue to provide input on the evolution of coordinated governance to support a learning health system.</w:t>
            </w:r>
          </w:p>
          <w:p w:rsidR="00F41897" w:rsidRPr="00186D1C" w:rsidRDefault="00F41897" w:rsidP="00F41897">
            <w:pPr>
              <w:rPr>
                <w:rFonts w:asciiTheme="majorHAnsi" w:hAnsiTheme="majorHAnsi"/>
                <w:sz w:val="22"/>
                <w:szCs w:val="22"/>
              </w:rPr>
            </w:pPr>
          </w:p>
          <w:p w:rsidR="00F41897" w:rsidRPr="00186D1C" w:rsidRDefault="00F41897" w:rsidP="00F41897">
            <w:pPr>
              <w:rPr>
                <w:rFonts w:asciiTheme="majorHAnsi" w:hAnsiTheme="majorHAnsi"/>
                <w:sz w:val="22"/>
                <w:szCs w:val="22"/>
              </w:rPr>
            </w:pPr>
          </w:p>
        </w:tc>
      </w:tr>
      <w:tr w:rsidR="00F41897" w:rsidRPr="00687E91" w:rsidTr="00DA3413">
        <w:trPr>
          <w:trHeight w:val="980"/>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41897" w:rsidRPr="00DA3413" w:rsidRDefault="00F41897" w:rsidP="00F4189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2021-2024</w:t>
            </w:r>
          </w:p>
          <w:p w:rsidR="00F41897" w:rsidRPr="00F41897" w:rsidRDefault="00F41897" w:rsidP="00F41897">
            <w:pPr>
              <w:jc w:val="center"/>
              <w:rPr>
                <w:rFonts w:asciiTheme="majorHAnsi" w:hAnsiTheme="majorHAnsi"/>
                <w:b/>
                <w:sz w:val="22"/>
                <w:szCs w:val="22"/>
              </w:rPr>
            </w:pPr>
            <w:r w:rsidRPr="00DA3413">
              <w:rPr>
                <w:rFonts w:asciiTheme="majorHAnsi" w:hAnsiTheme="majorHAnsi"/>
                <w:b/>
                <w:color w:val="FFFFFF" w:themeColor="background1"/>
                <w:sz w:val="22"/>
                <w:szCs w:val="22"/>
              </w:rPr>
              <w:t>Achieve  nationwide LHS</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F41897" w:rsidRPr="00186D1C" w:rsidRDefault="00F41897" w:rsidP="00F41897">
            <w:pPr>
              <w:rPr>
                <w:rFonts w:asciiTheme="majorHAnsi" w:hAnsiTheme="majorHAnsi"/>
                <w:sz w:val="22"/>
                <w:szCs w:val="22"/>
              </w:rPr>
            </w:pPr>
            <w:r w:rsidRPr="00186D1C">
              <w:rPr>
                <w:rFonts w:asciiTheme="majorHAnsi" w:hAnsiTheme="majorHAnsi"/>
                <w:sz w:val="22"/>
                <w:szCs w:val="22"/>
              </w:rPr>
              <w:t>3. Call to action: Providers should remain active in coordinated governance.</w:t>
            </w:r>
          </w:p>
          <w:p w:rsidR="00F41897" w:rsidRDefault="00F41897" w:rsidP="00F41897">
            <w:pPr>
              <w:rPr>
                <w:rFonts w:asciiTheme="majorHAnsi" w:hAnsiTheme="majorHAnsi"/>
                <w:b/>
                <w:sz w:val="22"/>
                <w:szCs w:val="22"/>
              </w:rPr>
            </w:pPr>
          </w:p>
          <w:p w:rsidR="00F41897" w:rsidRPr="00F41897" w:rsidRDefault="00F41897" w:rsidP="00F41897">
            <w:pPr>
              <w:rPr>
                <w:rFonts w:asciiTheme="majorHAnsi" w:hAnsiTheme="majorHAnsi"/>
                <w:b/>
                <w:sz w:val="22"/>
                <w:szCs w:val="22"/>
              </w:rPr>
            </w:pPr>
          </w:p>
        </w:tc>
      </w:tr>
      <w:tr w:rsidR="004E4AA5" w:rsidRPr="00687E91" w:rsidTr="005460EB">
        <w:trPr>
          <w:trHeight w:val="440"/>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E4AA5" w:rsidRDefault="004E4AA5" w:rsidP="00F41897">
            <w:pPr>
              <w:rPr>
                <w:rFonts w:asciiTheme="majorHAnsi" w:hAnsiTheme="majorHAnsi"/>
                <w:b/>
                <w:sz w:val="22"/>
                <w:szCs w:val="22"/>
              </w:rPr>
            </w:pPr>
            <w:r w:rsidRPr="004E4AA5">
              <w:rPr>
                <w:rFonts w:asciiTheme="majorHAnsi" w:hAnsiTheme="majorHAnsi"/>
                <w:b/>
                <w:sz w:val="22"/>
                <w:szCs w:val="22"/>
              </w:rPr>
              <w:t>D2. Providers embrace a Culture of Interoperability and work with vendors and other supporting entities to improve interoperability</w:t>
            </w:r>
          </w:p>
        </w:tc>
      </w:tr>
      <w:tr w:rsidR="004E4AA5" w:rsidRPr="00687E91" w:rsidTr="00DA3413">
        <w:trPr>
          <w:trHeight w:val="116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2015-2017</w:t>
            </w:r>
          </w:p>
          <w:p w:rsidR="004E4AA5" w:rsidRPr="00CC642B" w:rsidRDefault="004E4AA5" w:rsidP="004E4AA5">
            <w:pPr>
              <w:jc w:val="center"/>
              <w:rPr>
                <w:rFonts w:asciiTheme="majorHAnsi" w:hAnsiTheme="majorHAnsi"/>
                <w:b/>
                <w:sz w:val="22"/>
                <w:szCs w:val="22"/>
              </w:rPr>
            </w:pPr>
            <w:r w:rsidRPr="00DA3413">
              <w:rPr>
                <w:rFonts w:asciiTheme="majorHAnsi" w:hAnsiTheme="majorHAnsi"/>
                <w:b/>
                <w:color w:val="FFFFFF" w:themeColor="background1"/>
                <w:sz w:val="22"/>
                <w:szCs w:val="22"/>
              </w:rPr>
              <w:t xml:space="preserve">Send, receive, find and use a </w:t>
            </w:r>
            <w:r w:rsidRPr="00DA3413">
              <w:rPr>
                <w:rFonts w:asciiTheme="majorHAnsi" w:hAnsiTheme="majorHAnsi"/>
                <w:b/>
                <w:color w:val="FFFFFF" w:themeColor="background1"/>
                <w:sz w:val="22"/>
                <w:szCs w:val="22"/>
              </w:rPr>
              <w:lastRenderedPageBreak/>
              <w:t>common clinical data set</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AA5" w:rsidRPr="00186D1C" w:rsidRDefault="004E4AA5" w:rsidP="00F41897">
            <w:pPr>
              <w:rPr>
                <w:rFonts w:asciiTheme="majorHAnsi" w:hAnsiTheme="majorHAnsi"/>
                <w:sz w:val="22"/>
                <w:szCs w:val="22"/>
              </w:rPr>
            </w:pPr>
            <w:r w:rsidRPr="00186D1C">
              <w:rPr>
                <w:rFonts w:asciiTheme="majorHAnsi" w:hAnsiTheme="majorHAnsi"/>
                <w:sz w:val="22"/>
                <w:szCs w:val="22"/>
              </w:rPr>
              <w:lastRenderedPageBreak/>
              <w:t>1. Call to action: Providers should routinely expect electronic access to outside information in the provision of care and engage with other providers to send, receive, find and use health information for their patients.</w:t>
            </w:r>
          </w:p>
        </w:tc>
      </w:tr>
      <w:tr w:rsidR="004E4AA5" w:rsidRPr="00687E91" w:rsidTr="00DA3413">
        <w:trPr>
          <w:trHeight w:val="107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4E4AA5" w:rsidRDefault="004E4AA5" w:rsidP="004E4AA5">
            <w:pPr>
              <w:rPr>
                <w:rFonts w:asciiTheme="majorHAnsi" w:hAnsiTheme="majorHAnsi"/>
                <w:b/>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AA5" w:rsidRPr="00186D1C" w:rsidRDefault="004E4AA5" w:rsidP="00F41897">
            <w:pPr>
              <w:rPr>
                <w:rFonts w:asciiTheme="majorHAnsi" w:hAnsiTheme="majorHAnsi"/>
                <w:sz w:val="22"/>
                <w:szCs w:val="22"/>
              </w:rPr>
            </w:pPr>
            <w:r w:rsidRPr="00186D1C">
              <w:rPr>
                <w:rFonts w:asciiTheme="majorHAnsi" w:hAnsiTheme="majorHAnsi"/>
                <w:sz w:val="22"/>
                <w:szCs w:val="22"/>
              </w:rPr>
              <w:t>2. Call to action: Providers should recognize that valuable clinical information about their patients may reside with patients or caregivers themselves and that they may need to incorporate that information into their decision making.</w:t>
            </w:r>
          </w:p>
        </w:tc>
      </w:tr>
      <w:tr w:rsidR="004E4AA5" w:rsidRPr="00687E91" w:rsidTr="0008554C">
        <w:trPr>
          <w:trHeight w:val="179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4E4AA5" w:rsidRDefault="004E4AA5" w:rsidP="004E4AA5">
            <w:pPr>
              <w:rPr>
                <w:rFonts w:asciiTheme="majorHAnsi" w:hAnsiTheme="majorHAnsi"/>
                <w:b/>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AA5" w:rsidRPr="00186D1C" w:rsidRDefault="004E4AA5" w:rsidP="00F41897">
            <w:pPr>
              <w:rPr>
                <w:rFonts w:asciiTheme="majorHAnsi" w:hAnsiTheme="majorHAnsi"/>
                <w:sz w:val="22"/>
                <w:szCs w:val="22"/>
              </w:rPr>
            </w:pPr>
            <w:r w:rsidRPr="00186D1C">
              <w:rPr>
                <w:rFonts w:asciiTheme="majorHAnsi" w:hAnsiTheme="majorHAnsi"/>
                <w:sz w:val="22"/>
                <w:szCs w:val="22"/>
              </w:rPr>
              <w:t>3. Call to action: Providers and their organizations should embrace the use of enabling technologies such as publish/subscribe and query-based exchange with single sign-on to minimize workflow barriers to interoperability.</w:t>
            </w:r>
          </w:p>
        </w:tc>
      </w:tr>
      <w:tr w:rsidR="004E4AA5" w:rsidRPr="00687E91" w:rsidTr="00DA3413">
        <w:trPr>
          <w:trHeight w:val="134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4E4AA5" w:rsidRDefault="004E4AA5" w:rsidP="004E4AA5">
            <w:pPr>
              <w:rPr>
                <w:rFonts w:asciiTheme="majorHAnsi" w:hAnsiTheme="majorHAnsi"/>
                <w:b/>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AA5" w:rsidRPr="00186D1C" w:rsidRDefault="004E4AA5" w:rsidP="00F41897">
            <w:pPr>
              <w:rPr>
                <w:rFonts w:asciiTheme="majorHAnsi" w:hAnsiTheme="majorHAnsi"/>
                <w:sz w:val="22"/>
                <w:szCs w:val="22"/>
              </w:rPr>
            </w:pPr>
            <w:r w:rsidRPr="00186D1C">
              <w:rPr>
                <w:rFonts w:asciiTheme="majorHAnsi" w:hAnsiTheme="majorHAnsi"/>
                <w:sz w:val="22"/>
                <w:szCs w:val="22"/>
              </w:rPr>
              <w:t>4. Call to action: Providers and their organizations should ensure contracts and agreements that they sign and re-sign with technology developers include necessary requirements for interoperability, to ensure they can share and incorporate patient information.</w:t>
            </w:r>
          </w:p>
        </w:tc>
      </w:tr>
      <w:tr w:rsidR="004E4AA5" w:rsidRPr="00687E91" w:rsidTr="00DA3413">
        <w:trPr>
          <w:trHeight w:val="80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2018-2020</w:t>
            </w:r>
          </w:p>
          <w:p w:rsidR="004E4AA5" w:rsidRPr="00CC642B" w:rsidRDefault="004E4AA5" w:rsidP="004E4AA5">
            <w:pPr>
              <w:jc w:val="center"/>
              <w:rPr>
                <w:rFonts w:asciiTheme="majorHAnsi" w:hAnsiTheme="majorHAnsi"/>
                <w:b/>
                <w:sz w:val="22"/>
                <w:szCs w:val="22"/>
              </w:rPr>
            </w:pPr>
            <w:r w:rsidRPr="00DA3413">
              <w:rPr>
                <w:rFonts w:asciiTheme="majorHAnsi" w:hAnsiTheme="majorHAnsi"/>
                <w:b/>
                <w:color w:val="FFFFFF" w:themeColor="background1"/>
                <w:sz w:val="22"/>
                <w:szCs w:val="22"/>
              </w:rPr>
              <w:t>Expand interoperable health IT and users</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4E4AA5" w:rsidRPr="00CC642B" w:rsidRDefault="004E4AA5" w:rsidP="00F41897">
            <w:pPr>
              <w:rPr>
                <w:rFonts w:asciiTheme="majorHAnsi" w:hAnsiTheme="majorHAnsi"/>
                <w:sz w:val="22"/>
                <w:szCs w:val="22"/>
              </w:rPr>
            </w:pPr>
            <w:r w:rsidRPr="00CC642B">
              <w:rPr>
                <w:rFonts w:asciiTheme="majorHAnsi" w:hAnsiTheme="majorHAnsi"/>
                <w:sz w:val="22"/>
                <w:szCs w:val="22"/>
              </w:rPr>
              <w:t>5. Call to action: Providers should routinely access and use health information from other sources, including individuals, when making clinical decisions</w:t>
            </w:r>
          </w:p>
        </w:tc>
      </w:tr>
      <w:tr w:rsidR="004E4AA5" w:rsidRPr="00687E91" w:rsidTr="00DA3413">
        <w:trPr>
          <w:trHeight w:val="89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4E4AA5" w:rsidRDefault="004E4AA5" w:rsidP="004E4AA5">
            <w:pPr>
              <w:rPr>
                <w:rFonts w:asciiTheme="majorHAnsi" w:hAnsiTheme="majorHAnsi"/>
                <w:b/>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4E4AA5" w:rsidRPr="00CC642B" w:rsidRDefault="004E4AA5" w:rsidP="00F41897">
            <w:pPr>
              <w:rPr>
                <w:rFonts w:asciiTheme="majorHAnsi" w:hAnsiTheme="majorHAnsi"/>
                <w:sz w:val="22"/>
                <w:szCs w:val="22"/>
              </w:rPr>
            </w:pPr>
            <w:r w:rsidRPr="00CC642B">
              <w:rPr>
                <w:rFonts w:asciiTheme="majorHAnsi" w:hAnsiTheme="majorHAnsi"/>
                <w:sz w:val="22"/>
                <w:szCs w:val="22"/>
              </w:rPr>
              <w:t>6. Call to action: Providers should routinely populate key data when E-prescribing in support of unambiguous prescription for verification, counseling, monitoring and activities of comprehensive medication management.</w:t>
            </w:r>
          </w:p>
        </w:tc>
      </w:tr>
      <w:tr w:rsidR="004E4AA5" w:rsidRPr="00687E91" w:rsidTr="00DA3413">
        <w:trPr>
          <w:trHeight w:val="89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4E4AA5" w:rsidRDefault="004E4AA5" w:rsidP="004E4AA5">
            <w:pPr>
              <w:rPr>
                <w:rFonts w:asciiTheme="majorHAnsi" w:hAnsiTheme="majorHAnsi"/>
                <w:b/>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AA5" w:rsidRPr="00186D1C" w:rsidRDefault="004E4AA5" w:rsidP="00F41897">
            <w:pPr>
              <w:rPr>
                <w:rFonts w:asciiTheme="majorHAnsi" w:hAnsiTheme="majorHAnsi"/>
                <w:sz w:val="22"/>
                <w:szCs w:val="22"/>
              </w:rPr>
            </w:pPr>
            <w:r w:rsidRPr="00186D1C">
              <w:rPr>
                <w:rFonts w:asciiTheme="majorHAnsi" w:hAnsiTheme="majorHAnsi"/>
                <w:sz w:val="22"/>
                <w:szCs w:val="22"/>
              </w:rPr>
              <w:t>7. Call to action: Providers and their organizations should work with necessary parties to configure systems to alert providers to the presence of relevant information from other sources and make it conveniently available to the provider.</w:t>
            </w:r>
          </w:p>
        </w:tc>
      </w:tr>
      <w:tr w:rsidR="004E4AA5" w:rsidRPr="00687E91" w:rsidTr="00DA3413">
        <w:trPr>
          <w:trHeight w:val="89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4E4AA5" w:rsidRDefault="004E4AA5" w:rsidP="004E4AA5">
            <w:pPr>
              <w:rPr>
                <w:rFonts w:asciiTheme="majorHAnsi" w:hAnsiTheme="majorHAnsi"/>
                <w:b/>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AA5" w:rsidRPr="00186D1C" w:rsidRDefault="004E4AA5" w:rsidP="00F41897">
            <w:pPr>
              <w:rPr>
                <w:rFonts w:asciiTheme="majorHAnsi" w:hAnsiTheme="majorHAnsi"/>
                <w:sz w:val="22"/>
                <w:szCs w:val="22"/>
              </w:rPr>
            </w:pPr>
            <w:r w:rsidRPr="00186D1C">
              <w:rPr>
                <w:rFonts w:asciiTheme="majorHAnsi" w:hAnsiTheme="majorHAnsi"/>
                <w:sz w:val="22"/>
                <w:szCs w:val="22"/>
              </w:rPr>
              <w:t>8. Call to action: Providers and their organizations should work with necessary parties to configure systems so that the presentation of information to providers is configurable based on use case, provider specialty and other characteristics, to facilitate usability and patient safety.</w:t>
            </w:r>
          </w:p>
        </w:tc>
      </w:tr>
      <w:tr w:rsidR="004E4AA5" w:rsidRPr="00687E91" w:rsidTr="00DA3413">
        <w:trPr>
          <w:trHeight w:val="107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p>
          <w:p w:rsidR="004E4AA5" w:rsidRPr="00DA3413" w:rsidRDefault="004E4AA5" w:rsidP="004E4AA5">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2021-2024</w:t>
            </w:r>
          </w:p>
          <w:p w:rsidR="004E4AA5" w:rsidRPr="00DA3413" w:rsidRDefault="004E4AA5" w:rsidP="004E4AA5">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Achieve  nationwide LHS</w:t>
            </w: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AA5" w:rsidRPr="00186D1C" w:rsidRDefault="004E4AA5" w:rsidP="00F41897">
            <w:pPr>
              <w:rPr>
                <w:rFonts w:asciiTheme="majorHAnsi" w:hAnsiTheme="majorHAnsi"/>
                <w:sz w:val="22"/>
                <w:szCs w:val="22"/>
              </w:rPr>
            </w:pPr>
            <w:r w:rsidRPr="00186D1C">
              <w:rPr>
                <w:rFonts w:asciiTheme="majorHAnsi" w:hAnsiTheme="majorHAnsi"/>
                <w:sz w:val="22"/>
                <w:szCs w:val="22"/>
              </w:rPr>
              <w:lastRenderedPageBreak/>
              <w:t>9. Call to action: Providers should practice in a new way, with a new culture of electronic health information sharing, access and use for both clinicians and institutions is firmly established.</w:t>
            </w:r>
          </w:p>
        </w:tc>
      </w:tr>
      <w:tr w:rsidR="004E4AA5" w:rsidRPr="00687E91" w:rsidTr="00DA3413">
        <w:trPr>
          <w:trHeight w:val="80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4E4AA5" w:rsidRDefault="004E4AA5" w:rsidP="004E4AA5">
            <w:pPr>
              <w:rPr>
                <w:rFonts w:asciiTheme="majorHAnsi" w:hAnsiTheme="majorHAnsi"/>
                <w:b/>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AA5" w:rsidRPr="00186D1C" w:rsidRDefault="004E4AA5" w:rsidP="00F41897">
            <w:pPr>
              <w:rPr>
                <w:rFonts w:asciiTheme="majorHAnsi" w:hAnsiTheme="majorHAnsi"/>
                <w:sz w:val="22"/>
                <w:szCs w:val="22"/>
              </w:rPr>
            </w:pPr>
            <w:r w:rsidRPr="00186D1C">
              <w:rPr>
                <w:rFonts w:asciiTheme="majorHAnsi" w:hAnsiTheme="majorHAnsi"/>
                <w:sz w:val="22"/>
                <w:szCs w:val="22"/>
              </w:rPr>
              <w:t>10. Call to action: Providers should routinely use and have access to robust and clinically relevant decision support (e.g. for medication management).</w:t>
            </w:r>
          </w:p>
        </w:tc>
      </w:tr>
      <w:tr w:rsidR="004E4AA5" w:rsidRPr="00687E91" w:rsidTr="00DA3413">
        <w:trPr>
          <w:trHeight w:val="80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4E4AA5" w:rsidRDefault="004E4AA5" w:rsidP="004E4AA5">
            <w:pPr>
              <w:rPr>
                <w:rFonts w:asciiTheme="majorHAnsi" w:hAnsiTheme="majorHAnsi"/>
                <w:b/>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AA5" w:rsidRPr="00186D1C" w:rsidRDefault="004E4AA5" w:rsidP="00F41897">
            <w:pPr>
              <w:rPr>
                <w:rFonts w:asciiTheme="majorHAnsi" w:hAnsiTheme="majorHAnsi"/>
                <w:sz w:val="22"/>
                <w:szCs w:val="22"/>
              </w:rPr>
            </w:pPr>
            <w:r w:rsidRPr="00186D1C">
              <w:rPr>
                <w:rFonts w:asciiTheme="majorHAnsi" w:hAnsiTheme="majorHAnsi"/>
                <w:sz w:val="22"/>
                <w:szCs w:val="22"/>
              </w:rPr>
              <w:t>11. Call to action: Providers should regularly use and have access to the most relevant, integrated information, appropriate notifications.</w:t>
            </w:r>
          </w:p>
        </w:tc>
      </w:tr>
      <w:tr w:rsidR="004E4AA5" w:rsidRPr="00687E91" w:rsidTr="00DA3413">
        <w:trPr>
          <w:trHeight w:val="89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4E4AA5" w:rsidRDefault="004E4AA5" w:rsidP="004E4AA5">
            <w:pPr>
              <w:rPr>
                <w:rFonts w:asciiTheme="majorHAnsi" w:hAnsiTheme="majorHAnsi"/>
                <w:b/>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AA5" w:rsidRPr="00186D1C" w:rsidRDefault="004E4AA5" w:rsidP="00F41897">
            <w:pPr>
              <w:rPr>
                <w:rFonts w:asciiTheme="majorHAnsi" w:hAnsiTheme="majorHAnsi"/>
                <w:sz w:val="22"/>
                <w:szCs w:val="22"/>
              </w:rPr>
            </w:pPr>
            <w:r w:rsidRPr="00186D1C">
              <w:rPr>
                <w:rFonts w:asciiTheme="majorHAnsi" w:hAnsiTheme="majorHAnsi"/>
                <w:sz w:val="22"/>
                <w:szCs w:val="22"/>
              </w:rPr>
              <w:t>12. Call to action: Providers should receive and provide continuous feedback to support the improvement of decision-making, care processes and outcomes.</w:t>
            </w:r>
          </w:p>
        </w:tc>
      </w:tr>
      <w:tr w:rsidR="004E4AA5" w:rsidRPr="00687E91" w:rsidTr="00DA3413">
        <w:trPr>
          <w:trHeight w:val="7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E4AA5" w:rsidRPr="004E4AA5" w:rsidRDefault="004E4AA5" w:rsidP="004E4AA5">
            <w:pPr>
              <w:rPr>
                <w:rFonts w:asciiTheme="majorHAnsi" w:hAnsiTheme="majorHAnsi"/>
                <w:b/>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4E4AA5" w:rsidRPr="00CC642B" w:rsidRDefault="004E4AA5" w:rsidP="00F41897">
            <w:pPr>
              <w:rPr>
                <w:rFonts w:asciiTheme="majorHAnsi" w:hAnsiTheme="majorHAnsi"/>
                <w:sz w:val="22"/>
                <w:szCs w:val="22"/>
              </w:rPr>
            </w:pPr>
            <w:r w:rsidRPr="00CC642B">
              <w:rPr>
                <w:rFonts w:asciiTheme="majorHAnsi" w:hAnsiTheme="majorHAnsi"/>
                <w:sz w:val="22"/>
                <w:szCs w:val="22"/>
              </w:rPr>
              <w:t>13. Call to action: Providers should use new evidence-based guidelines and tools for care that are disseminated rapidly to providers through decision support and other timely and context-sensitive pathways.</w:t>
            </w:r>
          </w:p>
        </w:tc>
      </w:tr>
      <w:tr w:rsidR="00747467" w:rsidRPr="00687E91" w:rsidTr="005460EB">
        <w:trPr>
          <w:trHeight w:val="70"/>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7467" w:rsidRPr="004E4AA5" w:rsidRDefault="00747467" w:rsidP="00F41897">
            <w:pPr>
              <w:rPr>
                <w:rFonts w:asciiTheme="majorHAnsi" w:hAnsiTheme="majorHAnsi"/>
                <w:b/>
                <w:sz w:val="22"/>
                <w:szCs w:val="22"/>
              </w:rPr>
            </w:pPr>
            <w:r w:rsidRPr="00747467">
              <w:rPr>
                <w:rFonts w:asciiTheme="majorHAnsi" w:hAnsiTheme="majorHAnsi"/>
                <w:b/>
                <w:sz w:val="22"/>
                <w:szCs w:val="22"/>
              </w:rPr>
              <w:t>D3. Accurate Measurement</w:t>
            </w:r>
          </w:p>
        </w:tc>
      </w:tr>
      <w:tr w:rsidR="00747467" w:rsidRPr="00687E91" w:rsidTr="00DA3413">
        <w:trPr>
          <w:trHeight w:val="70"/>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47467" w:rsidRPr="00DA3413" w:rsidRDefault="00747467" w:rsidP="0074746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2015-2017</w:t>
            </w:r>
          </w:p>
          <w:p w:rsidR="00747467" w:rsidRPr="00DA3413" w:rsidRDefault="00747467" w:rsidP="0074746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Send, receive, find and use a</w:t>
            </w:r>
          </w:p>
          <w:p w:rsidR="00747467" w:rsidRPr="00DA3413" w:rsidRDefault="00747467" w:rsidP="0074746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common clinical data set</w:t>
            </w:r>
          </w:p>
        </w:tc>
        <w:tc>
          <w:tcPr>
            <w:tcW w:w="15210" w:type="dxa"/>
            <w:tcBorders>
              <w:left w:val="single" w:sz="4" w:space="0" w:color="auto"/>
              <w:bottom w:val="single" w:sz="4" w:space="0" w:color="auto"/>
              <w:right w:val="single" w:sz="4" w:space="0" w:color="auto"/>
            </w:tcBorders>
            <w:shd w:val="clear" w:color="auto" w:fill="auto"/>
          </w:tcPr>
          <w:p w:rsidR="00747467" w:rsidRPr="00CC642B" w:rsidRDefault="00747467" w:rsidP="00F41897">
            <w:pPr>
              <w:rPr>
                <w:rFonts w:asciiTheme="majorHAnsi" w:hAnsiTheme="majorHAnsi"/>
                <w:sz w:val="22"/>
                <w:szCs w:val="22"/>
              </w:rPr>
            </w:pPr>
            <w:r w:rsidRPr="00CC642B">
              <w:rPr>
                <w:rFonts w:asciiTheme="majorHAnsi" w:hAnsiTheme="majorHAnsi"/>
                <w:sz w:val="22"/>
                <w:szCs w:val="22"/>
              </w:rPr>
              <w:t>1. Call to action: Providers should leverage data beyond their internal systems for population health analytics and quality measurement (eCQMs) including supporting value-based payment models.</w:t>
            </w:r>
          </w:p>
          <w:p w:rsidR="00747467" w:rsidRPr="00747467" w:rsidRDefault="00747467" w:rsidP="00747467">
            <w:pPr>
              <w:rPr>
                <w:rFonts w:asciiTheme="majorHAnsi" w:hAnsiTheme="majorHAnsi"/>
                <w:sz w:val="22"/>
                <w:szCs w:val="22"/>
              </w:rPr>
            </w:pPr>
          </w:p>
          <w:p w:rsidR="00747467" w:rsidRDefault="00747467" w:rsidP="00747467">
            <w:pPr>
              <w:rPr>
                <w:rFonts w:asciiTheme="majorHAnsi" w:hAnsiTheme="majorHAnsi"/>
                <w:sz w:val="22"/>
                <w:szCs w:val="22"/>
              </w:rPr>
            </w:pPr>
          </w:p>
          <w:p w:rsidR="00747467" w:rsidRDefault="00747467" w:rsidP="00747467">
            <w:pPr>
              <w:rPr>
                <w:rFonts w:asciiTheme="majorHAnsi" w:hAnsiTheme="majorHAnsi"/>
                <w:sz w:val="22"/>
                <w:szCs w:val="22"/>
              </w:rPr>
            </w:pPr>
          </w:p>
          <w:p w:rsidR="00747467" w:rsidRPr="00747467" w:rsidRDefault="00747467" w:rsidP="00747467">
            <w:pPr>
              <w:tabs>
                <w:tab w:val="left" w:pos="1275"/>
              </w:tabs>
              <w:rPr>
                <w:rFonts w:asciiTheme="majorHAnsi" w:hAnsiTheme="majorHAnsi"/>
                <w:sz w:val="22"/>
                <w:szCs w:val="22"/>
              </w:rPr>
            </w:pPr>
            <w:r>
              <w:rPr>
                <w:rFonts w:asciiTheme="majorHAnsi" w:hAnsiTheme="majorHAnsi"/>
                <w:sz w:val="22"/>
                <w:szCs w:val="22"/>
              </w:rPr>
              <w:tab/>
            </w:r>
          </w:p>
        </w:tc>
      </w:tr>
      <w:tr w:rsidR="00747467" w:rsidRPr="00687E91" w:rsidTr="00DA3413">
        <w:trPr>
          <w:trHeight w:val="89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47467" w:rsidRPr="00DA3413" w:rsidRDefault="00747467" w:rsidP="00747467">
            <w:pPr>
              <w:jc w:val="center"/>
              <w:rPr>
                <w:rFonts w:asciiTheme="majorHAnsi" w:hAnsiTheme="majorHAnsi"/>
                <w:b/>
                <w:color w:val="FFFFFF" w:themeColor="background1"/>
                <w:sz w:val="22"/>
                <w:szCs w:val="22"/>
              </w:rPr>
            </w:pPr>
          </w:p>
          <w:p w:rsidR="00747467" w:rsidRPr="00DA3413" w:rsidRDefault="00747467" w:rsidP="00747467">
            <w:pPr>
              <w:jc w:val="center"/>
              <w:rPr>
                <w:rFonts w:asciiTheme="majorHAnsi" w:hAnsiTheme="majorHAnsi"/>
                <w:b/>
                <w:color w:val="FFFFFF" w:themeColor="background1"/>
                <w:sz w:val="22"/>
                <w:szCs w:val="22"/>
              </w:rPr>
            </w:pPr>
          </w:p>
          <w:p w:rsidR="00747467" w:rsidRPr="00DA3413" w:rsidRDefault="00747467" w:rsidP="0074746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2018-2020</w:t>
            </w:r>
          </w:p>
          <w:p w:rsidR="00747467" w:rsidRPr="00DA3413" w:rsidRDefault="00747467" w:rsidP="0074746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Expand interoperable health IT and users</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747467" w:rsidRPr="00CC642B" w:rsidRDefault="00747467" w:rsidP="00F41897">
            <w:pPr>
              <w:rPr>
                <w:rFonts w:asciiTheme="majorHAnsi" w:hAnsiTheme="majorHAnsi"/>
                <w:sz w:val="22"/>
                <w:szCs w:val="22"/>
              </w:rPr>
            </w:pPr>
            <w:r w:rsidRPr="00CC642B">
              <w:rPr>
                <w:rFonts w:asciiTheme="majorHAnsi" w:hAnsiTheme="majorHAnsi"/>
                <w:sz w:val="22"/>
                <w:szCs w:val="22"/>
              </w:rPr>
              <w:t>2. Call to action: Providers and other stakeholders should use standard metrics of interoperability to monitor and track improvement.</w:t>
            </w:r>
          </w:p>
        </w:tc>
      </w:tr>
      <w:tr w:rsidR="00747467" w:rsidRPr="00687E91" w:rsidTr="00DA3413">
        <w:trPr>
          <w:trHeight w:val="89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47467" w:rsidRPr="00DA3413" w:rsidRDefault="00747467" w:rsidP="00747467">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747467" w:rsidRPr="00CC642B" w:rsidRDefault="00747467" w:rsidP="00F41897">
            <w:pPr>
              <w:rPr>
                <w:rFonts w:asciiTheme="majorHAnsi" w:hAnsiTheme="majorHAnsi"/>
                <w:sz w:val="22"/>
                <w:szCs w:val="22"/>
              </w:rPr>
            </w:pPr>
            <w:r w:rsidRPr="00CC642B">
              <w:rPr>
                <w:rFonts w:asciiTheme="majorHAnsi" w:hAnsiTheme="majorHAnsi"/>
                <w:sz w:val="22"/>
                <w:szCs w:val="22"/>
              </w:rPr>
              <w:t>3. Call to action: Providers and other stakeholders should use standard metrics for interoperability and health outcomes to improve clinical care and processes.</w:t>
            </w:r>
          </w:p>
        </w:tc>
      </w:tr>
      <w:tr w:rsidR="00747467" w:rsidRPr="00687E91" w:rsidTr="00DA3413">
        <w:trPr>
          <w:trHeight w:val="98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47467" w:rsidRPr="00DA3413" w:rsidRDefault="00747467" w:rsidP="00747467">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747467" w:rsidRPr="00CC642B" w:rsidRDefault="00747467" w:rsidP="00F41897">
            <w:pPr>
              <w:rPr>
                <w:rFonts w:asciiTheme="majorHAnsi" w:hAnsiTheme="majorHAnsi"/>
                <w:sz w:val="22"/>
                <w:szCs w:val="22"/>
              </w:rPr>
            </w:pPr>
            <w:r w:rsidRPr="00CC642B">
              <w:rPr>
                <w:rFonts w:asciiTheme="majorHAnsi" w:hAnsiTheme="majorHAnsi"/>
                <w:sz w:val="22"/>
                <w:szCs w:val="22"/>
              </w:rPr>
              <w:t>4. Call to action: Providers should be able to report on measures based on the most representative data available about each patient.</w:t>
            </w:r>
          </w:p>
        </w:tc>
      </w:tr>
      <w:tr w:rsidR="00747467" w:rsidRPr="00687E91" w:rsidTr="00DA3413">
        <w:trPr>
          <w:trHeight w:val="107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5083E" w:rsidRPr="00DA3413" w:rsidRDefault="0025083E" w:rsidP="00747467">
            <w:pPr>
              <w:jc w:val="center"/>
              <w:rPr>
                <w:rFonts w:asciiTheme="majorHAnsi" w:hAnsiTheme="majorHAnsi"/>
                <w:b/>
                <w:color w:val="FFFFFF" w:themeColor="background1"/>
                <w:sz w:val="22"/>
                <w:szCs w:val="22"/>
              </w:rPr>
            </w:pPr>
          </w:p>
          <w:p w:rsidR="00747467" w:rsidRPr="00DA3413" w:rsidRDefault="00747467" w:rsidP="0074746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2021-2024</w:t>
            </w:r>
          </w:p>
          <w:p w:rsidR="00747467" w:rsidRPr="00DA3413" w:rsidRDefault="00747467" w:rsidP="00747467">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Achieve  nationwide LHS</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747467" w:rsidRPr="00CC642B" w:rsidRDefault="00747467" w:rsidP="00F41897">
            <w:pPr>
              <w:rPr>
                <w:rFonts w:asciiTheme="majorHAnsi" w:hAnsiTheme="majorHAnsi"/>
                <w:sz w:val="22"/>
                <w:szCs w:val="22"/>
              </w:rPr>
            </w:pPr>
            <w:r w:rsidRPr="00CC642B">
              <w:rPr>
                <w:rFonts w:asciiTheme="majorHAnsi" w:hAnsiTheme="majorHAnsi"/>
                <w:sz w:val="22"/>
                <w:szCs w:val="22"/>
              </w:rPr>
              <w:t>5. Call to action: Public and private stakeholders should objectively measure and value interoperability and information sharing as an indicator of care coordination, quality and efficiency.</w:t>
            </w:r>
          </w:p>
        </w:tc>
      </w:tr>
      <w:tr w:rsidR="00747467" w:rsidRPr="00687E91" w:rsidTr="00DA3413">
        <w:trPr>
          <w:trHeight w:val="107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47467" w:rsidRPr="00747467" w:rsidRDefault="00747467" w:rsidP="00747467">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95632E" w:rsidRPr="00CC642B" w:rsidRDefault="00747467" w:rsidP="00F41897">
            <w:pPr>
              <w:rPr>
                <w:rFonts w:asciiTheme="majorHAnsi" w:hAnsiTheme="majorHAnsi"/>
                <w:sz w:val="22"/>
                <w:szCs w:val="22"/>
              </w:rPr>
            </w:pPr>
            <w:r w:rsidRPr="00CC642B">
              <w:rPr>
                <w:rFonts w:asciiTheme="majorHAnsi" w:hAnsiTheme="majorHAnsi"/>
                <w:sz w:val="22"/>
                <w:szCs w:val="22"/>
              </w:rPr>
              <w:t>6. Call to action: Providers should be able to report on measures based on more complete and consistent representative data about each patient.</w:t>
            </w:r>
          </w:p>
        </w:tc>
      </w:tr>
      <w:tr w:rsidR="0095632E" w:rsidRPr="00687E91" w:rsidTr="005460EB">
        <w:trPr>
          <w:trHeight w:val="440"/>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32E" w:rsidRPr="0095632E" w:rsidRDefault="0095632E" w:rsidP="0095632E">
            <w:pPr>
              <w:rPr>
                <w:rFonts w:asciiTheme="majorHAnsi" w:hAnsiTheme="majorHAnsi"/>
                <w:b/>
                <w:sz w:val="22"/>
                <w:szCs w:val="22"/>
              </w:rPr>
            </w:pPr>
            <w:r w:rsidRPr="0095632E">
              <w:rPr>
                <w:rFonts w:asciiTheme="majorHAnsi" w:hAnsiTheme="majorHAnsi"/>
                <w:b/>
                <w:sz w:val="22"/>
                <w:szCs w:val="22"/>
              </w:rPr>
              <w:t>D4. Interoperability of processes and workflows</w:t>
            </w:r>
          </w:p>
        </w:tc>
      </w:tr>
      <w:tr w:rsidR="0025083E" w:rsidRPr="00687E91" w:rsidTr="00DA3413">
        <w:trPr>
          <w:trHeight w:val="3320"/>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577A8" w:rsidRPr="00DA3413" w:rsidRDefault="007577A8" w:rsidP="0025083E">
            <w:pPr>
              <w:jc w:val="center"/>
              <w:rPr>
                <w:rFonts w:asciiTheme="majorHAnsi" w:hAnsiTheme="majorHAnsi"/>
                <w:b/>
                <w:color w:val="FFFFFF" w:themeColor="background1"/>
                <w:sz w:val="22"/>
                <w:szCs w:val="22"/>
              </w:rPr>
            </w:pPr>
          </w:p>
          <w:p w:rsidR="007577A8" w:rsidRPr="00DA3413" w:rsidRDefault="007577A8" w:rsidP="0025083E">
            <w:pPr>
              <w:jc w:val="center"/>
              <w:rPr>
                <w:rFonts w:asciiTheme="majorHAnsi" w:hAnsiTheme="majorHAnsi"/>
                <w:b/>
                <w:color w:val="FFFFFF" w:themeColor="background1"/>
                <w:sz w:val="22"/>
                <w:szCs w:val="22"/>
              </w:rPr>
            </w:pPr>
          </w:p>
          <w:p w:rsidR="007577A8" w:rsidRPr="00DA3413" w:rsidRDefault="007577A8" w:rsidP="0025083E">
            <w:pPr>
              <w:jc w:val="center"/>
              <w:rPr>
                <w:rFonts w:asciiTheme="majorHAnsi" w:hAnsiTheme="majorHAnsi"/>
                <w:b/>
                <w:color w:val="FFFFFF" w:themeColor="background1"/>
                <w:sz w:val="22"/>
                <w:szCs w:val="22"/>
              </w:rPr>
            </w:pPr>
          </w:p>
          <w:p w:rsidR="0025083E" w:rsidRPr="00DA3413" w:rsidRDefault="0025083E" w:rsidP="0025083E">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2015-2017</w:t>
            </w:r>
          </w:p>
          <w:p w:rsidR="0025083E" w:rsidRPr="00DA3413" w:rsidRDefault="0025083E" w:rsidP="0025083E">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 xml:space="preserve">Send, receive, find and use a </w:t>
            </w:r>
          </w:p>
          <w:p w:rsidR="0025083E" w:rsidRPr="00DA3413" w:rsidRDefault="0025083E" w:rsidP="0025083E">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common clinical data set</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25083E" w:rsidRPr="00F07B6F" w:rsidRDefault="0025083E" w:rsidP="0025083E">
            <w:pPr>
              <w:pStyle w:val="ListParagraph"/>
              <w:numPr>
                <w:ilvl w:val="0"/>
                <w:numId w:val="22"/>
              </w:numPr>
              <w:rPr>
                <w:rFonts w:asciiTheme="majorHAnsi" w:hAnsiTheme="majorHAnsi"/>
                <w:sz w:val="22"/>
                <w:szCs w:val="22"/>
              </w:rPr>
            </w:pPr>
            <w:r w:rsidRPr="00F07B6F">
              <w:rPr>
                <w:rFonts w:asciiTheme="majorHAnsi" w:hAnsiTheme="majorHAnsi"/>
                <w:sz w:val="22"/>
                <w:szCs w:val="22"/>
              </w:rPr>
              <w:t>Call to action: Providers should routinely leverage standards-based health IT to support prioritized workflows including:</w:t>
            </w:r>
          </w:p>
          <w:p w:rsidR="0025083E" w:rsidRPr="00F07B6F" w:rsidRDefault="0025083E" w:rsidP="0025083E">
            <w:pPr>
              <w:pStyle w:val="ListParagraph"/>
              <w:numPr>
                <w:ilvl w:val="0"/>
                <w:numId w:val="23"/>
              </w:numPr>
              <w:rPr>
                <w:rFonts w:asciiTheme="majorHAnsi" w:hAnsiTheme="majorHAnsi"/>
                <w:sz w:val="22"/>
                <w:szCs w:val="22"/>
              </w:rPr>
            </w:pPr>
            <w:r w:rsidRPr="00F07B6F">
              <w:rPr>
                <w:rFonts w:asciiTheme="majorHAnsi" w:hAnsiTheme="majorHAnsi"/>
                <w:sz w:val="22"/>
                <w:szCs w:val="22"/>
              </w:rPr>
              <w:t>Closed loop transitions of care</w:t>
            </w:r>
          </w:p>
          <w:p w:rsidR="0025083E" w:rsidRPr="00F07B6F" w:rsidRDefault="0025083E" w:rsidP="0025083E">
            <w:pPr>
              <w:pStyle w:val="ListParagraph"/>
              <w:numPr>
                <w:ilvl w:val="0"/>
                <w:numId w:val="23"/>
              </w:numPr>
              <w:rPr>
                <w:rFonts w:asciiTheme="majorHAnsi" w:hAnsiTheme="majorHAnsi"/>
                <w:sz w:val="22"/>
                <w:szCs w:val="22"/>
              </w:rPr>
            </w:pPr>
            <w:r w:rsidRPr="00F07B6F">
              <w:rPr>
                <w:rFonts w:asciiTheme="majorHAnsi" w:hAnsiTheme="majorHAnsi"/>
                <w:sz w:val="22"/>
                <w:szCs w:val="22"/>
              </w:rPr>
              <w:t>Secure clinical communications</w:t>
            </w:r>
          </w:p>
          <w:p w:rsidR="0025083E" w:rsidRPr="00F07B6F" w:rsidRDefault="0025083E" w:rsidP="0025083E">
            <w:pPr>
              <w:pStyle w:val="ListParagraph"/>
              <w:numPr>
                <w:ilvl w:val="0"/>
                <w:numId w:val="23"/>
              </w:numPr>
              <w:rPr>
                <w:rFonts w:asciiTheme="majorHAnsi" w:hAnsiTheme="majorHAnsi"/>
                <w:sz w:val="22"/>
                <w:szCs w:val="22"/>
              </w:rPr>
            </w:pPr>
            <w:r w:rsidRPr="00F07B6F">
              <w:rPr>
                <w:rFonts w:asciiTheme="majorHAnsi" w:hAnsiTheme="majorHAnsi"/>
                <w:sz w:val="22"/>
                <w:szCs w:val="22"/>
              </w:rPr>
              <w:t>Prior authorizations, medication co-pays and imaging appropriateness</w:t>
            </w:r>
          </w:p>
          <w:p w:rsidR="0025083E" w:rsidRPr="00F07B6F" w:rsidRDefault="0025083E" w:rsidP="0025083E">
            <w:pPr>
              <w:pStyle w:val="ListParagraph"/>
              <w:numPr>
                <w:ilvl w:val="0"/>
                <w:numId w:val="23"/>
              </w:numPr>
              <w:rPr>
                <w:rFonts w:asciiTheme="majorHAnsi" w:hAnsiTheme="majorHAnsi"/>
                <w:sz w:val="22"/>
                <w:szCs w:val="22"/>
              </w:rPr>
            </w:pPr>
            <w:r w:rsidRPr="00F07B6F">
              <w:rPr>
                <w:rFonts w:asciiTheme="majorHAnsi" w:hAnsiTheme="majorHAnsi"/>
                <w:sz w:val="22"/>
                <w:szCs w:val="22"/>
              </w:rPr>
              <w:t>CPOE for services and diagnostic testing</w:t>
            </w:r>
          </w:p>
          <w:p w:rsidR="0025083E" w:rsidRPr="0025083E" w:rsidRDefault="0025083E" w:rsidP="0025083E">
            <w:pPr>
              <w:pStyle w:val="ListParagraph"/>
              <w:numPr>
                <w:ilvl w:val="0"/>
                <w:numId w:val="23"/>
              </w:numPr>
              <w:rPr>
                <w:rFonts w:asciiTheme="majorHAnsi" w:hAnsiTheme="majorHAnsi"/>
                <w:b/>
                <w:sz w:val="22"/>
                <w:szCs w:val="22"/>
              </w:rPr>
            </w:pPr>
            <w:r w:rsidRPr="00F07B6F">
              <w:rPr>
                <w:rFonts w:asciiTheme="majorHAnsi" w:hAnsiTheme="majorHAnsi"/>
                <w:sz w:val="22"/>
                <w:szCs w:val="22"/>
              </w:rPr>
              <w:t>e-prescribing of controlled substances with concurrent availability of PDMP data</w:t>
            </w:r>
          </w:p>
        </w:tc>
      </w:tr>
      <w:tr w:rsidR="0095632E" w:rsidRPr="00687E91" w:rsidTr="00F07B6F">
        <w:trPr>
          <w:trHeight w:val="4400"/>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577A8" w:rsidRPr="00DA3413" w:rsidRDefault="007577A8" w:rsidP="007577A8">
            <w:pPr>
              <w:jc w:val="center"/>
              <w:rPr>
                <w:rFonts w:asciiTheme="majorHAnsi" w:hAnsiTheme="majorHAnsi"/>
                <w:b/>
                <w:color w:val="FFFFFF" w:themeColor="background1"/>
                <w:sz w:val="22"/>
                <w:szCs w:val="22"/>
              </w:rPr>
            </w:pPr>
          </w:p>
          <w:p w:rsidR="007577A8" w:rsidRPr="00DA3413" w:rsidRDefault="007577A8" w:rsidP="007577A8">
            <w:pPr>
              <w:jc w:val="center"/>
              <w:rPr>
                <w:rFonts w:asciiTheme="majorHAnsi" w:hAnsiTheme="majorHAnsi"/>
                <w:b/>
                <w:color w:val="FFFFFF" w:themeColor="background1"/>
                <w:sz w:val="22"/>
                <w:szCs w:val="22"/>
              </w:rPr>
            </w:pPr>
          </w:p>
          <w:p w:rsidR="007577A8" w:rsidRPr="00DA3413" w:rsidRDefault="007577A8" w:rsidP="007577A8">
            <w:pPr>
              <w:jc w:val="center"/>
              <w:rPr>
                <w:rFonts w:asciiTheme="majorHAnsi" w:hAnsiTheme="majorHAnsi"/>
                <w:b/>
                <w:color w:val="FFFFFF" w:themeColor="background1"/>
                <w:sz w:val="22"/>
                <w:szCs w:val="22"/>
              </w:rPr>
            </w:pPr>
          </w:p>
          <w:p w:rsidR="007577A8" w:rsidRPr="00DA3413" w:rsidRDefault="007577A8" w:rsidP="007577A8">
            <w:pPr>
              <w:jc w:val="center"/>
              <w:rPr>
                <w:rFonts w:asciiTheme="majorHAnsi" w:hAnsiTheme="majorHAnsi"/>
                <w:b/>
                <w:color w:val="FFFFFF" w:themeColor="background1"/>
                <w:sz w:val="22"/>
                <w:szCs w:val="22"/>
              </w:rPr>
            </w:pPr>
          </w:p>
          <w:p w:rsidR="007577A8" w:rsidRPr="00DA3413" w:rsidRDefault="007577A8" w:rsidP="007577A8">
            <w:pPr>
              <w:jc w:val="center"/>
              <w:rPr>
                <w:rFonts w:asciiTheme="majorHAnsi" w:hAnsiTheme="majorHAnsi"/>
                <w:b/>
                <w:color w:val="FFFFFF" w:themeColor="background1"/>
                <w:sz w:val="22"/>
                <w:szCs w:val="22"/>
              </w:rPr>
            </w:pPr>
          </w:p>
          <w:p w:rsidR="007577A8" w:rsidRPr="00DA3413" w:rsidRDefault="007577A8" w:rsidP="007577A8">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2021-2024</w:t>
            </w:r>
          </w:p>
          <w:p w:rsidR="0095632E" w:rsidRPr="00DA3413" w:rsidRDefault="007577A8" w:rsidP="007577A8">
            <w:pPr>
              <w:jc w:val="center"/>
              <w:rPr>
                <w:rFonts w:asciiTheme="majorHAnsi" w:hAnsiTheme="majorHAnsi"/>
                <w:b/>
                <w:color w:val="FFFFFF" w:themeColor="background1"/>
                <w:sz w:val="22"/>
                <w:szCs w:val="22"/>
              </w:rPr>
            </w:pPr>
            <w:r w:rsidRPr="00DA3413">
              <w:rPr>
                <w:rFonts w:asciiTheme="majorHAnsi" w:hAnsiTheme="majorHAnsi"/>
                <w:b/>
                <w:color w:val="FFFFFF" w:themeColor="background1"/>
                <w:sz w:val="22"/>
                <w:szCs w:val="22"/>
              </w:rPr>
              <w:t>Achieve  nationwide LHS</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95632E" w:rsidRPr="00F07B6F" w:rsidRDefault="0095632E" w:rsidP="0095632E">
            <w:pPr>
              <w:pStyle w:val="ListParagraph"/>
              <w:numPr>
                <w:ilvl w:val="0"/>
                <w:numId w:val="22"/>
              </w:numPr>
              <w:rPr>
                <w:rFonts w:asciiTheme="majorHAnsi" w:hAnsiTheme="majorHAnsi"/>
                <w:sz w:val="22"/>
                <w:szCs w:val="22"/>
              </w:rPr>
            </w:pPr>
            <w:r w:rsidRPr="00F07B6F">
              <w:rPr>
                <w:rFonts w:asciiTheme="majorHAnsi" w:hAnsiTheme="majorHAnsi"/>
                <w:sz w:val="22"/>
                <w:szCs w:val="22"/>
              </w:rPr>
              <w:t>Call to action: Providers should engage with an expanded set of interoperable workflows, including:</w:t>
            </w:r>
          </w:p>
          <w:p w:rsidR="0095632E" w:rsidRPr="00F07B6F" w:rsidRDefault="0095632E" w:rsidP="0095632E">
            <w:pPr>
              <w:pStyle w:val="ListParagraph"/>
              <w:numPr>
                <w:ilvl w:val="0"/>
                <w:numId w:val="24"/>
              </w:numPr>
              <w:rPr>
                <w:rFonts w:asciiTheme="majorHAnsi" w:hAnsiTheme="majorHAnsi"/>
                <w:sz w:val="22"/>
                <w:szCs w:val="22"/>
              </w:rPr>
            </w:pPr>
            <w:r w:rsidRPr="00F07B6F">
              <w:rPr>
                <w:rFonts w:asciiTheme="majorHAnsi" w:hAnsiTheme="majorHAnsi"/>
                <w:sz w:val="22"/>
                <w:szCs w:val="22"/>
              </w:rPr>
              <w:t>Plug-and-play clinical decision support services</w:t>
            </w:r>
          </w:p>
          <w:p w:rsidR="0095632E" w:rsidRPr="00F07B6F" w:rsidRDefault="0095632E" w:rsidP="0095632E">
            <w:pPr>
              <w:pStyle w:val="ListParagraph"/>
              <w:numPr>
                <w:ilvl w:val="0"/>
                <w:numId w:val="24"/>
              </w:numPr>
              <w:rPr>
                <w:rFonts w:asciiTheme="majorHAnsi" w:hAnsiTheme="majorHAnsi"/>
                <w:sz w:val="22"/>
                <w:szCs w:val="22"/>
              </w:rPr>
            </w:pPr>
            <w:r w:rsidRPr="00F07B6F">
              <w:rPr>
                <w:rFonts w:asciiTheme="majorHAnsi" w:hAnsiTheme="majorHAnsi"/>
                <w:sz w:val="22"/>
                <w:szCs w:val="22"/>
              </w:rPr>
              <w:t>Electronic consultations</w:t>
            </w:r>
          </w:p>
          <w:p w:rsidR="0095632E" w:rsidRPr="00F07B6F" w:rsidRDefault="0095632E" w:rsidP="0095632E">
            <w:pPr>
              <w:pStyle w:val="ListParagraph"/>
              <w:numPr>
                <w:ilvl w:val="0"/>
                <w:numId w:val="24"/>
              </w:numPr>
              <w:rPr>
                <w:rFonts w:asciiTheme="majorHAnsi" w:hAnsiTheme="majorHAnsi"/>
                <w:sz w:val="22"/>
                <w:szCs w:val="22"/>
              </w:rPr>
            </w:pPr>
            <w:r w:rsidRPr="00F07B6F">
              <w:rPr>
                <w:rFonts w:asciiTheme="majorHAnsi" w:hAnsiTheme="majorHAnsi"/>
                <w:sz w:val="22"/>
                <w:szCs w:val="22"/>
              </w:rPr>
              <w:t>Reporting to specialty society registries</w:t>
            </w:r>
          </w:p>
          <w:p w:rsidR="0095632E" w:rsidRPr="00F07B6F" w:rsidRDefault="0095632E" w:rsidP="0095632E">
            <w:pPr>
              <w:pStyle w:val="ListParagraph"/>
              <w:numPr>
                <w:ilvl w:val="0"/>
                <w:numId w:val="24"/>
              </w:numPr>
              <w:rPr>
                <w:rFonts w:asciiTheme="majorHAnsi" w:hAnsiTheme="majorHAnsi"/>
                <w:sz w:val="22"/>
                <w:szCs w:val="22"/>
              </w:rPr>
            </w:pPr>
            <w:r w:rsidRPr="00F07B6F">
              <w:rPr>
                <w:rFonts w:asciiTheme="majorHAnsi" w:hAnsiTheme="majorHAnsi"/>
                <w:sz w:val="22"/>
                <w:szCs w:val="22"/>
              </w:rPr>
              <w:t>Reporting to value-based payment programs</w:t>
            </w:r>
          </w:p>
          <w:p w:rsidR="0095632E" w:rsidRPr="00F07B6F" w:rsidRDefault="0095632E" w:rsidP="0095632E">
            <w:pPr>
              <w:pStyle w:val="ListParagraph"/>
              <w:numPr>
                <w:ilvl w:val="0"/>
                <w:numId w:val="24"/>
              </w:numPr>
              <w:rPr>
                <w:rFonts w:asciiTheme="majorHAnsi" w:hAnsiTheme="majorHAnsi"/>
                <w:sz w:val="22"/>
                <w:szCs w:val="22"/>
              </w:rPr>
            </w:pPr>
            <w:r w:rsidRPr="00F07B6F">
              <w:rPr>
                <w:rFonts w:asciiTheme="majorHAnsi" w:hAnsiTheme="majorHAnsi"/>
                <w:sz w:val="22"/>
                <w:szCs w:val="22"/>
              </w:rPr>
              <w:t>e-prescribing supported by complete medication fill history</w:t>
            </w:r>
          </w:p>
          <w:p w:rsidR="0095632E" w:rsidRPr="00F07B6F" w:rsidRDefault="0095632E" w:rsidP="0095632E">
            <w:pPr>
              <w:pStyle w:val="ListParagraph"/>
              <w:numPr>
                <w:ilvl w:val="0"/>
                <w:numId w:val="24"/>
              </w:numPr>
              <w:rPr>
                <w:rFonts w:asciiTheme="majorHAnsi" w:hAnsiTheme="majorHAnsi"/>
                <w:sz w:val="22"/>
                <w:szCs w:val="22"/>
              </w:rPr>
            </w:pPr>
            <w:r w:rsidRPr="00F07B6F">
              <w:rPr>
                <w:rFonts w:asciiTheme="majorHAnsi" w:hAnsiTheme="majorHAnsi"/>
                <w:sz w:val="22"/>
                <w:szCs w:val="22"/>
              </w:rPr>
              <w:t>Discovery and incorporation of information from patient-owned devices with tools for reconciliation and validation</w:t>
            </w:r>
          </w:p>
          <w:p w:rsidR="0095632E" w:rsidRPr="00F07B6F" w:rsidRDefault="0095632E" w:rsidP="0095632E">
            <w:pPr>
              <w:pStyle w:val="ListParagraph"/>
              <w:numPr>
                <w:ilvl w:val="0"/>
                <w:numId w:val="24"/>
              </w:numPr>
              <w:rPr>
                <w:rFonts w:asciiTheme="majorHAnsi" w:hAnsiTheme="majorHAnsi"/>
                <w:sz w:val="22"/>
                <w:szCs w:val="22"/>
              </w:rPr>
            </w:pPr>
            <w:r w:rsidRPr="00F07B6F">
              <w:rPr>
                <w:rFonts w:asciiTheme="majorHAnsi" w:hAnsiTheme="majorHAnsi"/>
                <w:sz w:val="22"/>
                <w:szCs w:val="22"/>
              </w:rPr>
              <w:t>Recommendation of patients to relevant studies and trials</w:t>
            </w:r>
          </w:p>
          <w:p w:rsidR="0095632E" w:rsidRPr="00F07B6F" w:rsidRDefault="0095632E" w:rsidP="0095632E">
            <w:pPr>
              <w:pStyle w:val="ListParagraph"/>
              <w:numPr>
                <w:ilvl w:val="0"/>
                <w:numId w:val="24"/>
              </w:numPr>
              <w:rPr>
                <w:rFonts w:asciiTheme="majorHAnsi" w:hAnsiTheme="majorHAnsi"/>
                <w:sz w:val="22"/>
                <w:szCs w:val="22"/>
              </w:rPr>
            </w:pPr>
            <w:r w:rsidRPr="00F07B6F">
              <w:rPr>
                <w:rFonts w:asciiTheme="majorHAnsi" w:hAnsiTheme="majorHAnsi"/>
                <w:sz w:val="22"/>
                <w:szCs w:val="22"/>
              </w:rPr>
              <w:t>Exchange of information to support comprehensive medication management and MTM services</w:t>
            </w:r>
          </w:p>
          <w:p w:rsidR="0095632E" w:rsidRPr="0025083E" w:rsidRDefault="0095632E" w:rsidP="0095632E">
            <w:pPr>
              <w:pStyle w:val="ListParagraph"/>
              <w:rPr>
                <w:rFonts w:asciiTheme="majorHAnsi" w:hAnsiTheme="majorHAnsi"/>
                <w:b/>
                <w:sz w:val="22"/>
                <w:szCs w:val="22"/>
              </w:rPr>
            </w:pPr>
          </w:p>
        </w:tc>
      </w:tr>
      <w:tr w:rsidR="0095632E" w:rsidRPr="00687E91" w:rsidTr="005460EB">
        <w:trPr>
          <w:trHeight w:val="1880"/>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95632E" w:rsidRPr="005460EB" w:rsidRDefault="0095632E" w:rsidP="0095632E">
            <w:pPr>
              <w:rPr>
                <w:rFonts w:asciiTheme="majorHAnsi" w:hAnsiTheme="majorHAnsi"/>
                <w:b/>
                <w:color w:val="FFFFFF" w:themeColor="background1"/>
                <w:sz w:val="22"/>
                <w:szCs w:val="22"/>
              </w:rPr>
            </w:pPr>
          </w:p>
          <w:p w:rsidR="0095632E" w:rsidRPr="005460EB" w:rsidRDefault="0095632E" w:rsidP="0095632E">
            <w:pPr>
              <w:rPr>
                <w:rFonts w:asciiTheme="majorHAnsi" w:hAnsiTheme="majorHAnsi"/>
                <w:b/>
                <w:color w:val="FFFFFF" w:themeColor="background1"/>
                <w:sz w:val="22"/>
                <w:szCs w:val="22"/>
              </w:rPr>
            </w:pPr>
          </w:p>
          <w:p w:rsidR="0095632E" w:rsidRPr="005460EB" w:rsidRDefault="0095632E" w:rsidP="009563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2021-2024</w:t>
            </w:r>
          </w:p>
          <w:p w:rsidR="0095632E" w:rsidRPr="005460EB" w:rsidRDefault="0095632E" w:rsidP="009563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Achieve  nationwide LHS</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95632E" w:rsidRPr="001347D1" w:rsidRDefault="0095632E" w:rsidP="001347D1">
            <w:pPr>
              <w:pStyle w:val="ListParagraph"/>
              <w:numPr>
                <w:ilvl w:val="0"/>
                <w:numId w:val="22"/>
              </w:numPr>
              <w:rPr>
                <w:rFonts w:asciiTheme="majorHAnsi" w:hAnsiTheme="majorHAnsi"/>
                <w:sz w:val="22"/>
                <w:szCs w:val="22"/>
              </w:rPr>
            </w:pPr>
            <w:r w:rsidRPr="001347D1">
              <w:rPr>
                <w:rFonts w:asciiTheme="majorHAnsi" w:hAnsiTheme="majorHAnsi"/>
                <w:sz w:val="22"/>
                <w:szCs w:val="22"/>
              </w:rPr>
              <w:t>Call to action: Providers should leverage a robust library of interoperable workflows to support care processes across the continuum of care, including tools for integration, reconciliation and validation of external information.</w:t>
            </w: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Pr="00CC642B" w:rsidRDefault="00F07B6F" w:rsidP="0095632E">
            <w:pPr>
              <w:rPr>
                <w:rFonts w:asciiTheme="majorHAnsi" w:hAnsiTheme="majorHAnsi"/>
                <w:sz w:val="22"/>
                <w:szCs w:val="22"/>
              </w:rPr>
            </w:pPr>
          </w:p>
        </w:tc>
      </w:tr>
      <w:tr w:rsidR="0095632E" w:rsidRPr="00687E91" w:rsidTr="005460EB">
        <w:trPr>
          <w:trHeight w:val="440"/>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632E" w:rsidRDefault="0095632E" w:rsidP="0095632E">
            <w:pPr>
              <w:rPr>
                <w:rFonts w:asciiTheme="majorHAnsi" w:hAnsiTheme="majorHAnsi"/>
                <w:b/>
                <w:sz w:val="22"/>
                <w:szCs w:val="22"/>
              </w:rPr>
            </w:pPr>
            <w:r w:rsidRPr="0095632E">
              <w:rPr>
                <w:rFonts w:asciiTheme="majorHAnsi" w:hAnsiTheme="majorHAnsi"/>
                <w:b/>
                <w:sz w:val="22"/>
                <w:szCs w:val="22"/>
              </w:rPr>
              <w:lastRenderedPageBreak/>
              <w:t>D5. Training and maintenance of certification for providers</w:t>
            </w:r>
          </w:p>
        </w:tc>
      </w:tr>
      <w:tr w:rsidR="0095632E" w:rsidRPr="00687E91" w:rsidTr="005460EB">
        <w:trPr>
          <w:trHeight w:val="116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C0085" w:rsidRPr="005460EB" w:rsidRDefault="00AC0085" w:rsidP="0095632E">
            <w:pPr>
              <w:jc w:val="center"/>
              <w:rPr>
                <w:rFonts w:asciiTheme="majorHAnsi" w:hAnsiTheme="majorHAnsi"/>
                <w:b/>
                <w:color w:val="FFFFFF" w:themeColor="background1"/>
                <w:sz w:val="22"/>
                <w:szCs w:val="22"/>
              </w:rPr>
            </w:pPr>
          </w:p>
          <w:p w:rsidR="00AC0085" w:rsidRPr="005460EB" w:rsidRDefault="00AC0085" w:rsidP="0095632E">
            <w:pPr>
              <w:jc w:val="center"/>
              <w:rPr>
                <w:rFonts w:asciiTheme="majorHAnsi" w:hAnsiTheme="majorHAnsi"/>
                <w:b/>
                <w:color w:val="FFFFFF" w:themeColor="background1"/>
                <w:sz w:val="22"/>
                <w:szCs w:val="22"/>
              </w:rPr>
            </w:pPr>
          </w:p>
          <w:p w:rsidR="0095632E" w:rsidRPr="005460EB" w:rsidRDefault="0095632E" w:rsidP="009563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2015-2017</w:t>
            </w:r>
          </w:p>
          <w:p w:rsidR="0095632E" w:rsidRPr="005460EB" w:rsidRDefault="0095632E" w:rsidP="009563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Send, receive, find and use a</w:t>
            </w:r>
          </w:p>
          <w:p w:rsidR="0095632E" w:rsidRPr="005460EB" w:rsidRDefault="0095632E" w:rsidP="009563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common clinical data set</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95632E" w:rsidRPr="00CC642B" w:rsidRDefault="0095632E" w:rsidP="0095632E">
            <w:pPr>
              <w:rPr>
                <w:rFonts w:asciiTheme="majorHAnsi" w:hAnsiTheme="majorHAnsi"/>
                <w:sz w:val="22"/>
                <w:szCs w:val="22"/>
              </w:rPr>
            </w:pPr>
            <w:r w:rsidRPr="00CC642B">
              <w:rPr>
                <w:rFonts w:asciiTheme="majorHAnsi" w:hAnsiTheme="majorHAnsi"/>
                <w:sz w:val="22"/>
                <w:szCs w:val="22"/>
              </w:rPr>
              <w:t>1. Call to action: Public and private stakeholders should incorporate interoperability into the training of new providers and continuing professional education.</w:t>
            </w:r>
          </w:p>
        </w:tc>
      </w:tr>
      <w:tr w:rsidR="0095632E" w:rsidRPr="00687E91" w:rsidTr="005460EB">
        <w:trPr>
          <w:trHeight w:val="1367"/>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95632E" w:rsidRPr="005460EB" w:rsidRDefault="0095632E" w:rsidP="0095632E">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95632E" w:rsidRPr="00CC642B" w:rsidRDefault="0095632E" w:rsidP="0095632E">
            <w:pPr>
              <w:rPr>
                <w:rFonts w:asciiTheme="majorHAnsi" w:hAnsiTheme="majorHAnsi"/>
                <w:sz w:val="22"/>
                <w:szCs w:val="22"/>
              </w:rPr>
            </w:pPr>
            <w:r w:rsidRPr="00CC642B">
              <w:rPr>
                <w:rFonts w:asciiTheme="majorHAnsi" w:hAnsiTheme="majorHAnsi"/>
                <w:sz w:val="22"/>
                <w:szCs w:val="22"/>
              </w:rPr>
              <w:t>2. Call to action: Professional specialty boards and other certifying bodies should agree on standards for interoperable registries and maintenance of certification.</w:t>
            </w:r>
          </w:p>
        </w:tc>
      </w:tr>
      <w:tr w:rsidR="00AC0085" w:rsidRPr="00687E91" w:rsidTr="005460EB">
        <w:trPr>
          <w:trHeight w:val="1223"/>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C0085" w:rsidRPr="005460EB" w:rsidRDefault="00AC0085" w:rsidP="00AC0085">
            <w:pPr>
              <w:jc w:val="center"/>
              <w:rPr>
                <w:rFonts w:asciiTheme="majorHAnsi" w:hAnsiTheme="majorHAnsi"/>
                <w:b/>
                <w:color w:val="FFFFFF" w:themeColor="background1"/>
                <w:sz w:val="22"/>
                <w:szCs w:val="22"/>
              </w:rPr>
            </w:pPr>
          </w:p>
          <w:p w:rsidR="00AC0085" w:rsidRPr="005460EB" w:rsidRDefault="00AC0085" w:rsidP="00AC0085">
            <w:pPr>
              <w:jc w:val="center"/>
              <w:rPr>
                <w:rFonts w:asciiTheme="majorHAnsi" w:hAnsiTheme="majorHAnsi"/>
                <w:b/>
                <w:color w:val="FFFFFF" w:themeColor="background1"/>
                <w:sz w:val="22"/>
                <w:szCs w:val="22"/>
              </w:rPr>
            </w:pPr>
          </w:p>
          <w:p w:rsidR="00AC0085" w:rsidRPr="005460EB" w:rsidRDefault="00AC0085" w:rsidP="00AC0085">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2018-2020</w:t>
            </w:r>
          </w:p>
          <w:p w:rsidR="00AC0085" w:rsidRPr="005460EB" w:rsidRDefault="00AC0085" w:rsidP="00AC0085">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Expand interoperable health IT and users</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AC0085" w:rsidRPr="00CC642B" w:rsidRDefault="00AC0085" w:rsidP="0095632E">
            <w:pPr>
              <w:rPr>
                <w:rFonts w:asciiTheme="majorHAnsi" w:hAnsiTheme="majorHAnsi"/>
                <w:sz w:val="22"/>
                <w:szCs w:val="22"/>
              </w:rPr>
            </w:pPr>
            <w:r w:rsidRPr="00CC642B">
              <w:rPr>
                <w:rFonts w:asciiTheme="majorHAnsi" w:hAnsiTheme="majorHAnsi"/>
                <w:sz w:val="22"/>
                <w:szCs w:val="22"/>
              </w:rPr>
              <w:t>3. Call to action: Public and private stakeholders should agree on a way in which to measure progress and competency of trainees is evaluated and scored using interoperable, standards based clinical information.</w:t>
            </w:r>
          </w:p>
        </w:tc>
      </w:tr>
      <w:tr w:rsidR="00AC0085" w:rsidRPr="00687E91" w:rsidTr="00F07B6F">
        <w:trPr>
          <w:trHeight w:val="161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C0085" w:rsidRPr="00AC0085" w:rsidRDefault="00AC0085" w:rsidP="00AC0085">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AC0085" w:rsidRPr="00CC642B" w:rsidRDefault="00AC0085" w:rsidP="0095632E">
            <w:pPr>
              <w:rPr>
                <w:rFonts w:asciiTheme="majorHAnsi" w:hAnsiTheme="majorHAnsi"/>
                <w:sz w:val="22"/>
                <w:szCs w:val="22"/>
              </w:rPr>
            </w:pPr>
            <w:r w:rsidRPr="00CC642B">
              <w:rPr>
                <w:rFonts w:asciiTheme="majorHAnsi" w:hAnsiTheme="majorHAnsi"/>
                <w:sz w:val="22"/>
                <w:szCs w:val="22"/>
              </w:rPr>
              <w:t>4. Call to action: Professional specialty boards and other certifying bodies should receive most of the information required from their diplomats through information exchanged in a standard format.</w:t>
            </w:r>
          </w:p>
        </w:tc>
      </w:tr>
      <w:tr w:rsidR="00AC0085" w:rsidRPr="00687E91" w:rsidTr="005460EB">
        <w:trPr>
          <w:trHeight w:val="125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C0085" w:rsidRPr="00AC0085" w:rsidRDefault="00AC0085" w:rsidP="00AC0085">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AC0085" w:rsidRDefault="00AC0085" w:rsidP="0095632E">
            <w:pPr>
              <w:rPr>
                <w:rFonts w:asciiTheme="majorHAnsi" w:hAnsiTheme="majorHAnsi"/>
                <w:sz w:val="22"/>
                <w:szCs w:val="22"/>
              </w:rPr>
            </w:pPr>
            <w:r w:rsidRPr="00CC642B">
              <w:rPr>
                <w:rFonts w:asciiTheme="majorHAnsi" w:hAnsiTheme="majorHAnsi"/>
                <w:sz w:val="22"/>
                <w:szCs w:val="22"/>
              </w:rPr>
              <w:t>5. Call to action: Professional specialty boards should utilize standardized electronic data and formats to populate registries.</w:t>
            </w: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Default="00F07B6F" w:rsidP="0095632E">
            <w:pPr>
              <w:rPr>
                <w:rFonts w:asciiTheme="majorHAnsi" w:hAnsiTheme="majorHAnsi"/>
                <w:sz w:val="22"/>
                <w:szCs w:val="22"/>
              </w:rPr>
            </w:pPr>
          </w:p>
          <w:p w:rsidR="00F07B6F" w:rsidRPr="00CC642B" w:rsidRDefault="00F07B6F" w:rsidP="0095632E">
            <w:pPr>
              <w:rPr>
                <w:rFonts w:asciiTheme="majorHAnsi" w:hAnsiTheme="majorHAnsi"/>
                <w:sz w:val="22"/>
                <w:szCs w:val="22"/>
              </w:rPr>
            </w:pPr>
          </w:p>
          <w:p w:rsidR="00AC0085" w:rsidRPr="00AC0085" w:rsidRDefault="00AC0085" w:rsidP="00AC0085">
            <w:pPr>
              <w:rPr>
                <w:rFonts w:asciiTheme="majorHAnsi" w:hAnsiTheme="majorHAnsi"/>
                <w:sz w:val="22"/>
                <w:szCs w:val="22"/>
              </w:rPr>
            </w:pPr>
          </w:p>
          <w:p w:rsidR="00AC0085" w:rsidRPr="00AC0085" w:rsidRDefault="00AC0085" w:rsidP="00AC0085">
            <w:pPr>
              <w:tabs>
                <w:tab w:val="left" w:pos="8475"/>
              </w:tabs>
              <w:rPr>
                <w:rFonts w:asciiTheme="majorHAnsi" w:hAnsiTheme="majorHAnsi"/>
                <w:sz w:val="22"/>
                <w:szCs w:val="22"/>
              </w:rPr>
            </w:pPr>
            <w:r>
              <w:rPr>
                <w:rFonts w:asciiTheme="majorHAnsi" w:hAnsiTheme="majorHAnsi"/>
                <w:sz w:val="22"/>
                <w:szCs w:val="22"/>
              </w:rPr>
              <w:tab/>
            </w:r>
          </w:p>
        </w:tc>
      </w:tr>
      <w:tr w:rsidR="007577A8" w:rsidRPr="00687E91" w:rsidTr="005460EB">
        <w:trPr>
          <w:trHeight w:val="440"/>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77A8" w:rsidRPr="00CE7609" w:rsidRDefault="007577A8" w:rsidP="0095632E">
            <w:pPr>
              <w:rPr>
                <w:rFonts w:asciiTheme="majorHAnsi" w:hAnsiTheme="majorHAnsi"/>
                <w:b/>
                <w:sz w:val="22"/>
                <w:szCs w:val="22"/>
              </w:rPr>
            </w:pPr>
            <w:r w:rsidRPr="007577A8">
              <w:rPr>
                <w:rFonts w:asciiTheme="majorHAnsi" w:hAnsiTheme="majorHAnsi"/>
                <w:b/>
                <w:sz w:val="22"/>
                <w:szCs w:val="22"/>
              </w:rPr>
              <w:lastRenderedPageBreak/>
              <w:t>D6. Innovation and Generation of New Knowledge and Evidence</w:t>
            </w:r>
          </w:p>
        </w:tc>
      </w:tr>
      <w:tr w:rsidR="007577A8" w:rsidRPr="00687E91" w:rsidTr="005460EB">
        <w:trPr>
          <w:trHeight w:val="1070"/>
        </w:trPr>
        <w:tc>
          <w:tcPr>
            <w:tcW w:w="17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577A8" w:rsidRPr="005460EB" w:rsidRDefault="007577A8" w:rsidP="007577A8">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2015-2017</w:t>
            </w:r>
          </w:p>
          <w:p w:rsidR="007577A8" w:rsidRPr="005460EB" w:rsidRDefault="007577A8" w:rsidP="007577A8">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Send, receive, find and use a</w:t>
            </w:r>
          </w:p>
          <w:p w:rsidR="007577A8" w:rsidRPr="005460EB" w:rsidRDefault="007577A8" w:rsidP="007577A8">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common clinical data set</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7577A8" w:rsidRPr="00CC642B" w:rsidRDefault="007577A8" w:rsidP="0095632E">
            <w:pPr>
              <w:rPr>
                <w:rFonts w:asciiTheme="majorHAnsi" w:hAnsiTheme="majorHAnsi"/>
                <w:sz w:val="22"/>
                <w:szCs w:val="22"/>
              </w:rPr>
            </w:pPr>
            <w:r w:rsidRPr="00CC642B">
              <w:rPr>
                <w:rFonts w:asciiTheme="majorHAnsi" w:hAnsiTheme="majorHAnsi"/>
                <w:sz w:val="22"/>
                <w:szCs w:val="22"/>
              </w:rPr>
              <w:t>1. Call to action: Providers currently engaged in clinical research and quality improvement should work together with research institutions and other public and private stakeholders to establish a strategic plan for research and the generation of new knowledge.</w:t>
            </w:r>
          </w:p>
          <w:p w:rsidR="007577A8" w:rsidRPr="00CC642B" w:rsidRDefault="007577A8" w:rsidP="007577A8">
            <w:pPr>
              <w:rPr>
                <w:rFonts w:asciiTheme="majorHAnsi" w:hAnsiTheme="majorHAnsi"/>
                <w:sz w:val="22"/>
                <w:szCs w:val="22"/>
              </w:rPr>
            </w:pPr>
          </w:p>
          <w:p w:rsidR="007577A8" w:rsidRPr="00CC642B" w:rsidRDefault="007577A8" w:rsidP="007577A8">
            <w:pPr>
              <w:rPr>
                <w:rFonts w:asciiTheme="majorHAnsi" w:hAnsiTheme="majorHAnsi"/>
                <w:sz w:val="22"/>
                <w:szCs w:val="22"/>
              </w:rPr>
            </w:pPr>
          </w:p>
        </w:tc>
      </w:tr>
      <w:tr w:rsidR="007577A8" w:rsidRPr="00687E91" w:rsidTr="005460EB">
        <w:trPr>
          <w:trHeight w:val="116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577A8" w:rsidRPr="005460EB" w:rsidRDefault="007577A8" w:rsidP="007577A8">
            <w:pPr>
              <w:jc w:val="center"/>
              <w:rPr>
                <w:rFonts w:asciiTheme="majorHAnsi" w:hAnsiTheme="majorHAnsi"/>
                <w:b/>
                <w:color w:val="FFFFFF" w:themeColor="background1"/>
                <w:sz w:val="22"/>
                <w:szCs w:val="22"/>
              </w:rPr>
            </w:pPr>
          </w:p>
          <w:p w:rsidR="007577A8" w:rsidRPr="005460EB" w:rsidRDefault="007577A8" w:rsidP="007577A8">
            <w:pPr>
              <w:jc w:val="center"/>
              <w:rPr>
                <w:rFonts w:asciiTheme="majorHAnsi" w:hAnsiTheme="majorHAnsi"/>
                <w:b/>
                <w:color w:val="FFFFFF" w:themeColor="background1"/>
                <w:sz w:val="22"/>
                <w:szCs w:val="22"/>
              </w:rPr>
            </w:pPr>
          </w:p>
          <w:p w:rsidR="007577A8" w:rsidRPr="005460EB" w:rsidRDefault="007577A8" w:rsidP="007577A8">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2018-2020</w:t>
            </w:r>
          </w:p>
          <w:p w:rsidR="007577A8" w:rsidRPr="005460EB" w:rsidRDefault="007577A8" w:rsidP="007577A8">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Expand interoperable health IT and users</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7577A8" w:rsidRPr="00CC642B" w:rsidRDefault="007577A8" w:rsidP="0095632E">
            <w:pPr>
              <w:rPr>
                <w:rFonts w:asciiTheme="majorHAnsi" w:hAnsiTheme="majorHAnsi"/>
                <w:sz w:val="22"/>
                <w:szCs w:val="22"/>
              </w:rPr>
            </w:pPr>
            <w:r w:rsidRPr="00CC642B">
              <w:rPr>
                <w:rFonts w:asciiTheme="majorHAnsi" w:hAnsiTheme="majorHAnsi"/>
                <w:sz w:val="22"/>
                <w:szCs w:val="22"/>
              </w:rPr>
              <w:t>2. Call to action: Providers should further engage with the research community and should routinely offer patients and families participation in research and quality improvement programs.</w:t>
            </w:r>
          </w:p>
        </w:tc>
      </w:tr>
      <w:tr w:rsidR="007577A8" w:rsidRPr="00687E91" w:rsidTr="005460EB">
        <w:trPr>
          <w:trHeight w:val="125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577A8" w:rsidRPr="005460EB" w:rsidRDefault="007577A8" w:rsidP="007577A8">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7577A8" w:rsidRPr="00CC642B" w:rsidRDefault="007577A8" w:rsidP="0095632E">
            <w:pPr>
              <w:rPr>
                <w:rFonts w:asciiTheme="majorHAnsi" w:hAnsiTheme="majorHAnsi"/>
                <w:sz w:val="22"/>
                <w:szCs w:val="22"/>
              </w:rPr>
            </w:pPr>
            <w:r w:rsidRPr="00CC642B">
              <w:rPr>
                <w:rFonts w:asciiTheme="majorHAnsi" w:hAnsiTheme="majorHAnsi"/>
                <w:sz w:val="22"/>
                <w:szCs w:val="22"/>
              </w:rPr>
              <w:t>3. Call to action: Community or region-wide Institutional Review Boards should ensure that the appropriate patient protections are in place to conduct multi-sourced clinical research.</w:t>
            </w:r>
          </w:p>
        </w:tc>
      </w:tr>
      <w:tr w:rsidR="007577A8" w:rsidRPr="00687E91" w:rsidTr="00126B1D">
        <w:trPr>
          <w:trHeight w:val="1610"/>
        </w:trPr>
        <w:tc>
          <w:tcPr>
            <w:tcW w:w="1725"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577A8" w:rsidRPr="005460EB" w:rsidRDefault="007577A8" w:rsidP="007577A8">
            <w:pPr>
              <w:jc w:val="center"/>
              <w:rPr>
                <w:rFonts w:asciiTheme="majorHAnsi" w:hAnsiTheme="majorHAnsi"/>
                <w:b/>
                <w:color w:val="FFFFFF" w:themeColor="background1"/>
                <w:sz w:val="22"/>
                <w:szCs w:val="22"/>
              </w:rPr>
            </w:pPr>
          </w:p>
          <w:p w:rsidR="007577A8" w:rsidRPr="005460EB" w:rsidRDefault="007577A8" w:rsidP="007577A8">
            <w:pPr>
              <w:jc w:val="center"/>
              <w:rPr>
                <w:rFonts w:asciiTheme="majorHAnsi" w:hAnsiTheme="majorHAnsi"/>
                <w:b/>
                <w:color w:val="FFFFFF" w:themeColor="background1"/>
                <w:sz w:val="22"/>
                <w:szCs w:val="22"/>
              </w:rPr>
            </w:pPr>
          </w:p>
          <w:p w:rsidR="007577A8" w:rsidRPr="005460EB" w:rsidRDefault="007577A8" w:rsidP="007577A8">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2021-2024</w:t>
            </w:r>
          </w:p>
          <w:p w:rsidR="007577A8" w:rsidRPr="005460EB" w:rsidRDefault="007577A8" w:rsidP="007577A8">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Achieve  nationwide LHS</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7577A8" w:rsidRPr="00CC642B" w:rsidRDefault="007577A8" w:rsidP="0095632E">
            <w:pPr>
              <w:rPr>
                <w:rFonts w:asciiTheme="majorHAnsi" w:hAnsiTheme="majorHAnsi"/>
                <w:sz w:val="22"/>
                <w:szCs w:val="22"/>
              </w:rPr>
            </w:pPr>
            <w:r w:rsidRPr="00CC642B">
              <w:rPr>
                <w:rFonts w:asciiTheme="majorHAnsi" w:hAnsiTheme="majorHAnsi"/>
                <w:sz w:val="22"/>
                <w:szCs w:val="22"/>
              </w:rPr>
              <w:t>4. Call to action: Researchers, providers and other stakeholders should accelerate and measure the pace of innovation and research, as well as the dissemination of new knowledge to improve health and care.</w:t>
            </w:r>
          </w:p>
        </w:tc>
      </w:tr>
      <w:tr w:rsidR="007577A8" w:rsidRPr="00687E91" w:rsidTr="002312FA">
        <w:trPr>
          <w:trHeight w:val="1340"/>
        </w:trPr>
        <w:tc>
          <w:tcPr>
            <w:tcW w:w="1725"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577A8" w:rsidRPr="007577A8" w:rsidRDefault="007577A8" w:rsidP="007577A8">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7577A8" w:rsidRPr="00CC642B" w:rsidRDefault="007577A8" w:rsidP="0095632E">
            <w:pPr>
              <w:rPr>
                <w:rFonts w:asciiTheme="majorHAnsi" w:hAnsiTheme="majorHAnsi"/>
                <w:sz w:val="22"/>
                <w:szCs w:val="22"/>
              </w:rPr>
            </w:pPr>
            <w:r w:rsidRPr="00CC642B">
              <w:rPr>
                <w:rFonts w:asciiTheme="majorHAnsi" w:hAnsiTheme="majorHAnsi"/>
                <w:sz w:val="22"/>
                <w:szCs w:val="22"/>
              </w:rPr>
              <w:t>5. Call to action: Technology developers should enable patient-centered and future clinical research methods for accelerated deployment of research findings into clinical care.</w:t>
            </w:r>
          </w:p>
        </w:tc>
      </w:tr>
    </w:tbl>
    <w:p w:rsidR="00524B99" w:rsidRDefault="00524B99">
      <w:pPr>
        <w:rPr>
          <w:rFonts w:asciiTheme="majorHAnsi" w:hAnsiTheme="majorHAnsi"/>
        </w:rPr>
      </w:pPr>
    </w:p>
    <w:p w:rsidR="00006A2D" w:rsidRDefault="00006A2D">
      <w:pPr>
        <w:rPr>
          <w:rFonts w:asciiTheme="majorHAnsi" w:hAnsiTheme="majorHAnsi"/>
        </w:rPr>
      </w:pPr>
    </w:p>
    <w:p w:rsidR="00285151" w:rsidRDefault="00285151">
      <w:pPr>
        <w:rPr>
          <w:rFonts w:asciiTheme="majorHAnsi" w:hAnsiTheme="majorHAnsi"/>
        </w:rPr>
      </w:pPr>
    </w:p>
    <w:p w:rsidR="00006A2D" w:rsidRDefault="00006A2D">
      <w:pPr>
        <w:rPr>
          <w:rFonts w:asciiTheme="majorHAnsi" w:hAnsiTheme="majorHAnsi"/>
        </w:rPr>
      </w:pPr>
    </w:p>
    <w:p w:rsidR="008B182E" w:rsidRDefault="008B182E">
      <w:pPr>
        <w:rPr>
          <w:rFonts w:asciiTheme="majorHAnsi" w:hAnsiTheme="majorHAnsi"/>
        </w:rPr>
      </w:pPr>
    </w:p>
    <w:tbl>
      <w:tblPr>
        <w:tblW w:w="16935" w:type="dxa"/>
        <w:tblInd w:w="93" w:type="dxa"/>
        <w:tblLook w:val="04A0" w:firstRow="1" w:lastRow="0" w:firstColumn="1" w:lastColumn="0" w:noHBand="0" w:noVBand="1"/>
      </w:tblPr>
      <w:tblGrid>
        <w:gridCol w:w="1725"/>
        <w:gridCol w:w="15210"/>
      </w:tblGrid>
      <w:tr w:rsidR="008B182E" w:rsidRPr="00CE7609" w:rsidTr="005610B9">
        <w:trPr>
          <w:trHeight w:val="440"/>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B182E" w:rsidRPr="00C2367D" w:rsidRDefault="008B182E" w:rsidP="008B182E">
            <w:pPr>
              <w:numPr>
                <w:ilvl w:val="0"/>
                <w:numId w:val="21"/>
              </w:numPr>
              <w:rPr>
                <w:rFonts w:ascii="Calibri" w:eastAsia="Times New Roman" w:hAnsi="Calibri" w:cs="Times New Roman"/>
                <w:b/>
                <w:bCs/>
                <w:color w:val="000000"/>
                <w:sz w:val="22"/>
                <w:szCs w:val="22"/>
              </w:rPr>
            </w:pPr>
            <w:r w:rsidRPr="00C2367D">
              <w:rPr>
                <w:rFonts w:ascii="Calibri" w:eastAsia="Times New Roman" w:hAnsi="Calibri" w:cs="Times New Roman"/>
                <w:b/>
                <w:bCs/>
                <w:color w:val="000000"/>
                <w:sz w:val="22"/>
                <w:szCs w:val="22"/>
              </w:rPr>
              <w:t xml:space="preserve">Are the actions the right actions to improve interoperability nationwide in the near term while working toward a learning health system in the long term? </w:t>
            </w:r>
          </w:p>
          <w:p w:rsidR="008B182E" w:rsidRPr="00C2367D" w:rsidRDefault="008B182E" w:rsidP="008B182E">
            <w:pPr>
              <w:numPr>
                <w:ilvl w:val="0"/>
                <w:numId w:val="21"/>
              </w:numPr>
              <w:rPr>
                <w:rFonts w:ascii="Calibri" w:eastAsia="Times New Roman" w:hAnsi="Calibri" w:cs="Times New Roman"/>
                <w:b/>
                <w:bCs/>
                <w:color w:val="000000"/>
                <w:sz w:val="22"/>
                <w:szCs w:val="22"/>
              </w:rPr>
            </w:pPr>
            <w:r w:rsidRPr="00C2367D">
              <w:rPr>
                <w:rFonts w:ascii="Calibri" w:eastAsia="Times New Roman" w:hAnsi="Calibri" w:cs="Times New Roman"/>
                <w:b/>
                <w:bCs/>
                <w:color w:val="000000"/>
                <w:sz w:val="22"/>
                <w:szCs w:val="22"/>
              </w:rPr>
              <w:t xml:space="preserve">What, if any, gaps need to be addressed? </w:t>
            </w:r>
          </w:p>
          <w:p w:rsidR="008B182E" w:rsidRPr="00C2367D" w:rsidRDefault="008B182E" w:rsidP="008B182E">
            <w:pPr>
              <w:numPr>
                <w:ilvl w:val="0"/>
                <w:numId w:val="21"/>
              </w:numPr>
              <w:rPr>
                <w:rFonts w:ascii="Calibri" w:eastAsia="Times New Roman" w:hAnsi="Calibri" w:cs="Times New Roman"/>
                <w:b/>
                <w:bCs/>
                <w:color w:val="000000"/>
                <w:sz w:val="22"/>
                <w:szCs w:val="22"/>
              </w:rPr>
            </w:pPr>
            <w:r w:rsidRPr="00C2367D">
              <w:rPr>
                <w:rFonts w:ascii="Calibri" w:eastAsia="Times New Roman" w:hAnsi="Calibri" w:cs="Times New Roman"/>
                <w:b/>
                <w:bCs/>
                <w:color w:val="000000"/>
                <w:sz w:val="22"/>
                <w:szCs w:val="22"/>
              </w:rPr>
              <w:t xml:space="preserve">Is the timing of specific actions appropriate? </w:t>
            </w:r>
          </w:p>
          <w:p w:rsidR="008B182E" w:rsidRPr="008B182E" w:rsidRDefault="008B182E" w:rsidP="008B182E">
            <w:pPr>
              <w:pStyle w:val="ListParagraph"/>
              <w:numPr>
                <w:ilvl w:val="0"/>
                <w:numId w:val="21"/>
              </w:numPr>
              <w:rPr>
                <w:rFonts w:asciiTheme="majorHAnsi" w:hAnsiTheme="majorHAnsi"/>
                <w:b/>
                <w:sz w:val="22"/>
                <w:szCs w:val="22"/>
              </w:rPr>
            </w:pPr>
            <w:r w:rsidRPr="008B182E">
              <w:rPr>
                <w:rFonts w:ascii="Calibri" w:eastAsia="Times New Roman" w:hAnsi="Calibri" w:cs="Times New Roman"/>
                <w:b/>
                <w:bCs/>
                <w:color w:val="000000"/>
                <w:sz w:val="22"/>
                <w:szCs w:val="22"/>
              </w:rPr>
              <w:t>Are the right actors/stakeholders associated with critical actions?</w:t>
            </w:r>
          </w:p>
        </w:tc>
      </w:tr>
      <w:tr w:rsidR="008B182E" w:rsidRPr="00CE7609" w:rsidTr="005610B9">
        <w:trPr>
          <w:trHeight w:val="440"/>
        </w:trPr>
        <w:tc>
          <w:tcPr>
            <w:tcW w:w="169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B182E" w:rsidRPr="00CE7609" w:rsidRDefault="008B182E" w:rsidP="005610B9">
            <w:pPr>
              <w:rPr>
                <w:rFonts w:asciiTheme="majorHAnsi" w:hAnsiTheme="majorHAnsi"/>
                <w:b/>
                <w:sz w:val="22"/>
                <w:szCs w:val="22"/>
              </w:rPr>
            </w:pPr>
            <w:r>
              <w:rPr>
                <w:rFonts w:asciiTheme="majorHAnsi" w:hAnsiTheme="majorHAnsi"/>
                <w:b/>
                <w:sz w:val="22"/>
                <w:szCs w:val="22"/>
              </w:rPr>
              <w:t>D7</w:t>
            </w:r>
            <w:r w:rsidRPr="007577A8">
              <w:rPr>
                <w:rFonts w:asciiTheme="majorHAnsi" w:hAnsiTheme="majorHAnsi"/>
                <w:b/>
                <w:sz w:val="22"/>
                <w:szCs w:val="22"/>
              </w:rPr>
              <w:t xml:space="preserve">. </w:t>
            </w:r>
            <w:r w:rsidRPr="008B182E">
              <w:rPr>
                <w:rFonts w:asciiTheme="majorHAnsi" w:hAnsiTheme="majorHAnsi"/>
                <w:b/>
                <w:sz w:val="22"/>
                <w:szCs w:val="22"/>
              </w:rPr>
              <w:t>Transparency of Value and engagement of patients, families, and caregivers</w:t>
            </w:r>
          </w:p>
        </w:tc>
      </w:tr>
      <w:tr w:rsidR="008B182E" w:rsidRPr="00CC642B" w:rsidTr="008B182E">
        <w:trPr>
          <w:trHeight w:val="2123"/>
        </w:trPr>
        <w:tc>
          <w:tcPr>
            <w:tcW w:w="1725" w:type="dxa"/>
            <w:vMerge w:val="restart"/>
            <w:tcBorders>
              <w:top w:val="single" w:sz="4" w:space="0" w:color="auto"/>
              <w:left w:val="single" w:sz="4" w:space="0" w:color="auto"/>
              <w:right w:val="single" w:sz="4" w:space="0" w:color="auto"/>
            </w:tcBorders>
            <w:shd w:val="clear" w:color="auto" w:fill="365F91" w:themeFill="accent1" w:themeFillShade="BF"/>
            <w:vAlign w:val="center"/>
          </w:tcPr>
          <w:p w:rsidR="008B182E" w:rsidRPr="005460EB" w:rsidRDefault="008B182E" w:rsidP="008B18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2015-2017</w:t>
            </w:r>
          </w:p>
          <w:p w:rsidR="008B182E" w:rsidRPr="005460EB" w:rsidRDefault="008B182E" w:rsidP="008B18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Send, receive, find and use a</w:t>
            </w:r>
          </w:p>
          <w:p w:rsidR="008B182E" w:rsidRPr="005460EB" w:rsidRDefault="008B182E" w:rsidP="008B18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common clinical data set</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8B182E" w:rsidRPr="00CC642B" w:rsidRDefault="008B182E" w:rsidP="005610B9">
            <w:pPr>
              <w:rPr>
                <w:rFonts w:asciiTheme="majorHAnsi" w:hAnsiTheme="majorHAnsi"/>
                <w:sz w:val="22"/>
                <w:szCs w:val="22"/>
              </w:rPr>
            </w:pPr>
            <w:r w:rsidRPr="008B182E">
              <w:rPr>
                <w:rFonts w:asciiTheme="majorHAnsi" w:hAnsiTheme="majorHAnsi"/>
                <w:sz w:val="22"/>
                <w:szCs w:val="22"/>
              </w:rPr>
              <w:t>1. Call to action: Providers should work together with purchasers of care to have access to patient out-of-pocket costs and those of payers and purchasers. Providers are engaged in regional efforts to measure quality and maximize value.</w:t>
            </w:r>
          </w:p>
          <w:p w:rsidR="008B182E" w:rsidRPr="00CC642B" w:rsidRDefault="008B182E" w:rsidP="005610B9">
            <w:pPr>
              <w:rPr>
                <w:rFonts w:asciiTheme="majorHAnsi" w:hAnsiTheme="majorHAnsi"/>
                <w:sz w:val="22"/>
                <w:szCs w:val="22"/>
              </w:rPr>
            </w:pPr>
          </w:p>
        </w:tc>
      </w:tr>
      <w:tr w:rsidR="008B182E" w:rsidRPr="00CC642B" w:rsidTr="008B182E">
        <w:trPr>
          <w:trHeight w:val="2213"/>
        </w:trPr>
        <w:tc>
          <w:tcPr>
            <w:tcW w:w="1725" w:type="dxa"/>
            <w:vMerge/>
            <w:tcBorders>
              <w:left w:val="single" w:sz="4" w:space="0" w:color="auto"/>
              <w:right w:val="single" w:sz="4" w:space="0" w:color="auto"/>
            </w:tcBorders>
            <w:shd w:val="clear" w:color="auto" w:fill="365F91" w:themeFill="accent1" w:themeFillShade="BF"/>
            <w:vAlign w:val="center"/>
          </w:tcPr>
          <w:p w:rsidR="008B182E" w:rsidRPr="005460EB" w:rsidRDefault="008B182E" w:rsidP="008B182E">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8B182E" w:rsidRPr="00CC642B" w:rsidRDefault="008B182E" w:rsidP="005610B9">
            <w:pPr>
              <w:rPr>
                <w:rFonts w:asciiTheme="majorHAnsi" w:hAnsiTheme="majorHAnsi"/>
                <w:sz w:val="22"/>
                <w:szCs w:val="22"/>
              </w:rPr>
            </w:pPr>
            <w:r w:rsidRPr="008B182E">
              <w:rPr>
                <w:rFonts w:asciiTheme="majorHAnsi" w:hAnsiTheme="majorHAnsi"/>
                <w:sz w:val="22"/>
                <w:szCs w:val="22"/>
              </w:rPr>
              <w:t>2. Call to action: Providers should offer and encourage access to medical records and secure communications with all patients and any family and caregivers who are authorized to engage in such</w:t>
            </w:r>
          </w:p>
        </w:tc>
      </w:tr>
      <w:tr w:rsidR="008B182E" w:rsidRPr="00CC642B" w:rsidTr="00C50505">
        <w:trPr>
          <w:trHeight w:val="1343"/>
        </w:trPr>
        <w:tc>
          <w:tcPr>
            <w:tcW w:w="1725" w:type="dxa"/>
            <w:vMerge/>
            <w:tcBorders>
              <w:left w:val="single" w:sz="4" w:space="0" w:color="auto"/>
              <w:bottom w:val="single" w:sz="4" w:space="0" w:color="auto"/>
              <w:right w:val="single" w:sz="4" w:space="0" w:color="auto"/>
            </w:tcBorders>
            <w:shd w:val="clear" w:color="auto" w:fill="365F91" w:themeFill="accent1" w:themeFillShade="BF"/>
            <w:vAlign w:val="center"/>
          </w:tcPr>
          <w:p w:rsidR="008B182E" w:rsidRPr="005460EB" w:rsidRDefault="008B182E" w:rsidP="008B182E">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8B182E" w:rsidRPr="008B182E" w:rsidRDefault="008B182E" w:rsidP="008B182E">
            <w:pPr>
              <w:pStyle w:val="ListParagraph"/>
              <w:numPr>
                <w:ilvl w:val="0"/>
                <w:numId w:val="27"/>
              </w:numPr>
              <w:rPr>
                <w:rFonts w:asciiTheme="majorHAnsi" w:hAnsiTheme="majorHAnsi"/>
                <w:sz w:val="22"/>
                <w:szCs w:val="22"/>
              </w:rPr>
            </w:pPr>
            <w:r w:rsidRPr="008B182E">
              <w:rPr>
                <w:rFonts w:asciiTheme="majorHAnsi" w:hAnsiTheme="majorHAnsi"/>
                <w:sz w:val="22"/>
                <w:szCs w:val="22"/>
              </w:rPr>
              <w:t>Call to action: Providers should support consumers in downloading or transmitting their health information to a destination of their choice.</w:t>
            </w:r>
          </w:p>
          <w:p w:rsidR="008B182E" w:rsidRDefault="008B182E" w:rsidP="008B182E">
            <w:pPr>
              <w:rPr>
                <w:rFonts w:asciiTheme="majorHAnsi" w:hAnsiTheme="majorHAnsi"/>
                <w:sz w:val="22"/>
                <w:szCs w:val="22"/>
              </w:rPr>
            </w:pPr>
          </w:p>
          <w:p w:rsidR="008B182E" w:rsidRDefault="008B182E" w:rsidP="008B182E">
            <w:pPr>
              <w:rPr>
                <w:rFonts w:asciiTheme="majorHAnsi" w:hAnsiTheme="majorHAnsi"/>
                <w:sz w:val="22"/>
                <w:szCs w:val="22"/>
              </w:rPr>
            </w:pPr>
          </w:p>
          <w:p w:rsidR="008B182E" w:rsidRDefault="008B182E" w:rsidP="008B182E">
            <w:pPr>
              <w:rPr>
                <w:rFonts w:asciiTheme="majorHAnsi" w:hAnsiTheme="majorHAnsi"/>
                <w:sz w:val="22"/>
                <w:szCs w:val="22"/>
              </w:rPr>
            </w:pPr>
          </w:p>
          <w:p w:rsidR="008B182E" w:rsidRDefault="008B182E" w:rsidP="008B182E">
            <w:pPr>
              <w:rPr>
                <w:rFonts w:asciiTheme="majorHAnsi" w:hAnsiTheme="majorHAnsi"/>
                <w:sz w:val="22"/>
                <w:szCs w:val="22"/>
              </w:rPr>
            </w:pPr>
          </w:p>
          <w:p w:rsidR="008B182E" w:rsidRDefault="008B182E" w:rsidP="008B182E">
            <w:pPr>
              <w:rPr>
                <w:rFonts w:asciiTheme="majorHAnsi" w:hAnsiTheme="majorHAnsi"/>
                <w:sz w:val="22"/>
                <w:szCs w:val="22"/>
              </w:rPr>
            </w:pPr>
          </w:p>
          <w:p w:rsidR="008B182E" w:rsidRPr="008B182E" w:rsidRDefault="008B182E" w:rsidP="008B182E">
            <w:pPr>
              <w:rPr>
                <w:rFonts w:asciiTheme="majorHAnsi" w:hAnsiTheme="majorHAnsi"/>
                <w:sz w:val="22"/>
                <w:szCs w:val="22"/>
              </w:rPr>
            </w:pPr>
          </w:p>
        </w:tc>
      </w:tr>
      <w:tr w:rsidR="008B182E" w:rsidRPr="00CC642B" w:rsidTr="008B182E">
        <w:trPr>
          <w:trHeight w:val="1700"/>
        </w:trPr>
        <w:tc>
          <w:tcPr>
            <w:tcW w:w="1725" w:type="dxa"/>
            <w:vMerge w:val="restart"/>
            <w:tcBorders>
              <w:top w:val="single" w:sz="4" w:space="0" w:color="auto"/>
              <w:left w:val="single" w:sz="4" w:space="0" w:color="auto"/>
              <w:right w:val="single" w:sz="4" w:space="0" w:color="auto"/>
            </w:tcBorders>
            <w:shd w:val="clear" w:color="auto" w:fill="365F91" w:themeFill="accent1" w:themeFillShade="BF"/>
            <w:vAlign w:val="center"/>
          </w:tcPr>
          <w:p w:rsidR="008B182E" w:rsidRPr="005460EB" w:rsidRDefault="008B182E" w:rsidP="008B182E">
            <w:pPr>
              <w:jc w:val="center"/>
              <w:rPr>
                <w:rFonts w:asciiTheme="majorHAnsi" w:hAnsiTheme="majorHAnsi"/>
                <w:b/>
                <w:color w:val="FFFFFF" w:themeColor="background1"/>
                <w:sz w:val="22"/>
                <w:szCs w:val="22"/>
              </w:rPr>
            </w:pPr>
          </w:p>
          <w:p w:rsidR="008B182E" w:rsidRPr="005460EB" w:rsidRDefault="008B182E" w:rsidP="008B182E">
            <w:pPr>
              <w:jc w:val="center"/>
              <w:rPr>
                <w:rFonts w:asciiTheme="majorHAnsi" w:hAnsiTheme="majorHAnsi"/>
                <w:b/>
                <w:color w:val="FFFFFF" w:themeColor="background1"/>
                <w:sz w:val="22"/>
                <w:szCs w:val="22"/>
              </w:rPr>
            </w:pPr>
          </w:p>
          <w:p w:rsidR="008B182E" w:rsidRPr="005460EB" w:rsidRDefault="008B182E" w:rsidP="008B18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2018-2020</w:t>
            </w:r>
          </w:p>
          <w:p w:rsidR="008B182E" w:rsidRPr="005460EB" w:rsidRDefault="008B182E" w:rsidP="008B18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Expand interoperable health IT and users</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8B182E" w:rsidRPr="00CC642B" w:rsidRDefault="008B182E" w:rsidP="005610B9">
            <w:pPr>
              <w:rPr>
                <w:rFonts w:asciiTheme="majorHAnsi" w:hAnsiTheme="majorHAnsi"/>
                <w:sz w:val="22"/>
                <w:szCs w:val="22"/>
              </w:rPr>
            </w:pPr>
            <w:r w:rsidRPr="008B182E">
              <w:rPr>
                <w:rFonts w:asciiTheme="majorHAnsi" w:hAnsiTheme="majorHAnsi"/>
                <w:sz w:val="22"/>
                <w:szCs w:val="22"/>
              </w:rPr>
              <w:t>4. Call to action: Providers should routinely utilize cost and quality data to make shared diagnostic and treatment planning decisions.</w:t>
            </w:r>
          </w:p>
        </w:tc>
      </w:tr>
      <w:tr w:rsidR="008B182E" w:rsidRPr="00CC642B" w:rsidTr="00FB1566">
        <w:trPr>
          <w:trHeight w:val="1970"/>
        </w:trPr>
        <w:tc>
          <w:tcPr>
            <w:tcW w:w="1725" w:type="dxa"/>
            <w:vMerge/>
            <w:tcBorders>
              <w:left w:val="single" w:sz="4" w:space="0" w:color="auto"/>
              <w:right w:val="single" w:sz="4" w:space="0" w:color="auto"/>
            </w:tcBorders>
            <w:shd w:val="clear" w:color="auto" w:fill="365F91" w:themeFill="accent1" w:themeFillShade="BF"/>
          </w:tcPr>
          <w:p w:rsidR="008B182E" w:rsidRPr="005460EB" w:rsidRDefault="008B182E" w:rsidP="005610B9">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8B182E" w:rsidRPr="00CC642B" w:rsidRDefault="008B182E" w:rsidP="005610B9">
            <w:pPr>
              <w:rPr>
                <w:rFonts w:asciiTheme="majorHAnsi" w:hAnsiTheme="majorHAnsi"/>
                <w:sz w:val="22"/>
                <w:szCs w:val="22"/>
              </w:rPr>
            </w:pPr>
            <w:r w:rsidRPr="008B182E">
              <w:rPr>
                <w:rFonts w:asciiTheme="majorHAnsi" w:hAnsiTheme="majorHAnsi"/>
                <w:sz w:val="22"/>
                <w:szCs w:val="22"/>
              </w:rPr>
              <w:t>5. Call to action: Providers should work together with purchasers of care to develop, test and implement appropriate and credible indicators of value.</w:t>
            </w:r>
          </w:p>
        </w:tc>
      </w:tr>
      <w:tr w:rsidR="008B182E" w:rsidRPr="00CC642B" w:rsidTr="00FB1566">
        <w:trPr>
          <w:trHeight w:val="1250"/>
        </w:trPr>
        <w:tc>
          <w:tcPr>
            <w:tcW w:w="1725" w:type="dxa"/>
            <w:vMerge/>
            <w:tcBorders>
              <w:left w:val="single" w:sz="4" w:space="0" w:color="auto"/>
              <w:bottom w:val="single" w:sz="4" w:space="0" w:color="auto"/>
              <w:right w:val="single" w:sz="4" w:space="0" w:color="auto"/>
            </w:tcBorders>
            <w:shd w:val="clear" w:color="auto" w:fill="365F91" w:themeFill="accent1" w:themeFillShade="BF"/>
          </w:tcPr>
          <w:p w:rsidR="008B182E" w:rsidRPr="005460EB" w:rsidRDefault="008B182E" w:rsidP="005610B9">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8B182E" w:rsidRPr="008B182E" w:rsidRDefault="008B182E" w:rsidP="008B182E">
            <w:pPr>
              <w:rPr>
                <w:rFonts w:asciiTheme="majorHAnsi" w:hAnsiTheme="majorHAnsi"/>
                <w:sz w:val="22"/>
                <w:szCs w:val="22"/>
              </w:rPr>
            </w:pPr>
            <w:r>
              <w:rPr>
                <w:rFonts w:asciiTheme="majorHAnsi" w:hAnsiTheme="majorHAnsi"/>
                <w:sz w:val="22"/>
                <w:szCs w:val="22"/>
              </w:rPr>
              <w:t xml:space="preserve">6. </w:t>
            </w:r>
            <w:r w:rsidRPr="008B182E">
              <w:rPr>
                <w:rFonts w:asciiTheme="majorHAnsi" w:hAnsiTheme="majorHAnsi"/>
                <w:sz w:val="22"/>
                <w:szCs w:val="22"/>
              </w:rPr>
              <w:t>Call to action: Providers should support consumer-facing services such as:</w:t>
            </w:r>
          </w:p>
          <w:p w:rsidR="008B182E" w:rsidRPr="008B182E" w:rsidRDefault="008B182E" w:rsidP="008B182E">
            <w:pPr>
              <w:pStyle w:val="ListParagraph"/>
              <w:numPr>
                <w:ilvl w:val="0"/>
                <w:numId w:val="24"/>
              </w:numPr>
              <w:rPr>
                <w:rFonts w:asciiTheme="majorHAnsi" w:hAnsiTheme="majorHAnsi"/>
                <w:sz w:val="22"/>
                <w:szCs w:val="22"/>
              </w:rPr>
            </w:pPr>
            <w:r w:rsidRPr="008B182E">
              <w:rPr>
                <w:rFonts w:asciiTheme="majorHAnsi" w:hAnsiTheme="majorHAnsi"/>
                <w:sz w:val="22"/>
                <w:szCs w:val="22"/>
              </w:rPr>
              <w:t>Online scheduling</w:t>
            </w:r>
          </w:p>
          <w:p w:rsidR="008B182E" w:rsidRPr="008B182E" w:rsidRDefault="008B182E" w:rsidP="008B182E">
            <w:pPr>
              <w:pStyle w:val="ListParagraph"/>
              <w:numPr>
                <w:ilvl w:val="0"/>
                <w:numId w:val="24"/>
              </w:numPr>
              <w:rPr>
                <w:rFonts w:asciiTheme="majorHAnsi" w:hAnsiTheme="majorHAnsi"/>
                <w:sz w:val="22"/>
                <w:szCs w:val="22"/>
              </w:rPr>
            </w:pPr>
            <w:r w:rsidRPr="008B182E">
              <w:rPr>
                <w:rFonts w:asciiTheme="majorHAnsi" w:hAnsiTheme="majorHAnsi"/>
                <w:sz w:val="22"/>
                <w:szCs w:val="22"/>
              </w:rPr>
              <w:t>Medication refill requests</w:t>
            </w:r>
          </w:p>
          <w:p w:rsidR="008B182E" w:rsidRPr="008B182E" w:rsidRDefault="008B182E" w:rsidP="008B182E">
            <w:pPr>
              <w:pStyle w:val="ListParagraph"/>
              <w:numPr>
                <w:ilvl w:val="0"/>
                <w:numId w:val="24"/>
              </w:numPr>
              <w:rPr>
                <w:rFonts w:asciiTheme="majorHAnsi" w:hAnsiTheme="majorHAnsi"/>
                <w:sz w:val="22"/>
                <w:szCs w:val="22"/>
              </w:rPr>
            </w:pPr>
            <w:r w:rsidRPr="008B182E">
              <w:rPr>
                <w:rFonts w:asciiTheme="majorHAnsi" w:hAnsiTheme="majorHAnsi"/>
                <w:sz w:val="22"/>
                <w:szCs w:val="22"/>
              </w:rPr>
              <w:t>Electronic/Telehealth Visits</w:t>
            </w:r>
          </w:p>
          <w:p w:rsidR="008B182E" w:rsidRPr="008B182E" w:rsidRDefault="008B182E" w:rsidP="008B182E">
            <w:pPr>
              <w:pStyle w:val="ListParagraph"/>
              <w:numPr>
                <w:ilvl w:val="0"/>
                <w:numId w:val="24"/>
              </w:numPr>
              <w:rPr>
                <w:rFonts w:asciiTheme="majorHAnsi" w:hAnsiTheme="majorHAnsi"/>
                <w:sz w:val="22"/>
                <w:szCs w:val="22"/>
              </w:rPr>
            </w:pPr>
            <w:r w:rsidRPr="008B182E">
              <w:rPr>
                <w:rFonts w:asciiTheme="majorHAnsi" w:hAnsiTheme="majorHAnsi"/>
                <w:sz w:val="22"/>
                <w:szCs w:val="22"/>
              </w:rPr>
              <w:t>Patient provided device data, screenings and assessments</w:t>
            </w:r>
          </w:p>
          <w:p w:rsidR="008B182E" w:rsidRPr="008B182E" w:rsidRDefault="008B182E" w:rsidP="008B182E">
            <w:pPr>
              <w:pStyle w:val="ListParagraph"/>
              <w:numPr>
                <w:ilvl w:val="0"/>
                <w:numId w:val="24"/>
              </w:numPr>
              <w:rPr>
                <w:rFonts w:asciiTheme="majorHAnsi" w:hAnsiTheme="majorHAnsi"/>
                <w:sz w:val="22"/>
                <w:szCs w:val="22"/>
              </w:rPr>
            </w:pPr>
            <w:r w:rsidRPr="008B182E">
              <w:rPr>
                <w:rFonts w:asciiTheme="majorHAnsi" w:hAnsiTheme="majorHAnsi"/>
                <w:sz w:val="22"/>
                <w:szCs w:val="22"/>
              </w:rPr>
              <w:t>Informed consent and education modules</w:t>
            </w:r>
          </w:p>
          <w:p w:rsidR="008B182E" w:rsidRPr="008B182E" w:rsidRDefault="008B182E" w:rsidP="008B182E">
            <w:pPr>
              <w:pStyle w:val="ListParagraph"/>
              <w:numPr>
                <w:ilvl w:val="0"/>
                <w:numId w:val="24"/>
              </w:numPr>
              <w:rPr>
                <w:rFonts w:asciiTheme="majorHAnsi" w:hAnsiTheme="majorHAnsi"/>
                <w:sz w:val="22"/>
                <w:szCs w:val="22"/>
              </w:rPr>
            </w:pPr>
            <w:r w:rsidRPr="008B182E">
              <w:rPr>
                <w:rFonts w:asciiTheme="majorHAnsi" w:hAnsiTheme="majorHAnsi"/>
                <w:sz w:val="22"/>
                <w:szCs w:val="22"/>
              </w:rPr>
              <w:t>Integration of patient-generated health data in the medical record</w:t>
            </w:r>
          </w:p>
          <w:p w:rsidR="008B182E" w:rsidRPr="008B182E" w:rsidRDefault="008B182E" w:rsidP="008B182E">
            <w:pPr>
              <w:pStyle w:val="ListParagraph"/>
              <w:numPr>
                <w:ilvl w:val="0"/>
                <w:numId w:val="24"/>
              </w:numPr>
              <w:rPr>
                <w:rFonts w:asciiTheme="majorHAnsi" w:hAnsiTheme="majorHAnsi"/>
                <w:sz w:val="22"/>
                <w:szCs w:val="22"/>
              </w:rPr>
            </w:pPr>
            <w:r w:rsidRPr="008B182E">
              <w:rPr>
                <w:rFonts w:asciiTheme="majorHAnsi" w:hAnsiTheme="majorHAnsi"/>
                <w:sz w:val="22"/>
                <w:szCs w:val="22"/>
              </w:rPr>
              <w:t>Patient-defined goals of care</w:t>
            </w:r>
          </w:p>
          <w:p w:rsidR="008B182E" w:rsidRDefault="008B182E" w:rsidP="008B182E">
            <w:pPr>
              <w:pStyle w:val="ListParagraph"/>
              <w:numPr>
                <w:ilvl w:val="0"/>
                <w:numId w:val="24"/>
              </w:numPr>
              <w:rPr>
                <w:rFonts w:asciiTheme="majorHAnsi" w:hAnsiTheme="majorHAnsi"/>
                <w:sz w:val="22"/>
                <w:szCs w:val="22"/>
              </w:rPr>
            </w:pPr>
            <w:r w:rsidRPr="008B182E">
              <w:rPr>
                <w:rFonts w:asciiTheme="majorHAnsi" w:hAnsiTheme="majorHAnsi"/>
                <w:sz w:val="22"/>
                <w:szCs w:val="22"/>
              </w:rPr>
              <w:t>Shared care planning</w:t>
            </w:r>
          </w:p>
          <w:p w:rsidR="008B182E" w:rsidRDefault="008B182E" w:rsidP="008B182E">
            <w:pPr>
              <w:rPr>
                <w:rFonts w:asciiTheme="majorHAnsi" w:hAnsiTheme="majorHAnsi"/>
                <w:sz w:val="22"/>
                <w:szCs w:val="22"/>
              </w:rPr>
            </w:pPr>
          </w:p>
          <w:p w:rsidR="008B182E" w:rsidRDefault="008B182E" w:rsidP="008B182E">
            <w:pPr>
              <w:rPr>
                <w:rFonts w:asciiTheme="majorHAnsi" w:hAnsiTheme="majorHAnsi"/>
                <w:sz w:val="22"/>
                <w:szCs w:val="22"/>
              </w:rPr>
            </w:pPr>
          </w:p>
          <w:p w:rsidR="008B182E" w:rsidRDefault="008B182E" w:rsidP="008B182E">
            <w:pPr>
              <w:rPr>
                <w:rFonts w:asciiTheme="majorHAnsi" w:hAnsiTheme="majorHAnsi"/>
                <w:sz w:val="22"/>
                <w:szCs w:val="22"/>
              </w:rPr>
            </w:pPr>
          </w:p>
          <w:p w:rsidR="008B182E" w:rsidRDefault="008B182E" w:rsidP="008B182E">
            <w:pPr>
              <w:rPr>
                <w:rFonts w:asciiTheme="majorHAnsi" w:hAnsiTheme="majorHAnsi"/>
                <w:sz w:val="22"/>
                <w:szCs w:val="22"/>
              </w:rPr>
            </w:pPr>
          </w:p>
          <w:p w:rsidR="008B182E" w:rsidRDefault="008B182E" w:rsidP="008B182E">
            <w:pPr>
              <w:rPr>
                <w:rFonts w:asciiTheme="majorHAnsi" w:hAnsiTheme="majorHAnsi"/>
                <w:sz w:val="22"/>
                <w:szCs w:val="22"/>
              </w:rPr>
            </w:pPr>
          </w:p>
          <w:p w:rsidR="008B182E" w:rsidRPr="008B182E" w:rsidRDefault="008B182E" w:rsidP="008B182E">
            <w:pPr>
              <w:rPr>
                <w:rFonts w:asciiTheme="majorHAnsi" w:hAnsiTheme="majorHAnsi"/>
                <w:sz w:val="22"/>
                <w:szCs w:val="22"/>
              </w:rPr>
            </w:pPr>
          </w:p>
        </w:tc>
      </w:tr>
      <w:tr w:rsidR="008B182E" w:rsidRPr="00CC642B" w:rsidTr="008B182E">
        <w:trPr>
          <w:trHeight w:val="2510"/>
        </w:trPr>
        <w:tc>
          <w:tcPr>
            <w:tcW w:w="1725" w:type="dxa"/>
            <w:vMerge w:val="restart"/>
            <w:tcBorders>
              <w:top w:val="single" w:sz="4" w:space="0" w:color="auto"/>
              <w:left w:val="single" w:sz="4" w:space="0" w:color="auto"/>
              <w:right w:val="single" w:sz="4" w:space="0" w:color="auto"/>
            </w:tcBorders>
            <w:shd w:val="clear" w:color="auto" w:fill="365F91" w:themeFill="accent1" w:themeFillShade="BF"/>
            <w:vAlign w:val="center"/>
          </w:tcPr>
          <w:p w:rsidR="008B182E" w:rsidRPr="005460EB" w:rsidRDefault="008B182E" w:rsidP="008B182E">
            <w:pPr>
              <w:jc w:val="center"/>
              <w:rPr>
                <w:rFonts w:asciiTheme="majorHAnsi" w:hAnsiTheme="majorHAnsi"/>
                <w:b/>
                <w:color w:val="FFFFFF" w:themeColor="background1"/>
                <w:sz w:val="22"/>
                <w:szCs w:val="22"/>
              </w:rPr>
            </w:pPr>
          </w:p>
          <w:p w:rsidR="008B182E" w:rsidRPr="005460EB" w:rsidRDefault="008B182E" w:rsidP="008B182E">
            <w:pPr>
              <w:jc w:val="center"/>
              <w:rPr>
                <w:rFonts w:asciiTheme="majorHAnsi" w:hAnsiTheme="majorHAnsi"/>
                <w:b/>
                <w:color w:val="FFFFFF" w:themeColor="background1"/>
                <w:sz w:val="22"/>
                <w:szCs w:val="22"/>
              </w:rPr>
            </w:pPr>
          </w:p>
          <w:p w:rsidR="008B182E" w:rsidRPr="005460EB" w:rsidRDefault="008B182E" w:rsidP="008B18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2021-2024</w:t>
            </w:r>
          </w:p>
          <w:p w:rsidR="008B182E" w:rsidRPr="005460EB" w:rsidRDefault="008B182E" w:rsidP="008B182E">
            <w:pPr>
              <w:jc w:val="center"/>
              <w:rPr>
                <w:rFonts w:asciiTheme="majorHAnsi" w:hAnsiTheme="majorHAnsi"/>
                <w:b/>
                <w:color w:val="FFFFFF" w:themeColor="background1"/>
                <w:sz w:val="22"/>
                <w:szCs w:val="22"/>
              </w:rPr>
            </w:pPr>
            <w:r w:rsidRPr="005460EB">
              <w:rPr>
                <w:rFonts w:asciiTheme="majorHAnsi" w:hAnsiTheme="majorHAnsi"/>
                <w:b/>
                <w:color w:val="FFFFFF" w:themeColor="background1"/>
                <w:sz w:val="22"/>
                <w:szCs w:val="22"/>
              </w:rPr>
              <w:t>Achieve  nationwide LHS</w:t>
            </w: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8B182E" w:rsidRPr="00CC642B" w:rsidRDefault="008B182E" w:rsidP="005610B9">
            <w:pPr>
              <w:rPr>
                <w:rFonts w:asciiTheme="majorHAnsi" w:hAnsiTheme="majorHAnsi"/>
                <w:sz w:val="22"/>
                <w:szCs w:val="22"/>
              </w:rPr>
            </w:pPr>
            <w:r w:rsidRPr="008B182E">
              <w:rPr>
                <w:rFonts w:asciiTheme="majorHAnsi" w:hAnsiTheme="majorHAnsi"/>
                <w:sz w:val="22"/>
                <w:szCs w:val="22"/>
              </w:rPr>
              <w:t>7. Call to action: Providers should demonstrate the value of their care to those who receive and pay for it using objective, trusted metrics.</w:t>
            </w:r>
          </w:p>
        </w:tc>
      </w:tr>
      <w:tr w:rsidR="008B182E" w:rsidRPr="00CC642B" w:rsidTr="008B182E">
        <w:trPr>
          <w:trHeight w:val="2690"/>
        </w:trPr>
        <w:tc>
          <w:tcPr>
            <w:tcW w:w="1725" w:type="dxa"/>
            <w:vMerge/>
            <w:tcBorders>
              <w:left w:val="single" w:sz="4" w:space="0" w:color="auto"/>
              <w:right w:val="single" w:sz="4" w:space="0" w:color="auto"/>
            </w:tcBorders>
            <w:shd w:val="clear" w:color="auto" w:fill="365F91" w:themeFill="accent1" w:themeFillShade="BF"/>
          </w:tcPr>
          <w:p w:rsidR="008B182E" w:rsidRPr="007577A8" w:rsidRDefault="008B182E" w:rsidP="005610B9">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8B182E" w:rsidRPr="00CC642B" w:rsidRDefault="008B182E" w:rsidP="005610B9">
            <w:pPr>
              <w:rPr>
                <w:rFonts w:asciiTheme="majorHAnsi" w:hAnsiTheme="majorHAnsi"/>
                <w:sz w:val="22"/>
                <w:szCs w:val="22"/>
              </w:rPr>
            </w:pPr>
            <w:r w:rsidRPr="008B182E">
              <w:rPr>
                <w:rFonts w:asciiTheme="majorHAnsi" w:hAnsiTheme="majorHAnsi"/>
                <w:sz w:val="22"/>
                <w:szCs w:val="22"/>
              </w:rPr>
              <w:t>8. Call to action: Providers and individuals should work together to substantially reduce the burden of care coordination through patient-centered tools and sharing and use of electronic health information.</w:t>
            </w:r>
          </w:p>
        </w:tc>
      </w:tr>
      <w:tr w:rsidR="008B182E" w:rsidRPr="00CC642B" w:rsidTr="008B182E">
        <w:trPr>
          <w:trHeight w:val="3140"/>
        </w:trPr>
        <w:tc>
          <w:tcPr>
            <w:tcW w:w="1725" w:type="dxa"/>
            <w:vMerge/>
            <w:tcBorders>
              <w:left w:val="single" w:sz="4" w:space="0" w:color="auto"/>
              <w:bottom w:val="single" w:sz="4" w:space="0" w:color="auto"/>
              <w:right w:val="single" w:sz="4" w:space="0" w:color="auto"/>
            </w:tcBorders>
            <w:shd w:val="clear" w:color="auto" w:fill="365F91" w:themeFill="accent1" w:themeFillShade="BF"/>
          </w:tcPr>
          <w:p w:rsidR="008B182E" w:rsidRPr="007577A8" w:rsidRDefault="008B182E" w:rsidP="005610B9">
            <w:pPr>
              <w:jc w:val="center"/>
              <w:rPr>
                <w:rFonts w:asciiTheme="majorHAnsi" w:hAnsiTheme="majorHAnsi"/>
                <w:b/>
                <w:color w:val="FFFFFF" w:themeColor="background1"/>
                <w:sz w:val="22"/>
                <w:szCs w:val="22"/>
              </w:rPr>
            </w:pPr>
          </w:p>
        </w:tc>
        <w:tc>
          <w:tcPr>
            <w:tcW w:w="15210" w:type="dxa"/>
            <w:tcBorders>
              <w:top w:val="single" w:sz="4" w:space="0" w:color="auto"/>
              <w:left w:val="single" w:sz="4" w:space="0" w:color="auto"/>
              <w:bottom w:val="single" w:sz="4" w:space="0" w:color="auto"/>
              <w:right w:val="single" w:sz="4" w:space="0" w:color="auto"/>
            </w:tcBorders>
            <w:shd w:val="clear" w:color="auto" w:fill="auto"/>
          </w:tcPr>
          <w:p w:rsidR="008B182E" w:rsidRPr="00CC642B" w:rsidRDefault="008B182E" w:rsidP="005610B9">
            <w:pPr>
              <w:rPr>
                <w:rFonts w:asciiTheme="majorHAnsi" w:hAnsiTheme="majorHAnsi"/>
                <w:sz w:val="22"/>
                <w:szCs w:val="22"/>
              </w:rPr>
            </w:pPr>
            <w:r w:rsidRPr="008B182E">
              <w:rPr>
                <w:rFonts w:asciiTheme="majorHAnsi" w:hAnsiTheme="majorHAnsi"/>
                <w:sz w:val="22"/>
                <w:szCs w:val="22"/>
              </w:rPr>
              <w:t>9. Call to action: Individuals should interact easily and seamlessly with their care team as they transition into and out of the health care system, communicating remotely with their care team as needed over time, rather than only in face-to-face care situations.</w:t>
            </w:r>
          </w:p>
        </w:tc>
      </w:tr>
    </w:tbl>
    <w:p w:rsidR="008B182E" w:rsidRPr="00985BD8" w:rsidRDefault="008B182E">
      <w:pPr>
        <w:rPr>
          <w:rFonts w:asciiTheme="majorHAnsi" w:hAnsiTheme="majorHAnsi"/>
        </w:rPr>
      </w:pPr>
    </w:p>
    <w:sectPr w:rsidR="008B182E" w:rsidRPr="00985BD8" w:rsidSect="00C95560">
      <w:headerReference w:type="default" r:id="rId9"/>
      <w:footerReference w:type="default" r:id="rId10"/>
      <w:pgSz w:w="2016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3E" w:rsidRDefault="0023153E" w:rsidP="006641EF">
      <w:r>
        <w:separator/>
      </w:r>
    </w:p>
  </w:endnote>
  <w:endnote w:type="continuationSeparator" w:id="0">
    <w:p w:rsidR="0023153E" w:rsidRDefault="0023153E" w:rsidP="0066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56280"/>
      <w:docPartObj>
        <w:docPartGallery w:val="Page Numbers (Bottom of Page)"/>
        <w:docPartUnique/>
      </w:docPartObj>
    </w:sdtPr>
    <w:sdtEndPr>
      <w:rPr>
        <w:noProof/>
      </w:rPr>
    </w:sdtEndPr>
    <w:sdtContent>
      <w:p w:rsidR="00A13827" w:rsidRDefault="008503AE">
        <w:pPr>
          <w:pStyle w:val="Footer"/>
        </w:pPr>
        <w:r>
          <w:fldChar w:fldCharType="begin"/>
        </w:r>
        <w:r w:rsidR="00A13827">
          <w:instrText xml:space="preserve"> PAGE   \* MERGEFORMAT </w:instrText>
        </w:r>
        <w:r>
          <w:fldChar w:fldCharType="separate"/>
        </w:r>
        <w:r w:rsidR="00CD4567">
          <w:rPr>
            <w:noProof/>
          </w:rPr>
          <w:t>1</w:t>
        </w:r>
        <w:r>
          <w:rPr>
            <w:noProof/>
          </w:rPr>
          <w:fldChar w:fldCharType="end"/>
        </w:r>
      </w:p>
    </w:sdtContent>
  </w:sdt>
  <w:p w:rsidR="00A13827" w:rsidRDefault="00A13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3E" w:rsidRDefault="0023153E" w:rsidP="006641EF">
      <w:r>
        <w:separator/>
      </w:r>
    </w:p>
  </w:footnote>
  <w:footnote w:type="continuationSeparator" w:id="0">
    <w:p w:rsidR="0023153E" w:rsidRDefault="0023153E" w:rsidP="0066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27" w:rsidRDefault="008A6CB4">
    <w:pPr>
      <w:pStyle w:val="Header"/>
    </w:pPr>
    <w:r>
      <w:t>2/23/2015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CEF"/>
    <w:multiLevelType w:val="hybridMultilevel"/>
    <w:tmpl w:val="BEC4F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C530D"/>
    <w:multiLevelType w:val="hybridMultilevel"/>
    <w:tmpl w:val="806AE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1316E"/>
    <w:multiLevelType w:val="hybridMultilevel"/>
    <w:tmpl w:val="2E747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8E36CE"/>
    <w:multiLevelType w:val="hybridMultilevel"/>
    <w:tmpl w:val="09A09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D37EA"/>
    <w:multiLevelType w:val="hybridMultilevel"/>
    <w:tmpl w:val="72FC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162DC9"/>
    <w:multiLevelType w:val="hybridMultilevel"/>
    <w:tmpl w:val="49D85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3C0668"/>
    <w:multiLevelType w:val="hybridMultilevel"/>
    <w:tmpl w:val="0B8C3B6E"/>
    <w:lvl w:ilvl="0" w:tplc="5CFC87AE">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ind w:left="1080" w:hanging="360"/>
      </w:pPr>
      <w:rPr>
        <w:rFonts w:hint="default"/>
      </w:rPr>
    </w:lvl>
    <w:lvl w:ilvl="2" w:tplc="3612D544" w:tentative="1">
      <w:start w:val="1"/>
      <w:numFmt w:val="bullet"/>
      <w:lvlText w:val="–"/>
      <w:lvlJc w:val="left"/>
      <w:pPr>
        <w:tabs>
          <w:tab w:val="num" w:pos="1800"/>
        </w:tabs>
        <w:ind w:left="1800" w:hanging="360"/>
      </w:pPr>
      <w:rPr>
        <w:rFonts w:ascii="Arial" w:hAnsi="Arial" w:hint="default"/>
      </w:rPr>
    </w:lvl>
    <w:lvl w:ilvl="3" w:tplc="532EA65A" w:tentative="1">
      <w:start w:val="1"/>
      <w:numFmt w:val="bullet"/>
      <w:lvlText w:val="–"/>
      <w:lvlJc w:val="left"/>
      <w:pPr>
        <w:tabs>
          <w:tab w:val="num" w:pos="2520"/>
        </w:tabs>
        <w:ind w:left="2520" w:hanging="360"/>
      </w:pPr>
      <w:rPr>
        <w:rFonts w:ascii="Arial" w:hAnsi="Arial" w:hint="default"/>
      </w:rPr>
    </w:lvl>
    <w:lvl w:ilvl="4" w:tplc="718A5094" w:tentative="1">
      <w:start w:val="1"/>
      <w:numFmt w:val="bullet"/>
      <w:lvlText w:val="–"/>
      <w:lvlJc w:val="left"/>
      <w:pPr>
        <w:tabs>
          <w:tab w:val="num" w:pos="3240"/>
        </w:tabs>
        <w:ind w:left="3240" w:hanging="360"/>
      </w:pPr>
      <w:rPr>
        <w:rFonts w:ascii="Arial" w:hAnsi="Arial" w:hint="default"/>
      </w:rPr>
    </w:lvl>
    <w:lvl w:ilvl="5" w:tplc="D41CC490" w:tentative="1">
      <w:start w:val="1"/>
      <w:numFmt w:val="bullet"/>
      <w:lvlText w:val="–"/>
      <w:lvlJc w:val="left"/>
      <w:pPr>
        <w:tabs>
          <w:tab w:val="num" w:pos="3960"/>
        </w:tabs>
        <w:ind w:left="3960" w:hanging="360"/>
      </w:pPr>
      <w:rPr>
        <w:rFonts w:ascii="Arial" w:hAnsi="Arial" w:hint="default"/>
      </w:rPr>
    </w:lvl>
    <w:lvl w:ilvl="6" w:tplc="6ED44658" w:tentative="1">
      <w:start w:val="1"/>
      <w:numFmt w:val="bullet"/>
      <w:lvlText w:val="–"/>
      <w:lvlJc w:val="left"/>
      <w:pPr>
        <w:tabs>
          <w:tab w:val="num" w:pos="4680"/>
        </w:tabs>
        <w:ind w:left="4680" w:hanging="360"/>
      </w:pPr>
      <w:rPr>
        <w:rFonts w:ascii="Arial" w:hAnsi="Arial" w:hint="default"/>
      </w:rPr>
    </w:lvl>
    <w:lvl w:ilvl="7" w:tplc="F86E2334" w:tentative="1">
      <w:start w:val="1"/>
      <w:numFmt w:val="bullet"/>
      <w:lvlText w:val="–"/>
      <w:lvlJc w:val="left"/>
      <w:pPr>
        <w:tabs>
          <w:tab w:val="num" w:pos="5400"/>
        </w:tabs>
        <w:ind w:left="5400" w:hanging="360"/>
      </w:pPr>
      <w:rPr>
        <w:rFonts w:ascii="Arial" w:hAnsi="Arial" w:hint="default"/>
      </w:rPr>
    </w:lvl>
    <w:lvl w:ilvl="8" w:tplc="EDB61F28" w:tentative="1">
      <w:start w:val="1"/>
      <w:numFmt w:val="bullet"/>
      <w:lvlText w:val="–"/>
      <w:lvlJc w:val="left"/>
      <w:pPr>
        <w:tabs>
          <w:tab w:val="num" w:pos="6120"/>
        </w:tabs>
        <w:ind w:left="6120" w:hanging="360"/>
      </w:pPr>
      <w:rPr>
        <w:rFonts w:ascii="Arial" w:hAnsi="Arial" w:hint="default"/>
      </w:rPr>
    </w:lvl>
  </w:abstractNum>
  <w:abstractNum w:abstractNumId="7">
    <w:nsid w:val="20964C89"/>
    <w:multiLevelType w:val="hybridMultilevel"/>
    <w:tmpl w:val="AC1E8FA6"/>
    <w:lvl w:ilvl="0" w:tplc="7F5A2E1E">
      <w:start w:val="1"/>
      <w:numFmt w:val="bullet"/>
      <w:lvlText w:val="–"/>
      <w:lvlJc w:val="left"/>
      <w:pPr>
        <w:tabs>
          <w:tab w:val="num" w:pos="720"/>
        </w:tabs>
        <w:ind w:left="720" w:hanging="360"/>
      </w:pPr>
      <w:rPr>
        <w:rFonts w:ascii="Arial" w:hAnsi="Arial" w:hint="default"/>
      </w:rPr>
    </w:lvl>
    <w:lvl w:ilvl="1" w:tplc="B99C0C66">
      <w:start w:val="1"/>
      <w:numFmt w:val="bullet"/>
      <w:lvlText w:val="–"/>
      <w:lvlJc w:val="left"/>
      <w:pPr>
        <w:tabs>
          <w:tab w:val="num" w:pos="1440"/>
        </w:tabs>
        <w:ind w:left="1440" w:hanging="360"/>
      </w:pPr>
      <w:rPr>
        <w:rFonts w:ascii="Arial" w:hAnsi="Arial" w:hint="default"/>
      </w:rPr>
    </w:lvl>
    <w:lvl w:ilvl="2" w:tplc="106AF0C6" w:tentative="1">
      <w:start w:val="1"/>
      <w:numFmt w:val="bullet"/>
      <w:lvlText w:val="–"/>
      <w:lvlJc w:val="left"/>
      <w:pPr>
        <w:tabs>
          <w:tab w:val="num" w:pos="2160"/>
        </w:tabs>
        <w:ind w:left="2160" w:hanging="360"/>
      </w:pPr>
      <w:rPr>
        <w:rFonts w:ascii="Arial" w:hAnsi="Arial" w:hint="default"/>
      </w:rPr>
    </w:lvl>
    <w:lvl w:ilvl="3" w:tplc="8A66F6B0" w:tentative="1">
      <w:start w:val="1"/>
      <w:numFmt w:val="bullet"/>
      <w:lvlText w:val="–"/>
      <w:lvlJc w:val="left"/>
      <w:pPr>
        <w:tabs>
          <w:tab w:val="num" w:pos="2880"/>
        </w:tabs>
        <w:ind w:left="2880" w:hanging="360"/>
      </w:pPr>
      <w:rPr>
        <w:rFonts w:ascii="Arial" w:hAnsi="Arial" w:hint="default"/>
      </w:rPr>
    </w:lvl>
    <w:lvl w:ilvl="4" w:tplc="562C4272" w:tentative="1">
      <w:start w:val="1"/>
      <w:numFmt w:val="bullet"/>
      <w:lvlText w:val="–"/>
      <w:lvlJc w:val="left"/>
      <w:pPr>
        <w:tabs>
          <w:tab w:val="num" w:pos="3600"/>
        </w:tabs>
        <w:ind w:left="3600" w:hanging="360"/>
      </w:pPr>
      <w:rPr>
        <w:rFonts w:ascii="Arial" w:hAnsi="Arial" w:hint="default"/>
      </w:rPr>
    </w:lvl>
    <w:lvl w:ilvl="5" w:tplc="5B9850A6" w:tentative="1">
      <w:start w:val="1"/>
      <w:numFmt w:val="bullet"/>
      <w:lvlText w:val="–"/>
      <w:lvlJc w:val="left"/>
      <w:pPr>
        <w:tabs>
          <w:tab w:val="num" w:pos="4320"/>
        </w:tabs>
        <w:ind w:left="4320" w:hanging="360"/>
      </w:pPr>
      <w:rPr>
        <w:rFonts w:ascii="Arial" w:hAnsi="Arial" w:hint="default"/>
      </w:rPr>
    </w:lvl>
    <w:lvl w:ilvl="6" w:tplc="893652C8" w:tentative="1">
      <w:start w:val="1"/>
      <w:numFmt w:val="bullet"/>
      <w:lvlText w:val="–"/>
      <w:lvlJc w:val="left"/>
      <w:pPr>
        <w:tabs>
          <w:tab w:val="num" w:pos="5040"/>
        </w:tabs>
        <w:ind w:left="5040" w:hanging="360"/>
      </w:pPr>
      <w:rPr>
        <w:rFonts w:ascii="Arial" w:hAnsi="Arial" w:hint="default"/>
      </w:rPr>
    </w:lvl>
    <w:lvl w:ilvl="7" w:tplc="4FBEC196" w:tentative="1">
      <w:start w:val="1"/>
      <w:numFmt w:val="bullet"/>
      <w:lvlText w:val="–"/>
      <w:lvlJc w:val="left"/>
      <w:pPr>
        <w:tabs>
          <w:tab w:val="num" w:pos="5760"/>
        </w:tabs>
        <w:ind w:left="5760" w:hanging="360"/>
      </w:pPr>
      <w:rPr>
        <w:rFonts w:ascii="Arial" w:hAnsi="Arial" w:hint="default"/>
      </w:rPr>
    </w:lvl>
    <w:lvl w:ilvl="8" w:tplc="48FE8D12" w:tentative="1">
      <w:start w:val="1"/>
      <w:numFmt w:val="bullet"/>
      <w:lvlText w:val="–"/>
      <w:lvlJc w:val="left"/>
      <w:pPr>
        <w:tabs>
          <w:tab w:val="num" w:pos="6480"/>
        </w:tabs>
        <w:ind w:left="6480" w:hanging="360"/>
      </w:pPr>
      <w:rPr>
        <w:rFonts w:ascii="Arial" w:hAnsi="Arial" w:hint="default"/>
      </w:rPr>
    </w:lvl>
  </w:abstractNum>
  <w:abstractNum w:abstractNumId="8">
    <w:nsid w:val="23D153D3"/>
    <w:multiLevelType w:val="hybridMultilevel"/>
    <w:tmpl w:val="D174E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9689A"/>
    <w:multiLevelType w:val="hybridMultilevel"/>
    <w:tmpl w:val="3C6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62ABE"/>
    <w:multiLevelType w:val="hybridMultilevel"/>
    <w:tmpl w:val="C3FC18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D46C0"/>
    <w:multiLevelType w:val="hybridMultilevel"/>
    <w:tmpl w:val="32844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00B19"/>
    <w:multiLevelType w:val="hybridMultilevel"/>
    <w:tmpl w:val="31643F6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BA0500"/>
    <w:multiLevelType w:val="hybridMultilevel"/>
    <w:tmpl w:val="182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A5E27"/>
    <w:multiLevelType w:val="hybridMultilevel"/>
    <w:tmpl w:val="E14E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D1F22"/>
    <w:multiLevelType w:val="hybridMultilevel"/>
    <w:tmpl w:val="0360C992"/>
    <w:lvl w:ilvl="0" w:tplc="99B07BD0">
      <w:start w:val="1"/>
      <w:numFmt w:val="bullet"/>
      <w:lvlText w:val="•"/>
      <w:lvlJc w:val="left"/>
      <w:pPr>
        <w:tabs>
          <w:tab w:val="num" w:pos="720"/>
        </w:tabs>
        <w:ind w:left="720" w:hanging="360"/>
      </w:pPr>
      <w:rPr>
        <w:rFonts w:ascii="Arial" w:hAnsi="Arial" w:hint="default"/>
      </w:rPr>
    </w:lvl>
    <w:lvl w:ilvl="1" w:tplc="5502B14A" w:tentative="1">
      <w:start w:val="1"/>
      <w:numFmt w:val="bullet"/>
      <w:lvlText w:val="•"/>
      <w:lvlJc w:val="left"/>
      <w:pPr>
        <w:tabs>
          <w:tab w:val="num" w:pos="1440"/>
        </w:tabs>
        <w:ind w:left="1440" w:hanging="360"/>
      </w:pPr>
      <w:rPr>
        <w:rFonts w:ascii="Arial" w:hAnsi="Arial" w:hint="default"/>
      </w:rPr>
    </w:lvl>
    <w:lvl w:ilvl="2" w:tplc="0C28BAE4" w:tentative="1">
      <w:start w:val="1"/>
      <w:numFmt w:val="bullet"/>
      <w:lvlText w:val="•"/>
      <w:lvlJc w:val="left"/>
      <w:pPr>
        <w:tabs>
          <w:tab w:val="num" w:pos="2160"/>
        </w:tabs>
        <w:ind w:left="2160" w:hanging="360"/>
      </w:pPr>
      <w:rPr>
        <w:rFonts w:ascii="Arial" w:hAnsi="Arial" w:hint="default"/>
      </w:rPr>
    </w:lvl>
    <w:lvl w:ilvl="3" w:tplc="59DA7A7C" w:tentative="1">
      <w:start w:val="1"/>
      <w:numFmt w:val="bullet"/>
      <w:lvlText w:val="•"/>
      <w:lvlJc w:val="left"/>
      <w:pPr>
        <w:tabs>
          <w:tab w:val="num" w:pos="2880"/>
        </w:tabs>
        <w:ind w:left="2880" w:hanging="360"/>
      </w:pPr>
      <w:rPr>
        <w:rFonts w:ascii="Arial" w:hAnsi="Arial" w:hint="default"/>
      </w:rPr>
    </w:lvl>
    <w:lvl w:ilvl="4" w:tplc="6562D04A" w:tentative="1">
      <w:start w:val="1"/>
      <w:numFmt w:val="bullet"/>
      <w:lvlText w:val="•"/>
      <w:lvlJc w:val="left"/>
      <w:pPr>
        <w:tabs>
          <w:tab w:val="num" w:pos="3600"/>
        </w:tabs>
        <w:ind w:left="3600" w:hanging="360"/>
      </w:pPr>
      <w:rPr>
        <w:rFonts w:ascii="Arial" w:hAnsi="Arial" w:hint="default"/>
      </w:rPr>
    </w:lvl>
    <w:lvl w:ilvl="5" w:tplc="5AC6B836" w:tentative="1">
      <w:start w:val="1"/>
      <w:numFmt w:val="bullet"/>
      <w:lvlText w:val="•"/>
      <w:lvlJc w:val="left"/>
      <w:pPr>
        <w:tabs>
          <w:tab w:val="num" w:pos="4320"/>
        </w:tabs>
        <w:ind w:left="4320" w:hanging="360"/>
      </w:pPr>
      <w:rPr>
        <w:rFonts w:ascii="Arial" w:hAnsi="Arial" w:hint="default"/>
      </w:rPr>
    </w:lvl>
    <w:lvl w:ilvl="6" w:tplc="7FBA98DA" w:tentative="1">
      <w:start w:val="1"/>
      <w:numFmt w:val="bullet"/>
      <w:lvlText w:val="•"/>
      <w:lvlJc w:val="left"/>
      <w:pPr>
        <w:tabs>
          <w:tab w:val="num" w:pos="5040"/>
        </w:tabs>
        <w:ind w:left="5040" w:hanging="360"/>
      </w:pPr>
      <w:rPr>
        <w:rFonts w:ascii="Arial" w:hAnsi="Arial" w:hint="default"/>
      </w:rPr>
    </w:lvl>
    <w:lvl w:ilvl="7" w:tplc="49CC63B8" w:tentative="1">
      <w:start w:val="1"/>
      <w:numFmt w:val="bullet"/>
      <w:lvlText w:val="•"/>
      <w:lvlJc w:val="left"/>
      <w:pPr>
        <w:tabs>
          <w:tab w:val="num" w:pos="5760"/>
        </w:tabs>
        <w:ind w:left="5760" w:hanging="360"/>
      </w:pPr>
      <w:rPr>
        <w:rFonts w:ascii="Arial" w:hAnsi="Arial" w:hint="default"/>
      </w:rPr>
    </w:lvl>
    <w:lvl w:ilvl="8" w:tplc="20085E12" w:tentative="1">
      <w:start w:val="1"/>
      <w:numFmt w:val="bullet"/>
      <w:lvlText w:val="•"/>
      <w:lvlJc w:val="left"/>
      <w:pPr>
        <w:tabs>
          <w:tab w:val="num" w:pos="6480"/>
        </w:tabs>
        <w:ind w:left="6480" w:hanging="360"/>
      </w:pPr>
      <w:rPr>
        <w:rFonts w:ascii="Arial" w:hAnsi="Arial" w:hint="default"/>
      </w:rPr>
    </w:lvl>
  </w:abstractNum>
  <w:abstractNum w:abstractNumId="16">
    <w:nsid w:val="57C97E99"/>
    <w:multiLevelType w:val="hybridMultilevel"/>
    <w:tmpl w:val="4EEE6632"/>
    <w:lvl w:ilvl="0" w:tplc="FC1A31FC">
      <w:start w:val="1"/>
      <w:numFmt w:val="bullet"/>
      <w:lvlText w:val="•"/>
      <w:lvlJc w:val="left"/>
      <w:pPr>
        <w:tabs>
          <w:tab w:val="num" w:pos="720"/>
        </w:tabs>
        <w:ind w:left="720" w:hanging="360"/>
      </w:pPr>
      <w:rPr>
        <w:rFonts w:ascii="Arial" w:hAnsi="Arial" w:hint="default"/>
      </w:rPr>
    </w:lvl>
    <w:lvl w:ilvl="1" w:tplc="FF04E268" w:tentative="1">
      <w:start w:val="1"/>
      <w:numFmt w:val="bullet"/>
      <w:lvlText w:val="•"/>
      <w:lvlJc w:val="left"/>
      <w:pPr>
        <w:tabs>
          <w:tab w:val="num" w:pos="1440"/>
        </w:tabs>
        <w:ind w:left="1440" w:hanging="360"/>
      </w:pPr>
      <w:rPr>
        <w:rFonts w:ascii="Arial" w:hAnsi="Arial" w:hint="default"/>
      </w:rPr>
    </w:lvl>
    <w:lvl w:ilvl="2" w:tplc="48E04A76" w:tentative="1">
      <w:start w:val="1"/>
      <w:numFmt w:val="bullet"/>
      <w:lvlText w:val="•"/>
      <w:lvlJc w:val="left"/>
      <w:pPr>
        <w:tabs>
          <w:tab w:val="num" w:pos="2160"/>
        </w:tabs>
        <w:ind w:left="2160" w:hanging="360"/>
      </w:pPr>
      <w:rPr>
        <w:rFonts w:ascii="Arial" w:hAnsi="Arial" w:hint="default"/>
      </w:rPr>
    </w:lvl>
    <w:lvl w:ilvl="3" w:tplc="EBC45B60" w:tentative="1">
      <w:start w:val="1"/>
      <w:numFmt w:val="bullet"/>
      <w:lvlText w:val="•"/>
      <w:lvlJc w:val="left"/>
      <w:pPr>
        <w:tabs>
          <w:tab w:val="num" w:pos="2880"/>
        </w:tabs>
        <w:ind w:left="2880" w:hanging="360"/>
      </w:pPr>
      <w:rPr>
        <w:rFonts w:ascii="Arial" w:hAnsi="Arial" w:hint="default"/>
      </w:rPr>
    </w:lvl>
    <w:lvl w:ilvl="4" w:tplc="F34069C8" w:tentative="1">
      <w:start w:val="1"/>
      <w:numFmt w:val="bullet"/>
      <w:lvlText w:val="•"/>
      <w:lvlJc w:val="left"/>
      <w:pPr>
        <w:tabs>
          <w:tab w:val="num" w:pos="3600"/>
        </w:tabs>
        <w:ind w:left="3600" w:hanging="360"/>
      </w:pPr>
      <w:rPr>
        <w:rFonts w:ascii="Arial" w:hAnsi="Arial" w:hint="default"/>
      </w:rPr>
    </w:lvl>
    <w:lvl w:ilvl="5" w:tplc="7848043A" w:tentative="1">
      <w:start w:val="1"/>
      <w:numFmt w:val="bullet"/>
      <w:lvlText w:val="•"/>
      <w:lvlJc w:val="left"/>
      <w:pPr>
        <w:tabs>
          <w:tab w:val="num" w:pos="4320"/>
        </w:tabs>
        <w:ind w:left="4320" w:hanging="360"/>
      </w:pPr>
      <w:rPr>
        <w:rFonts w:ascii="Arial" w:hAnsi="Arial" w:hint="default"/>
      </w:rPr>
    </w:lvl>
    <w:lvl w:ilvl="6" w:tplc="8D7C6BC4" w:tentative="1">
      <w:start w:val="1"/>
      <w:numFmt w:val="bullet"/>
      <w:lvlText w:val="•"/>
      <w:lvlJc w:val="left"/>
      <w:pPr>
        <w:tabs>
          <w:tab w:val="num" w:pos="5040"/>
        </w:tabs>
        <w:ind w:left="5040" w:hanging="360"/>
      </w:pPr>
      <w:rPr>
        <w:rFonts w:ascii="Arial" w:hAnsi="Arial" w:hint="default"/>
      </w:rPr>
    </w:lvl>
    <w:lvl w:ilvl="7" w:tplc="CA60826C" w:tentative="1">
      <w:start w:val="1"/>
      <w:numFmt w:val="bullet"/>
      <w:lvlText w:val="•"/>
      <w:lvlJc w:val="left"/>
      <w:pPr>
        <w:tabs>
          <w:tab w:val="num" w:pos="5760"/>
        </w:tabs>
        <w:ind w:left="5760" w:hanging="360"/>
      </w:pPr>
      <w:rPr>
        <w:rFonts w:ascii="Arial" w:hAnsi="Arial" w:hint="default"/>
      </w:rPr>
    </w:lvl>
    <w:lvl w:ilvl="8" w:tplc="E46A4AD2" w:tentative="1">
      <w:start w:val="1"/>
      <w:numFmt w:val="bullet"/>
      <w:lvlText w:val="•"/>
      <w:lvlJc w:val="left"/>
      <w:pPr>
        <w:tabs>
          <w:tab w:val="num" w:pos="6480"/>
        </w:tabs>
        <w:ind w:left="6480" w:hanging="360"/>
      </w:pPr>
      <w:rPr>
        <w:rFonts w:ascii="Arial" w:hAnsi="Arial" w:hint="default"/>
      </w:rPr>
    </w:lvl>
  </w:abstractNum>
  <w:abstractNum w:abstractNumId="17">
    <w:nsid w:val="5937566F"/>
    <w:multiLevelType w:val="hybridMultilevel"/>
    <w:tmpl w:val="001C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A1CC1"/>
    <w:multiLevelType w:val="hybridMultilevel"/>
    <w:tmpl w:val="BB96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92F46"/>
    <w:multiLevelType w:val="hybridMultilevel"/>
    <w:tmpl w:val="A8B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87557"/>
    <w:multiLevelType w:val="hybridMultilevel"/>
    <w:tmpl w:val="9DD8CE88"/>
    <w:lvl w:ilvl="0" w:tplc="C1AC8582">
      <w:start w:val="1"/>
      <w:numFmt w:val="bullet"/>
      <w:lvlText w:val="–"/>
      <w:lvlJc w:val="left"/>
      <w:pPr>
        <w:tabs>
          <w:tab w:val="num" w:pos="720"/>
        </w:tabs>
        <w:ind w:left="720" w:hanging="360"/>
      </w:pPr>
      <w:rPr>
        <w:rFonts w:ascii="Arial" w:hAnsi="Arial" w:hint="default"/>
      </w:rPr>
    </w:lvl>
    <w:lvl w:ilvl="1" w:tplc="5B8209C6">
      <w:start w:val="1"/>
      <w:numFmt w:val="bullet"/>
      <w:lvlText w:val="–"/>
      <w:lvlJc w:val="left"/>
      <w:pPr>
        <w:tabs>
          <w:tab w:val="num" w:pos="1440"/>
        </w:tabs>
        <w:ind w:left="1440" w:hanging="360"/>
      </w:pPr>
      <w:rPr>
        <w:rFonts w:ascii="Arial" w:hAnsi="Arial" w:hint="default"/>
      </w:rPr>
    </w:lvl>
    <w:lvl w:ilvl="2" w:tplc="54FEF07E" w:tentative="1">
      <w:start w:val="1"/>
      <w:numFmt w:val="bullet"/>
      <w:lvlText w:val="–"/>
      <w:lvlJc w:val="left"/>
      <w:pPr>
        <w:tabs>
          <w:tab w:val="num" w:pos="2160"/>
        </w:tabs>
        <w:ind w:left="2160" w:hanging="360"/>
      </w:pPr>
      <w:rPr>
        <w:rFonts w:ascii="Arial" w:hAnsi="Arial" w:hint="default"/>
      </w:rPr>
    </w:lvl>
    <w:lvl w:ilvl="3" w:tplc="AF6E8A44" w:tentative="1">
      <w:start w:val="1"/>
      <w:numFmt w:val="bullet"/>
      <w:lvlText w:val="–"/>
      <w:lvlJc w:val="left"/>
      <w:pPr>
        <w:tabs>
          <w:tab w:val="num" w:pos="2880"/>
        </w:tabs>
        <w:ind w:left="2880" w:hanging="360"/>
      </w:pPr>
      <w:rPr>
        <w:rFonts w:ascii="Arial" w:hAnsi="Arial" w:hint="default"/>
      </w:rPr>
    </w:lvl>
    <w:lvl w:ilvl="4" w:tplc="F15E6A8E" w:tentative="1">
      <w:start w:val="1"/>
      <w:numFmt w:val="bullet"/>
      <w:lvlText w:val="–"/>
      <w:lvlJc w:val="left"/>
      <w:pPr>
        <w:tabs>
          <w:tab w:val="num" w:pos="3600"/>
        </w:tabs>
        <w:ind w:left="3600" w:hanging="360"/>
      </w:pPr>
      <w:rPr>
        <w:rFonts w:ascii="Arial" w:hAnsi="Arial" w:hint="default"/>
      </w:rPr>
    </w:lvl>
    <w:lvl w:ilvl="5" w:tplc="390E4076" w:tentative="1">
      <w:start w:val="1"/>
      <w:numFmt w:val="bullet"/>
      <w:lvlText w:val="–"/>
      <w:lvlJc w:val="left"/>
      <w:pPr>
        <w:tabs>
          <w:tab w:val="num" w:pos="4320"/>
        </w:tabs>
        <w:ind w:left="4320" w:hanging="360"/>
      </w:pPr>
      <w:rPr>
        <w:rFonts w:ascii="Arial" w:hAnsi="Arial" w:hint="default"/>
      </w:rPr>
    </w:lvl>
    <w:lvl w:ilvl="6" w:tplc="7378524C" w:tentative="1">
      <w:start w:val="1"/>
      <w:numFmt w:val="bullet"/>
      <w:lvlText w:val="–"/>
      <w:lvlJc w:val="left"/>
      <w:pPr>
        <w:tabs>
          <w:tab w:val="num" w:pos="5040"/>
        </w:tabs>
        <w:ind w:left="5040" w:hanging="360"/>
      </w:pPr>
      <w:rPr>
        <w:rFonts w:ascii="Arial" w:hAnsi="Arial" w:hint="default"/>
      </w:rPr>
    </w:lvl>
    <w:lvl w:ilvl="7" w:tplc="C7268446" w:tentative="1">
      <w:start w:val="1"/>
      <w:numFmt w:val="bullet"/>
      <w:lvlText w:val="–"/>
      <w:lvlJc w:val="left"/>
      <w:pPr>
        <w:tabs>
          <w:tab w:val="num" w:pos="5760"/>
        </w:tabs>
        <w:ind w:left="5760" w:hanging="360"/>
      </w:pPr>
      <w:rPr>
        <w:rFonts w:ascii="Arial" w:hAnsi="Arial" w:hint="default"/>
      </w:rPr>
    </w:lvl>
    <w:lvl w:ilvl="8" w:tplc="D2CC73E4" w:tentative="1">
      <w:start w:val="1"/>
      <w:numFmt w:val="bullet"/>
      <w:lvlText w:val="–"/>
      <w:lvlJc w:val="left"/>
      <w:pPr>
        <w:tabs>
          <w:tab w:val="num" w:pos="6480"/>
        </w:tabs>
        <w:ind w:left="6480" w:hanging="360"/>
      </w:pPr>
      <w:rPr>
        <w:rFonts w:ascii="Arial" w:hAnsi="Arial" w:hint="default"/>
      </w:rPr>
    </w:lvl>
  </w:abstractNum>
  <w:abstractNum w:abstractNumId="21">
    <w:nsid w:val="63311DD0"/>
    <w:multiLevelType w:val="hybridMultilevel"/>
    <w:tmpl w:val="09A09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63B88"/>
    <w:multiLevelType w:val="hybridMultilevel"/>
    <w:tmpl w:val="03508F64"/>
    <w:lvl w:ilvl="0" w:tplc="5CFC87AE">
      <w:start w:val="1"/>
      <w:numFmt w:val="bullet"/>
      <w:lvlText w:val="–"/>
      <w:lvlJc w:val="left"/>
      <w:pPr>
        <w:tabs>
          <w:tab w:val="num" w:pos="720"/>
        </w:tabs>
        <w:ind w:left="720" w:hanging="360"/>
      </w:pPr>
      <w:rPr>
        <w:rFonts w:ascii="Arial" w:hAnsi="Arial" w:hint="default"/>
      </w:rPr>
    </w:lvl>
    <w:lvl w:ilvl="1" w:tplc="81866D9A">
      <w:start w:val="1"/>
      <w:numFmt w:val="bullet"/>
      <w:lvlText w:val="–"/>
      <w:lvlJc w:val="left"/>
      <w:pPr>
        <w:tabs>
          <w:tab w:val="num" w:pos="1440"/>
        </w:tabs>
        <w:ind w:left="1440" w:hanging="360"/>
      </w:pPr>
      <w:rPr>
        <w:rFonts w:ascii="Arial" w:hAnsi="Arial" w:hint="default"/>
      </w:rPr>
    </w:lvl>
    <w:lvl w:ilvl="2" w:tplc="3612D544" w:tentative="1">
      <w:start w:val="1"/>
      <w:numFmt w:val="bullet"/>
      <w:lvlText w:val="–"/>
      <w:lvlJc w:val="left"/>
      <w:pPr>
        <w:tabs>
          <w:tab w:val="num" w:pos="2160"/>
        </w:tabs>
        <w:ind w:left="2160" w:hanging="360"/>
      </w:pPr>
      <w:rPr>
        <w:rFonts w:ascii="Arial" w:hAnsi="Arial" w:hint="default"/>
      </w:rPr>
    </w:lvl>
    <w:lvl w:ilvl="3" w:tplc="532EA65A" w:tentative="1">
      <w:start w:val="1"/>
      <w:numFmt w:val="bullet"/>
      <w:lvlText w:val="–"/>
      <w:lvlJc w:val="left"/>
      <w:pPr>
        <w:tabs>
          <w:tab w:val="num" w:pos="2880"/>
        </w:tabs>
        <w:ind w:left="2880" w:hanging="360"/>
      </w:pPr>
      <w:rPr>
        <w:rFonts w:ascii="Arial" w:hAnsi="Arial" w:hint="default"/>
      </w:rPr>
    </w:lvl>
    <w:lvl w:ilvl="4" w:tplc="718A5094" w:tentative="1">
      <w:start w:val="1"/>
      <w:numFmt w:val="bullet"/>
      <w:lvlText w:val="–"/>
      <w:lvlJc w:val="left"/>
      <w:pPr>
        <w:tabs>
          <w:tab w:val="num" w:pos="3600"/>
        </w:tabs>
        <w:ind w:left="3600" w:hanging="360"/>
      </w:pPr>
      <w:rPr>
        <w:rFonts w:ascii="Arial" w:hAnsi="Arial" w:hint="default"/>
      </w:rPr>
    </w:lvl>
    <w:lvl w:ilvl="5" w:tplc="D41CC490" w:tentative="1">
      <w:start w:val="1"/>
      <w:numFmt w:val="bullet"/>
      <w:lvlText w:val="–"/>
      <w:lvlJc w:val="left"/>
      <w:pPr>
        <w:tabs>
          <w:tab w:val="num" w:pos="4320"/>
        </w:tabs>
        <w:ind w:left="4320" w:hanging="360"/>
      </w:pPr>
      <w:rPr>
        <w:rFonts w:ascii="Arial" w:hAnsi="Arial" w:hint="default"/>
      </w:rPr>
    </w:lvl>
    <w:lvl w:ilvl="6" w:tplc="6ED44658" w:tentative="1">
      <w:start w:val="1"/>
      <w:numFmt w:val="bullet"/>
      <w:lvlText w:val="–"/>
      <w:lvlJc w:val="left"/>
      <w:pPr>
        <w:tabs>
          <w:tab w:val="num" w:pos="5040"/>
        </w:tabs>
        <w:ind w:left="5040" w:hanging="360"/>
      </w:pPr>
      <w:rPr>
        <w:rFonts w:ascii="Arial" w:hAnsi="Arial" w:hint="default"/>
      </w:rPr>
    </w:lvl>
    <w:lvl w:ilvl="7" w:tplc="F86E2334" w:tentative="1">
      <w:start w:val="1"/>
      <w:numFmt w:val="bullet"/>
      <w:lvlText w:val="–"/>
      <w:lvlJc w:val="left"/>
      <w:pPr>
        <w:tabs>
          <w:tab w:val="num" w:pos="5760"/>
        </w:tabs>
        <w:ind w:left="5760" w:hanging="360"/>
      </w:pPr>
      <w:rPr>
        <w:rFonts w:ascii="Arial" w:hAnsi="Arial" w:hint="default"/>
      </w:rPr>
    </w:lvl>
    <w:lvl w:ilvl="8" w:tplc="EDB61F28" w:tentative="1">
      <w:start w:val="1"/>
      <w:numFmt w:val="bullet"/>
      <w:lvlText w:val="–"/>
      <w:lvlJc w:val="left"/>
      <w:pPr>
        <w:tabs>
          <w:tab w:val="num" w:pos="6480"/>
        </w:tabs>
        <w:ind w:left="6480" w:hanging="360"/>
      </w:pPr>
      <w:rPr>
        <w:rFonts w:ascii="Arial" w:hAnsi="Arial" w:hint="default"/>
      </w:rPr>
    </w:lvl>
  </w:abstractNum>
  <w:abstractNum w:abstractNumId="23">
    <w:nsid w:val="6F4A3C19"/>
    <w:multiLevelType w:val="hybridMultilevel"/>
    <w:tmpl w:val="B32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DC50E4"/>
    <w:multiLevelType w:val="hybridMultilevel"/>
    <w:tmpl w:val="F6688D30"/>
    <w:lvl w:ilvl="0" w:tplc="ECC29616">
      <w:start w:val="1"/>
      <w:numFmt w:val="bullet"/>
      <w:lvlText w:val="–"/>
      <w:lvlJc w:val="left"/>
      <w:pPr>
        <w:tabs>
          <w:tab w:val="num" w:pos="720"/>
        </w:tabs>
        <w:ind w:left="720" w:hanging="360"/>
      </w:pPr>
      <w:rPr>
        <w:rFonts w:ascii="Arial" w:hAnsi="Arial" w:hint="default"/>
      </w:rPr>
    </w:lvl>
    <w:lvl w:ilvl="1" w:tplc="3BE05B52">
      <w:start w:val="1"/>
      <w:numFmt w:val="bullet"/>
      <w:lvlText w:val="–"/>
      <w:lvlJc w:val="left"/>
      <w:pPr>
        <w:tabs>
          <w:tab w:val="num" w:pos="1440"/>
        </w:tabs>
        <w:ind w:left="1440" w:hanging="360"/>
      </w:pPr>
      <w:rPr>
        <w:rFonts w:ascii="Arial" w:hAnsi="Arial" w:hint="default"/>
      </w:rPr>
    </w:lvl>
    <w:lvl w:ilvl="2" w:tplc="B2C60998" w:tentative="1">
      <w:start w:val="1"/>
      <w:numFmt w:val="bullet"/>
      <w:lvlText w:val="–"/>
      <w:lvlJc w:val="left"/>
      <w:pPr>
        <w:tabs>
          <w:tab w:val="num" w:pos="2160"/>
        </w:tabs>
        <w:ind w:left="2160" w:hanging="360"/>
      </w:pPr>
      <w:rPr>
        <w:rFonts w:ascii="Arial" w:hAnsi="Arial" w:hint="default"/>
      </w:rPr>
    </w:lvl>
    <w:lvl w:ilvl="3" w:tplc="458692F0" w:tentative="1">
      <w:start w:val="1"/>
      <w:numFmt w:val="bullet"/>
      <w:lvlText w:val="–"/>
      <w:lvlJc w:val="left"/>
      <w:pPr>
        <w:tabs>
          <w:tab w:val="num" w:pos="2880"/>
        </w:tabs>
        <w:ind w:left="2880" w:hanging="360"/>
      </w:pPr>
      <w:rPr>
        <w:rFonts w:ascii="Arial" w:hAnsi="Arial" w:hint="default"/>
      </w:rPr>
    </w:lvl>
    <w:lvl w:ilvl="4" w:tplc="946A3238" w:tentative="1">
      <w:start w:val="1"/>
      <w:numFmt w:val="bullet"/>
      <w:lvlText w:val="–"/>
      <w:lvlJc w:val="left"/>
      <w:pPr>
        <w:tabs>
          <w:tab w:val="num" w:pos="3600"/>
        </w:tabs>
        <w:ind w:left="3600" w:hanging="360"/>
      </w:pPr>
      <w:rPr>
        <w:rFonts w:ascii="Arial" w:hAnsi="Arial" w:hint="default"/>
      </w:rPr>
    </w:lvl>
    <w:lvl w:ilvl="5" w:tplc="16C007A2" w:tentative="1">
      <w:start w:val="1"/>
      <w:numFmt w:val="bullet"/>
      <w:lvlText w:val="–"/>
      <w:lvlJc w:val="left"/>
      <w:pPr>
        <w:tabs>
          <w:tab w:val="num" w:pos="4320"/>
        </w:tabs>
        <w:ind w:left="4320" w:hanging="360"/>
      </w:pPr>
      <w:rPr>
        <w:rFonts w:ascii="Arial" w:hAnsi="Arial" w:hint="default"/>
      </w:rPr>
    </w:lvl>
    <w:lvl w:ilvl="6" w:tplc="503A4088" w:tentative="1">
      <w:start w:val="1"/>
      <w:numFmt w:val="bullet"/>
      <w:lvlText w:val="–"/>
      <w:lvlJc w:val="left"/>
      <w:pPr>
        <w:tabs>
          <w:tab w:val="num" w:pos="5040"/>
        </w:tabs>
        <w:ind w:left="5040" w:hanging="360"/>
      </w:pPr>
      <w:rPr>
        <w:rFonts w:ascii="Arial" w:hAnsi="Arial" w:hint="default"/>
      </w:rPr>
    </w:lvl>
    <w:lvl w:ilvl="7" w:tplc="00287F9C" w:tentative="1">
      <w:start w:val="1"/>
      <w:numFmt w:val="bullet"/>
      <w:lvlText w:val="–"/>
      <w:lvlJc w:val="left"/>
      <w:pPr>
        <w:tabs>
          <w:tab w:val="num" w:pos="5760"/>
        </w:tabs>
        <w:ind w:left="5760" w:hanging="360"/>
      </w:pPr>
      <w:rPr>
        <w:rFonts w:ascii="Arial" w:hAnsi="Arial" w:hint="default"/>
      </w:rPr>
    </w:lvl>
    <w:lvl w:ilvl="8" w:tplc="0C0ED24C" w:tentative="1">
      <w:start w:val="1"/>
      <w:numFmt w:val="bullet"/>
      <w:lvlText w:val="–"/>
      <w:lvlJc w:val="left"/>
      <w:pPr>
        <w:tabs>
          <w:tab w:val="num" w:pos="6480"/>
        </w:tabs>
        <w:ind w:left="6480" w:hanging="360"/>
      </w:pPr>
      <w:rPr>
        <w:rFonts w:ascii="Arial" w:hAnsi="Arial" w:hint="default"/>
      </w:rPr>
    </w:lvl>
  </w:abstractNum>
  <w:abstractNum w:abstractNumId="25">
    <w:nsid w:val="75A7552F"/>
    <w:multiLevelType w:val="hybridMultilevel"/>
    <w:tmpl w:val="4F863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F35296"/>
    <w:multiLevelType w:val="hybridMultilevel"/>
    <w:tmpl w:val="254EA3DE"/>
    <w:lvl w:ilvl="0" w:tplc="FC1A31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8"/>
  </w:num>
  <w:num w:numId="4">
    <w:abstractNumId w:val="0"/>
  </w:num>
  <w:num w:numId="5">
    <w:abstractNumId w:val="5"/>
  </w:num>
  <w:num w:numId="6">
    <w:abstractNumId w:val="4"/>
  </w:num>
  <w:num w:numId="7">
    <w:abstractNumId w:val="19"/>
  </w:num>
  <w:num w:numId="8">
    <w:abstractNumId w:val="21"/>
  </w:num>
  <w:num w:numId="9">
    <w:abstractNumId w:val="3"/>
  </w:num>
  <w:num w:numId="10">
    <w:abstractNumId w:val="1"/>
  </w:num>
  <w:num w:numId="11">
    <w:abstractNumId w:val="13"/>
  </w:num>
  <w:num w:numId="12">
    <w:abstractNumId w:val="18"/>
  </w:num>
  <w:num w:numId="13">
    <w:abstractNumId w:val="17"/>
  </w:num>
  <w:num w:numId="14">
    <w:abstractNumId w:val="14"/>
  </w:num>
  <w:num w:numId="15">
    <w:abstractNumId w:val="9"/>
  </w:num>
  <w:num w:numId="16">
    <w:abstractNumId w:val="20"/>
  </w:num>
  <w:num w:numId="17">
    <w:abstractNumId w:val="24"/>
  </w:num>
  <w:num w:numId="18">
    <w:abstractNumId w:val="7"/>
  </w:num>
  <w:num w:numId="19">
    <w:abstractNumId w:val="15"/>
  </w:num>
  <w:num w:numId="20">
    <w:abstractNumId w:val="23"/>
  </w:num>
  <w:num w:numId="21">
    <w:abstractNumId w:val="16"/>
  </w:num>
  <w:num w:numId="22">
    <w:abstractNumId w:val="11"/>
  </w:num>
  <w:num w:numId="23">
    <w:abstractNumId w:val="2"/>
  </w:num>
  <w:num w:numId="24">
    <w:abstractNumId w:val="25"/>
  </w:num>
  <w:num w:numId="25">
    <w:abstractNumId w:val="26"/>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CB"/>
    <w:rsid w:val="00006A2D"/>
    <w:rsid w:val="00035336"/>
    <w:rsid w:val="000411F1"/>
    <w:rsid w:val="0008554C"/>
    <w:rsid w:val="0009068F"/>
    <w:rsid w:val="00095E4E"/>
    <w:rsid w:val="000B1BA2"/>
    <w:rsid w:val="000C64F2"/>
    <w:rsid w:val="000D6504"/>
    <w:rsid w:val="000E1F43"/>
    <w:rsid w:val="000F1D99"/>
    <w:rsid w:val="000F26A0"/>
    <w:rsid w:val="001015A0"/>
    <w:rsid w:val="00102CC0"/>
    <w:rsid w:val="0010447D"/>
    <w:rsid w:val="00105F2A"/>
    <w:rsid w:val="00112536"/>
    <w:rsid w:val="00113745"/>
    <w:rsid w:val="001233EF"/>
    <w:rsid w:val="00126B1D"/>
    <w:rsid w:val="001347D1"/>
    <w:rsid w:val="00186D1C"/>
    <w:rsid w:val="00195A8D"/>
    <w:rsid w:val="001B47D2"/>
    <w:rsid w:val="001F6E8E"/>
    <w:rsid w:val="002102CC"/>
    <w:rsid w:val="002312FA"/>
    <w:rsid w:val="0023153E"/>
    <w:rsid w:val="00244E63"/>
    <w:rsid w:val="0025083E"/>
    <w:rsid w:val="00261640"/>
    <w:rsid w:val="00285151"/>
    <w:rsid w:val="00285F03"/>
    <w:rsid w:val="002865E5"/>
    <w:rsid w:val="002951FB"/>
    <w:rsid w:val="003039B4"/>
    <w:rsid w:val="00306C09"/>
    <w:rsid w:val="003105F5"/>
    <w:rsid w:val="00322ACF"/>
    <w:rsid w:val="003438D4"/>
    <w:rsid w:val="003561B2"/>
    <w:rsid w:val="003A21E3"/>
    <w:rsid w:val="003B4759"/>
    <w:rsid w:val="003B4C6B"/>
    <w:rsid w:val="003C1C2C"/>
    <w:rsid w:val="003D25A3"/>
    <w:rsid w:val="003F3EC0"/>
    <w:rsid w:val="0040435B"/>
    <w:rsid w:val="00420FB0"/>
    <w:rsid w:val="004267AB"/>
    <w:rsid w:val="00447B3B"/>
    <w:rsid w:val="004567E4"/>
    <w:rsid w:val="00475F3A"/>
    <w:rsid w:val="00476A40"/>
    <w:rsid w:val="004A54C9"/>
    <w:rsid w:val="004D7D21"/>
    <w:rsid w:val="004E4AA5"/>
    <w:rsid w:val="00500186"/>
    <w:rsid w:val="00503D06"/>
    <w:rsid w:val="00517895"/>
    <w:rsid w:val="00524B99"/>
    <w:rsid w:val="005277BA"/>
    <w:rsid w:val="0053183F"/>
    <w:rsid w:val="00544BB3"/>
    <w:rsid w:val="005460EB"/>
    <w:rsid w:val="00560813"/>
    <w:rsid w:val="005831D5"/>
    <w:rsid w:val="0059379A"/>
    <w:rsid w:val="00593A3B"/>
    <w:rsid w:val="005C3021"/>
    <w:rsid w:val="005F2CAD"/>
    <w:rsid w:val="005F3495"/>
    <w:rsid w:val="00654EF9"/>
    <w:rsid w:val="006641EF"/>
    <w:rsid w:val="00687E91"/>
    <w:rsid w:val="00692562"/>
    <w:rsid w:val="006B64E2"/>
    <w:rsid w:val="00712BBD"/>
    <w:rsid w:val="007251D7"/>
    <w:rsid w:val="0072725A"/>
    <w:rsid w:val="00747467"/>
    <w:rsid w:val="007577A8"/>
    <w:rsid w:val="00757E33"/>
    <w:rsid w:val="007A535C"/>
    <w:rsid w:val="007F4569"/>
    <w:rsid w:val="007F6A10"/>
    <w:rsid w:val="0080245B"/>
    <w:rsid w:val="0081375A"/>
    <w:rsid w:val="008503AE"/>
    <w:rsid w:val="00867FD5"/>
    <w:rsid w:val="008701AD"/>
    <w:rsid w:val="008A6CB4"/>
    <w:rsid w:val="008B182E"/>
    <w:rsid w:val="008B40F4"/>
    <w:rsid w:val="008D09B0"/>
    <w:rsid w:val="008D7397"/>
    <w:rsid w:val="008E048F"/>
    <w:rsid w:val="008E36DC"/>
    <w:rsid w:val="0095632E"/>
    <w:rsid w:val="00976BB5"/>
    <w:rsid w:val="00985BD8"/>
    <w:rsid w:val="009B66BA"/>
    <w:rsid w:val="00A13827"/>
    <w:rsid w:val="00A36284"/>
    <w:rsid w:val="00A37F6A"/>
    <w:rsid w:val="00AB1FCB"/>
    <w:rsid w:val="00AC0085"/>
    <w:rsid w:val="00AF1D7D"/>
    <w:rsid w:val="00B025E0"/>
    <w:rsid w:val="00B13189"/>
    <w:rsid w:val="00B45E00"/>
    <w:rsid w:val="00B5595E"/>
    <w:rsid w:val="00B946AC"/>
    <w:rsid w:val="00BC3BE1"/>
    <w:rsid w:val="00BF274B"/>
    <w:rsid w:val="00C04CF0"/>
    <w:rsid w:val="00C131B9"/>
    <w:rsid w:val="00C17D92"/>
    <w:rsid w:val="00C2367D"/>
    <w:rsid w:val="00C57880"/>
    <w:rsid w:val="00C67306"/>
    <w:rsid w:val="00C8322A"/>
    <w:rsid w:val="00C95560"/>
    <w:rsid w:val="00CC642B"/>
    <w:rsid w:val="00CD4567"/>
    <w:rsid w:val="00CE7609"/>
    <w:rsid w:val="00D010C9"/>
    <w:rsid w:val="00D5385D"/>
    <w:rsid w:val="00D53931"/>
    <w:rsid w:val="00D54939"/>
    <w:rsid w:val="00D77343"/>
    <w:rsid w:val="00D9136C"/>
    <w:rsid w:val="00DA3413"/>
    <w:rsid w:val="00DD1477"/>
    <w:rsid w:val="00DE02B1"/>
    <w:rsid w:val="00DF156D"/>
    <w:rsid w:val="00E4105C"/>
    <w:rsid w:val="00E425CD"/>
    <w:rsid w:val="00E61135"/>
    <w:rsid w:val="00E71657"/>
    <w:rsid w:val="00E720A8"/>
    <w:rsid w:val="00EC2CB9"/>
    <w:rsid w:val="00ED457C"/>
    <w:rsid w:val="00F07B6F"/>
    <w:rsid w:val="00F07EEB"/>
    <w:rsid w:val="00F103DE"/>
    <w:rsid w:val="00F12898"/>
    <w:rsid w:val="00F1753F"/>
    <w:rsid w:val="00F230AD"/>
    <w:rsid w:val="00F25F43"/>
    <w:rsid w:val="00F41897"/>
    <w:rsid w:val="00F501EF"/>
    <w:rsid w:val="00F6045D"/>
    <w:rsid w:val="00F73A4F"/>
    <w:rsid w:val="00F749C7"/>
    <w:rsid w:val="00F74E03"/>
    <w:rsid w:val="00FB3ABE"/>
    <w:rsid w:val="00FC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CB"/>
    <w:pPr>
      <w:ind w:left="720"/>
      <w:contextualSpacing/>
    </w:pPr>
  </w:style>
  <w:style w:type="table" w:styleId="TableGrid">
    <w:name w:val="Table Grid"/>
    <w:basedOn w:val="TableNormal"/>
    <w:uiPriority w:val="59"/>
    <w:rsid w:val="00583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1AD"/>
    <w:rPr>
      <w:rFonts w:ascii="Tahoma" w:hAnsi="Tahoma" w:cs="Tahoma"/>
      <w:sz w:val="16"/>
      <w:szCs w:val="16"/>
    </w:rPr>
  </w:style>
  <w:style w:type="character" w:customStyle="1" w:styleId="BalloonTextChar">
    <w:name w:val="Balloon Text Char"/>
    <w:basedOn w:val="DefaultParagraphFont"/>
    <w:link w:val="BalloonText"/>
    <w:uiPriority w:val="99"/>
    <w:semiHidden/>
    <w:rsid w:val="008701AD"/>
    <w:rPr>
      <w:rFonts w:ascii="Tahoma" w:hAnsi="Tahoma" w:cs="Tahoma"/>
      <w:sz w:val="16"/>
      <w:szCs w:val="16"/>
    </w:rPr>
  </w:style>
  <w:style w:type="paragraph" w:styleId="Header">
    <w:name w:val="header"/>
    <w:basedOn w:val="Normal"/>
    <w:link w:val="HeaderChar"/>
    <w:uiPriority w:val="99"/>
    <w:unhideWhenUsed/>
    <w:rsid w:val="006641EF"/>
    <w:pPr>
      <w:tabs>
        <w:tab w:val="center" w:pos="4680"/>
        <w:tab w:val="right" w:pos="9360"/>
      </w:tabs>
    </w:pPr>
  </w:style>
  <w:style w:type="character" w:customStyle="1" w:styleId="HeaderChar">
    <w:name w:val="Header Char"/>
    <w:basedOn w:val="DefaultParagraphFont"/>
    <w:link w:val="Header"/>
    <w:uiPriority w:val="99"/>
    <w:rsid w:val="006641EF"/>
  </w:style>
  <w:style w:type="paragraph" w:styleId="Footer">
    <w:name w:val="footer"/>
    <w:basedOn w:val="Normal"/>
    <w:link w:val="FooterChar"/>
    <w:uiPriority w:val="99"/>
    <w:unhideWhenUsed/>
    <w:rsid w:val="006641EF"/>
    <w:pPr>
      <w:tabs>
        <w:tab w:val="center" w:pos="4680"/>
        <w:tab w:val="right" w:pos="9360"/>
      </w:tabs>
    </w:pPr>
  </w:style>
  <w:style w:type="character" w:customStyle="1" w:styleId="FooterChar">
    <w:name w:val="Footer Char"/>
    <w:basedOn w:val="DefaultParagraphFont"/>
    <w:link w:val="Footer"/>
    <w:uiPriority w:val="99"/>
    <w:rsid w:val="006641EF"/>
  </w:style>
  <w:style w:type="character" w:styleId="Hyperlink">
    <w:name w:val="Hyperlink"/>
    <w:basedOn w:val="DefaultParagraphFont"/>
    <w:uiPriority w:val="99"/>
    <w:unhideWhenUsed/>
    <w:rsid w:val="003F3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CB"/>
    <w:pPr>
      <w:ind w:left="720"/>
      <w:contextualSpacing/>
    </w:pPr>
  </w:style>
  <w:style w:type="table" w:styleId="TableGrid">
    <w:name w:val="Table Grid"/>
    <w:basedOn w:val="TableNormal"/>
    <w:uiPriority w:val="59"/>
    <w:rsid w:val="00583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1AD"/>
    <w:rPr>
      <w:rFonts w:ascii="Tahoma" w:hAnsi="Tahoma" w:cs="Tahoma"/>
      <w:sz w:val="16"/>
      <w:szCs w:val="16"/>
    </w:rPr>
  </w:style>
  <w:style w:type="character" w:customStyle="1" w:styleId="BalloonTextChar">
    <w:name w:val="Balloon Text Char"/>
    <w:basedOn w:val="DefaultParagraphFont"/>
    <w:link w:val="BalloonText"/>
    <w:uiPriority w:val="99"/>
    <w:semiHidden/>
    <w:rsid w:val="008701AD"/>
    <w:rPr>
      <w:rFonts w:ascii="Tahoma" w:hAnsi="Tahoma" w:cs="Tahoma"/>
      <w:sz w:val="16"/>
      <w:szCs w:val="16"/>
    </w:rPr>
  </w:style>
  <w:style w:type="paragraph" w:styleId="Header">
    <w:name w:val="header"/>
    <w:basedOn w:val="Normal"/>
    <w:link w:val="HeaderChar"/>
    <w:uiPriority w:val="99"/>
    <w:unhideWhenUsed/>
    <w:rsid w:val="006641EF"/>
    <w:pPr>
      <w:tabs>
        <w:tab w:val="center" w:pos="4680"/>
        <w:tab w:val="right" w:pos="9360"/>
      </w:tabs>
    </w:pPr>
  </w:style>
  <w:style w:type="character" w:customStyle="1" w:styleId="HeaderChar">
    <w:name w:val="Header Char"/>
    <w:basedOn w:val="DefaultParagraphFont"/>
    <w:link w:val="Header"/>
    <w:uiPriority w:val="99"/>
    <w:rsid w:val="006641EF"/>
  </w:style>
  <w:style w:type="paragraph" w:styleId="Footer">
    <w:name w:val="footer"/>
    <w:basedOn w:val="Normal"/>
    <w:link w:val="FooterChar"/>
    <w:uiPriority w:val="99"/>
    <w:unhideWhenUsed/>
    <w:rsid w:val="006641EF"/>
    <w:pPr>
      <w:tabs>
        <w:tab w:val="center" w:pos="4680"/>
        <w:tab w:val="right" w:pos="9360"/>
      </w:tabs>
    </w:pPr>
  </w:style>
  <w:style w:type="character" w:customStyle="1" w:styleId="FooterChar">
    <w:name w:val="Footer Char"/>
    <w:basedOn w:val="DefaultParagraphFont"/>
    <w:link w:val="Footer"/>
    <w:uiPriority w:val="99"/>
    <w:rsid w:val="006641EF"/>
  </w:style>
  <w:style w:type="character" w:styleId="Hyperlink">
    <w:name w:val="Hyperlink"/>
    <w:basedOn w:val="DefaultParagraphFont"/>
    <w:uiPriority w:val="99"/>
    <w:unhideWhenUsed/>
    <w:rsid w:val="003F3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315">
      <w:bodyDiv w:val="1"/>
      <w:marLeft w:val="0"/>
      <w:marRight w:val="0"/>
      <w:marTop w:val="0"/>
      <w:marBottom w:val="0"/>
      <w:divBdr>
        <w:top w:val="none" w:sz="0" w:space="0" w:color="auto"/>
        <w:left w:val="none" w:sz="0" w:space="0" w:color="auto"/>
        <w:bottom w:val="none" w:sz="0" w:space="0" w:color="auto"/>
        <w:right w:val="none" w:sz="0" w:space="0" w:color="auto"/>
      </w:divBdr>
      <w:divsChild>
        <w:div w:id="1054040151">
          <w:marLeft w:val="1166"/>
          <w:marRight w:val="0"/>
          <w:marTop w:val="106"/>
          <w:marBottom w:val="0"/>
          <w:divBdr>
            <w:top w:val="none" w:sz="0" w:space="0" w:color="auto"/>
            <w:left w:val="none" w:sz="0" w:space="0" w:color="auto"/>
            <w:bottom w:val="none" w:sz="0" w:space="0" w:color="auto"/>
            <w:right w:val="none" w:sz="0" w:space="0" w:color="auto"/>
          </w:divBdr>
        </w:div>
      </w:divsChild>
    </w:div>
    <w:div w:id="216667962">
      <w:bodyDiv w:val="1"/>
      <w:marLeft w:val="0"/>
      <w:marRight w:val="0"/>
      <w:marTop w:val="0"/>
      <w:marBottom w:val="0"/>
      <w:divBdr>
        <w:top w:val="none" w:sz="0" w:space="0" w:color="auto"/>
        <w:left w:val="none" w:sz="0" w:space="0" w:color="auto"/>
        <w:bottom w:val="none" w:sz="0" w:space="0" w:color="auto"/>
        <w:right w:val="none" w:sz="0" w:space="0" w:color="auto"/>
      </w:divBdr>
      <w:divsChild>
        <w:div w:id="2004433057">
          <w:marLeft w:val="1166"/>
          <w:marRight w:val="0"/>
          <w:marTop w:val="106"/>
          <w:marBottom w:val="0"/>
          <w:divBdr>
            <w:top w:val="none" w:sz="0" w:space="0" w:color="auto"/>
            <w:left w:val="none" w:sz="0" w:space="0" w:color="auto"/>
            <w:bottom w:val="none" w:sz="0" w:space="0" w:color="auto"/>
            <w:right w:val="none" w:sz="0" w:space="0" w:color="auto"/>
          </w:divBdr>
        </w:div>
      </w:divsChild>
    </w:div>
    <w:div w:id="288047429">
      <w:bodyDiv w:val="1"/>
      <w:marLeft w:val="0"/>
      <w:marRight w:val="0"/>
      <w:marTop w:val="0"/>
      <w:marBottom w:val="0"/>
      <w:divBdr>
        <w:top w:val="none" w:sz="0" w:space="0" w:color="auto"/>
        <w:left w:val="none" w:sz="0" w:space="0" w:color="auto"/>
        <w:bottom w:val="none" w:sz="0" w:space="0" w:color="auto"/>
        <w:right w:val="none" w:sz="0" w:space="0" w:color="auto"/>
      </w:divBdr>
      <w:divsChild>
        <w:div w:id="1737165665">
          <w:marLeft w:val="547"/>
          <w:marRight w:val="0"/>
          <w:marTop w:val="120"/>
          <w:marBottom w:val="0"/>
          <w:divBdr>
            <w:top w:val="none" w:sz="0" w:space="0" w:color="auto"/>
            <w:left w:val="none" w:sz="0" w:space="0" w:color="auto"/>
            <w:bottom w:val="none" w:sz="0" w:space="0" w:color="auto"/>
            <w:right w:val="none" w:sz="0" w:space="0" w:color="auto"/>
          </w:divBdr>
        </w:div>
      </w:divsChild>
    </w:div>
    <w:div w:id="667250435">
      <w:bodyDiv w:val="1"/>
      <w:marLeft w:val="0"/>
      <w:marRight w:val="0"/>
      <w:marTop w:val="0"/>
      <w:marBottom w:val="0"/>
      <w:divBdr>
        <w:top w:val="none" w:sz="0" w:space="0" w:color="auto"/>
        <w:left w:val="none" w:sz="0" w:space="0" w:color="auto"/>
        <w:bottom w:val="none" w:sz="0" w:space="0" w:color="auto"/>
        <w:right w:val="none" w:sz="0" w:space="0" w:color="auto"/>
      </w:divBdr>
      <w:divsChild>
        <w:div w:id="92283401">
          <w:marLeft w:val="1166"/>
          <w:marRight w:val="0"/>
          <w:marTop w:val="106"/>
          <w:marBottom w:val="0"/>
          <w:divBdr>
            <w:top w:val="none" w:sz="0" w:space="0" w:color="auto"/>
            <w:left w:val="none" w:sz="0" w:space="0" w:color="auto"/>
            <w:bottom w:val="none" w:sz="0" w:space="0" w:color="auto"/>
            <w:right w:val="none" w:sz="0" w:space="0" w:color="auto"/>
          </w:divBdr>
        </w:div>
        <w:div w:id="296032942">
          <w:marLeft w:val="1166"/>
          <w:marRight w:val="0"/>
          <w:marTop w:val="106"/>
          <w:marBottom w:val="0"/>
          <w:divBdr>
            <w:top w:val="none" w:sz="0" w:space="0" w:color="auto"/>
            <w:left w:val="none" w:sz="0" w:space="0" w:color="auto"/>
            <w:bottom w:val="none" w:sz="0" w:space="0" w:color="auto"/>
            <w:right w:val="none" w:sz="0" w:space="0" w:color="auto"/>
          </w:divBdr>
        </w:div>
        <w:div w:id="1058473428">
          <w:marLeft w:val="1166"/>
          <w:marRight w:val="0"/>
          <w:marTop w:val="106"/>
          <w:marBottom w:val="0"/>
          <w:divBdr>
            <w:top w:val="none" w:sz="0" w:space="0" w:color="auto"/>
            <w:left w:val="none" w:sz="0" w:space="0" w:color="auto"/>
            <w:bottom w:val="none" w:sz="0" w:space="0" w:color="auto"/>
            <w:right w:val="none" w:sz="0" w:space="0" w:color="auto"/>
          </w:divBdr>
        </w:div>
      </w:divsChild>
    </w:div>
    <w:div w:id="1239170414">
      <w:bodyDiv w:val="1"/>
      <w:marLeft w:val="0"/>
      <w:marRight w:val="0"/>
      <w:marTop w:val="0"/>
      <w:marBottom w:val="0"/>
      <w:divBdr>
        <w:top w:val="none" w:sz="0" w:space="0" w:color="auto"/>
        <w:left w:val="none" w:sz="0" w:space="0" w:color="auto"/>
        <w:bottom w:val="none" w:sz="0" w:space="0" w:color="auto"/>
        <w:right w:val="none" w:sz="0" w:space="0" w:color="auto"/>
      </w:divBdr>
    </w:div>
    <w:div w:id="1263101033">
      <w:bodyDiv w:val="1"/>
      <w:marLeft w:val="0"/>
      <w:marRight w:val="0"/>
      <w:marTop w:val="0"/>
      <w:marBottom w:val="0"/>
      <w:divBdr>
        <w:top w:val="none" w:sz="0" w:space="0" w:color="auto"/>
        <w:left w:val="none" w:sz="0" w:space="0" w:color="auto"/>
        <w:bottom w:val="none" w:sz="0" w:space="0" w:color="auto"/>
        <w:right w:val="none" w:sz="0" w:space="0" w:color="auto"/>
      </w:divBdr>
      <w:divsChild>
        <w:div w:id="296574958">
          <w:marLeft w:val="1166"/>
          <w:marRight w:val="0"/>
          <w:marTop w:val="106"/>
          <w:marBottom w:val="0"/>
          <w:divBdr>
            <w:top w:val="none" w:sz="0" w:space="0" w:color="auto"/>
            <w:left w:val="none" w:sz="0" w:space="0" w:color="auto"/>
            <w:bottom w:val="none" w:sz="0" w:space="0" w:color="auto"/>
            <w:right w:val="none" w:sz="0" w:space="0" w:color="auto"/>
          </w:divBdr>
        </w:div>
      </w:divsChild>
    </w:div>
    <w:div w:id="1698659186">
      <w:bodyDiv w:val="1"/>
      <w:marLeft w:val="0"/>
      <w:marRight w:val="0"/>
      <w:marTop w:val="0"/>
      <w:marBottom w:val="0"/>
      <w:divBdr>
        <w:top w:val="none" w:sz="0" w:space="0" w:color="auto"/>
        <w:left w:val="none" w:sz="0" w:space="0" w:color="auto"/>
        <w:bottom w:val="none" w:sz="0" w:space="0" w:color="auto"/>
        <w:right w:val="none" w:sz="0" w:space="0" w:color="auto"/>
      </w:divBdr>
      <w:divsChild>
        <w:div w:id="1329021816">
          <w:marLeft w:val="274"/>
          <w:marRight w:val="0"/>
          <w:marTop w:val="0"/>
          <w:marBottom w:val="0"/>
          <w:divBdr>
            <w:top w:val="none" w:sz="0" w:space="0" w:color="auto"/>
            <w:left w:val="none" w:sz="0" w:space="0" w:color="auto"/>
            <w:bottom w:val="none" w:sz="0" w:space="0" w:color="auto"/>
            <w:right w:val="none" w:sz="0" w:space="0" w:color="auto"/>
          </w:divBdr>
        </w:div>
        <w:div w:id="1365866800">
          <w:marLeft w:val="274"/>
          <w:marRight w:val="0"/>
          <w:marTop w:val="0"/>
          <w:marBottom w:val="0"/>
          <w:divBdr>
            <w:top w:val="none" w:sz="0" w:space="0" w:color="auto"/>
            <w:left w:val="none" w:sz="0" w:space="0" w:color="auto"/>
            <w:bottom w:val="none" w:sz="0" w:space="0" w:color="auto"/>
            <w:right w:val="none" w:sz="0" w:space="0" w:color="auto"/>
          </w:divBdr>
        </w:div>
        <w:div w:id="1570262643">
          <w:marLeft w:val="274"/>
          <w:marRight w:val="0"/>
          <w:marTop w:val="0"/>
          <w:marBottom w:val="0"/>
          <w:divBdr>
            <w:top w:val="none" w:sz="0" w:space="0" w:color="auto"/>
            <w:left w:val="none" w:sz="0" w:space="0" w:color="auto"/>
            <w:bottom w:val="none" w:sz="0" w:space="0" w:color="auto"/>
            <w:right w:val="none" w:sz="0" w:space="0" w:color="auto"/>
          </w:divBdr>
        </w:div>
        <w:div w:id="409619480">
          <w:marLeft w:val="274"/>
          <w:marRight w:val="0"/>
          <w:marTop w:val="0"/>
          <w:marBottom w:val="0"/>
          <w:divBdr>
            <w:top w:val="none" w:sz="0" w:space="0" w:color="auto"/>
            <w:left w:val="none" w:sz="0" w:space="0" w:color="auto"/>
            <w:bottom w:val="none" w:sz="0" w:space="0" w:color="auto"/>
            <w:right w:val="none" w:sz="0" w:space="0" w:color="auto"/>
          </w:divBdr>
        </w:div>
      </w:divsChild>
    </w:div>
    <w:div w:id="1726488614">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0612-0AB0-4991-9C2D-FB10BBCE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2623</Words>
  <Characters>14953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Bechtel</dc:creator>
  <cp:lastModifiedBy>Lonnie Moore</cp:lastModifiedBy>
  <cp:revision>2</cp:revision>
  <cp:lastPrinted>2015-01-06T18:36:00Z</cp:lastPrinted>
  <dcterms:created xsi:type="dcterms:W3CDTF">2015-02-23T15:13:00Z</dcterms:created>
  <dcterms:modified xsi:type="dcterms:W3CDTF">2015-02-23T15:13:00Z</dcterms:modified>
</cp:coreProperties>
</file>