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FB" w:rsidRDefault="005A71FB" w:rsidP="00094310">
      <w:pPr>
        <w:tabs>
          <w:tab w:val="left" w:pos="900"/>
          <w:tab w:val="left" w:pos="2790"/>
        </w:tabs>
      </w:pPr>
      <w:bookmarkStart w:id="0" w:name="_GoBack"/>
      <w:bookmarkEnd w:id="0"/>
    </w:p>
    <w:tbl>
      <w:tblPr>
        <w:tblStyle w:val="MediumShading1-Accent11"/>
        <w:tblW w:w="5000" w:type="pct"/>
        <w:jc w:val="center"/>
        <w:tblLook w:val="04A0"/>
      </w:tblPr>
      <w:tblGrid>
        <w:gridCol w:w="5508"/>
        <w:gridCol w:w="5508"/>
      </w:tblGrid>
      <w:tr w:rsidR="009E41F2" w:rsidRPr="002E56FA">
        <w:trPr>
          <w:cnfStyle w:val="100000000000"/>
          <w:tblHeader/>
          <w:jc w:val="center"/>
        </w:trPr>
        <w:tc>
          <w:tcPr>
            <w:cnfStyle w:val="001000000000"/>
            <w:tcW w:w="5000" w:type="pct"/>
            <w:gridSpan w:val="2"/>
          </w:tcPr>
          <w:p w:rsidR="009E41F2" w:rsidRPr="002E56FA" w:rsidRDefault="0094438A" w:rsidP="009E41F2">
            <w:r>
              <w:rPr>
                <w:rFonts w:ascii="Calibri" w:hAnsi="Calibri"/>
              </w:rPr>
              <w:t>Complete EHR Definition</w:t>
            </w:r>
          </w:p>
        </w:tc>
      </w:tr>
      <w:tr w:rsidR="009E41F2" w:rsidRPr="00CB43D8">
        <w:trPr>
          <w:cnfStyle w:val="100000000000"/>
          <w:trHeight w:val="727"/>
          <w:tblHeader/>
          <w:jc w:val="center"/>
        </w:trPr>
        <w:tc>
          <w:tcPr>
            <w:cnfStyle w:val="001000000000"/>
            <w:tcW w:w="5000" w:type="pct"/>
            <w:gridSpan w:val="2"/>
            <w:shd w:val="clear" w:color="auto" w:fill="DBE5F1" w:themeFill="accent1" w:themeFillTint="33"/>
          </w:tcPr>
          <w:p w:rsidR="009E41F2" w:rsidRPr="00A36FD5" w:rsidRDefault="009E41F2" w:rsidP="009E41F2">
            <w:pPr>
              <w:tabs>
                <w:tab w:val="left" w:pos="2640"/>
              </w:tabs>
              <w:spacing w:after="60"/>
              <w:ind w:left="90" w:hanging="90"/>
              <w:rPr>
                <w:color w:val="auto"/>
                <w:sz w:val="20"/>
                <w:szCs w:val="20"/>
              </w:rPr>
            </w:pPr>
            <w:r w:rsidRPr="00A36FD5">
              <w:rPr>
                <w:color w:val="auto"/>
                <w:sz w:val="20"/>
                <w:szCs w:val="20"/>
              </w:rPr>
              <w:t>MU Objective</w:t>
            </w:r>
            <w:r w:rsidRPr="00A36FD5">
              <w:rPr>
                <w:color w:val="auto"/>
                <w:sz w:val="20"/>
                <w:szCs w:val="20"/>
              </w:rPr>
              <w:tab/>
            </w:r>
          </w:p>
          <w:p w:rsidR="009E41F2" w:rsidRPr="00B44B7B" w:rsidRDefault="009E41F2" w:rsidP="009E41F2">
            <w:pPr>
              <w:rPr>
                <w:b w:val="0"/>
                <w:color w:val="auto"/>
                <w:sz w:val="20"/>
                <w:szCs w:val="20"/>
                <w:lang w:bidi="en-US"/>
              </w:rPr>
            </w:pPr>
            <w:r w:rsidRPr="00B44B7B">
              <w:rPr>
                <w:b w:val="0"/>
                <w:color w:val="auto"/>
                <w:sz w:val="20"/>
              </w:rPr>
              <w:t>N/A</w:t>
            </w:r>
          </w:p>
        </w:tc>
      </w:tr>
      <w:tr w:rsidR="009E41F2" w:rsidRPr="00A36FD5">
        <w:trPr>
          <w:cnfStyle w:val="100000000000"/>
          <w:trHeight w:val="367"/>
          <w:tblHeader/>
          <w:jc w:val="center"/>
        </w:trPr>
        <w:tc>
          <w:tcPr>
            <w:cnfStyle w:val="001000000000"/>
            <w:tcW w:w="2500" w:type="pct"/>
            <w:tcBorders>
              <w:right w:val="single" w:sz="8" w:space="0" w:color="7BA0CD" w:themeColor="accent1" w:themeTint="BF"/>
            </w:tcBorders>
            <w:shd w:val="clear" w:color="auto" w:fill="DBE5F1" w:themeFill="accent1" w:themeFillTint="33"/>
          </w:tcPr>
          <w:p w:rsidR="00FA1DA9" w:rsidRDefault="009E41F2" w:rsidP="0094438A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A36FD5">
              <w:rPr>
                <w:color w:val="auto"/>
                <w:sz w:val="20"/>
                <w:szCs w:val="20"/>
              </w:rPr>
              <w:t xml:space="preserve">Preamble FR Citation: </w:t>
            </w:r>
            <w:r w:rsidR="009879C1" w:rsidRPr="00AD5E11">
              <w:rPr>
                <w:b w:val="0"/>
                <w:color w:val="auto"/>
                <w:sz w:val="20"/>
                <w:szCs w:val="20"/>
              </w:rPr>
              <w:t>79 FR</w:t>
            </w:r>
            <w:r w:rsidRPr="00A36FD5">
              <w:rPr>
                <w:color w:val="auto"/>
                <w:sz w:val="20"/>
                <w:szCs w:val="20"/>
              </w:rPr>
              <w:t xml:space="preserve"> </w:t>
            </w:r>
            <w:r w:rsidR="00713B25">
              <w:rPr>
                <w:b w:val="0"/>
                <w:color w:val="auto"/>
                <w:sz w:val="20"/>
                <w:szCs w:val="20"/>
              </w:rPr>
              <w:t>1091</w:t>
            </w:r>
            <w:r w:rsidR="0094438A"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left w:val="single" w:sz="8" w:space="0" w:color="7BA0CD" w:themeColor="accent1" w:themeTint="BF"/>
            </w:tcBorders>
            <w:shd w:val="clear" w:color="auto" w:fill="DBE5F1" w:themeFill="accent1" w:themeFillTint="33"/>
          </w:tcPr>
          <w:p w:rsidR="009E41F2" w:rsidRPr="00A36FD5" w:rsidRDefault="009E41F2" w:rsidP="009E41F2">
            <w:pPr>
              <w:cnfStyle w:val="10000000000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A36FD5">
              <w:rPr>
                <w:bCs w:val="0"/>
                <w:color w:val="auto"/>
                <w:sz w:val="20"/>
                <w:szCs w:val="20"/>
              </w:rPr>
              <w:t>Specific questions in preamble?</w:t>
            </w:r>
            <w:r w:rsidRPr="00A36FD5">
              <w:rPr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>
              <w:rPr>
                <w:b w:val="0"/>
                <w:bCs w:val="0"/>
                <w:i/>
                <w:color w:val="auto"/>
                <w:sz w:val="20"/>
                <w:szCs w:val="20"/>
              </w:rPr>
              <w:t>Yes</w:t>
            </w:r>
          </w:p>
        </w:tc>
      </w:tr>
      <w:tr w:rsidR="009E41F2" w:rsidRPr="00A36FD5">
        <w:trPr>
          <w:cnfStyle w:val="100000000000"/>
          <w:tblHeader/>
          <w:jc w:val="center"/>
        </w:trPr>
        <w:tc>
          <w:tcPr>
            <w:cnfStyle w:val="001000000000"/>
            <w:tcW w:w="5000" w:type="pct"/>
            <w:gridSpan w:val="2"/>
            <w:shd w:val="clear" w:color="auto" w:fill="FFFFFF" w:themeFill="background1"/>
          </w:tcPr>
          <w:p w:rsidR="009E41F2" w:rsidRPr="00A36FD5" w:rsidRDefault="009E41F2" w:rsidP="009E41F2">
            <w:pPr>
              <w:spacing w:after="60"/>
              <w:rPr>
                <w:color w:val="auto"/>
                <w:sz w:val="20"/>
                <w:szCs w:val="20"/>
              </w:rPr>
            </w:pPr>
            <w:r w:rsidRPr="00A36FD5">
              <w:rPr>
                <w:color w:val="auto"/>
                <w:sz w:val="20"/>
                <w:szCs w:val="20"/>
              </w:rPr>
              <w:t xml:space="preserve">Public Comment Field: </w:t>
            </w:r>
          </w:p>
          <w:p w:rsidR="009E41F2" w:rsidRPr="00A36FD5" w:rsidRDefault="009E41F2" w:rsidP="009E41F2">
            <w:pPr>
              <w:spacing w:after="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9879C1" w:rsidRPr="00653BBA" w:rsidRDefault="009879C1" w:rsidP="00094310">
      <w:pPr>
        <w:tabs>
          <w:tab w:val="left" w:pos="900"/>
          <w:tab w:val="left" w:pos="2790"/>
        </w:tabs>
      </w:pPr>
    </w:p>
    <w:tbl>
      <w:tblPr>
        <w:tblStyle w:val="MediumShading1-Accent11"/>
        <w:tblW w:w="5000" w:type="pct"/>
        <w:jc w:val="center"/>
        <w:tblLook w:val="04A0"/>
      </w:tblPr>
      <w:tblGrid>
        <w:gridCol w:w="5508"/>
        <w:gridCol w:w="5508"/>
      </w:tblGrid>
      <w:tr w:rsidR="000E5ABB" w:rsidRPr="002E56FA">
        <w:trPr>
          <w:cnfStyle w:val="100000000000"/>
          <w:tblHeader/>
          <w:jc w:val="center"/>
        </w:trPr>
        <w:tc>
          <w:tcPr>
            <w:cnfStyle w:val="001000000000"/>
            <w:tcW w:w="5000" w:type="pct"/>
            <w:gridSpan w:val="2"/>
          </w:tcPr>
          <w:p w:rsidR="000E5ABB" w:rsidRPr="00FE1833" w:rsidRDefault="000E5ABB" w:rsidP="000E5ABB">
            <w:r>
              <w:t xml:space="preserve">Non-MU EHR Technology Certification </w:t>
            </w:r>
          </w:p>
        </w:tc>
      </w:tr>
      <w:tr w:rsidR="000E5ABB" w:rsidRPr="00A36FD5">
        <w:trPr>
          <w:cnfStyle w:val="100000000000"/>
          <w:trHeight w:val="367"/>
          <w:tblHeader/>
          <w:jc w:val="center"/>
        </w:trPr>
        <w:tc>
          <w:tcPr>
            <w:cnfStyle w:val="001000000000"/>
            <w:tcW w:w="2500" w:type="pct"/>
            <w:tcBorders>
              <w:right w:val="single" w:sz="8" w:space="0" w:color="7BA0CD" w:themeColor="accent1" w:themeTint="BF"/>
            </w:tcBorders>
            <w:shd w:val="clear" w:color="auto" w:fill="DBE5F1" w:themeFill="accent1" w:themeFillTint="33"/>
          </w:tcPr>
          <w:p w:rsidR="00FA1DA9" w:rsidRDefault="000E5ABB" w:rsidP="00653BBA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A36FD5">
              <w:rPr>
                <w:color w:val="auto"/>
                <w:sz w:val="20"/>
                <w:szCs w:val="20"/>
              </w:rPr>
              <w:t>Preamble FR Citation:</w:t>
            </w:r>
            <w:r w:rsidR="009879C1">
              <w:rPr>
                <w:color w:val="auto"/>
                <w:sz w:val="20"/>
                <w:szCs w:val="20"/>
              </w:rPr>
              <w:t xml:space="preserve"> </w:t>
            </w:r>
            <w:r w:rsidR="009879C1" w:rsidRPr="00AD5E11">
              <w:rPr>
                <w:b w:val="0"/>
                <w:color w:val="auto"/>
                <w:sz w:val="20"/>
                <w:szCs w:val="20"/>
              </w:rPr>
              <w:t>79 FR</w:t>
            </w:r>
            <w:r w:rsidRPr="00A36FD5">
              <w:rPr>
                <w:color w:val="auto"/>
                <w:sz w:val="20"/>
                <w:szCs w:val="20"/>
              </w:rPr>
              <w:t xml:space="preserve"> </w:t>
            </w:r>
            <w:r w:rsidR="00713B25">
              <w:rPr>
                <w:b w:val="0"/>
                <w:color w:val="auto"/>
                <w:sz w:val="20"/>
                <w:szCs w:val="20"/>
              </w:rPr>
              <w:t>10918</w:t>
            </w:r>
          </w:p>
        </w:tc>
        <w:tc>
          <w:tcPr>
            <w:tcW w:w="2500" w:type="pct"/>
            <w:tcBorders>
              <w:left w:val="single" w:sz="8" w:space="0" w:color="7BA0CD" w:themeColor="accent1" w:themeTint="BF"/>
            </w:tcBorders>
            <w:shd w:val="clear" w:color="auto" w:fill="DBE5F1" w:themeFill="accent1" w:themeFillTint="33"/>
          </w:tcPr>
          <w:p w:rsidR="000E5ABB" w:rsidRPr="00A36FD5" w:rsidRDefault="000E5ABB" w:rsidP="00C77B9D">
            <w:pPr>
              <w:cnfStyle w:val="10000000000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A36FD5">
              <w:rPr>
                <w:bCs w:val="0"/>
                <w:color w:val="auto"/>
                <w:sz w:val="20"/>
                <w:szCs w:val="20"/>
              </w:rPr>
              <w:t>Specific questions in preamble?</w:t>
            </w:r>
            <w:r w:rsidRPr="00A36FD5">
              <w:rPr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 w:rsidR="00C77B9D">
              <w:rPr>
                <w:b w:val="0"/>
                <w:bCs w:val="0"/>
                <w:i/>
                <w:color w:val="auto"/>
                <w:sz w:val="20"/>
                <w:szCs w:val="20"/>
              </w:rPr>
              <w:t>Yes</w:t>
            </w:r>
          </w:p>
        </w:tc>
      </w:tr>
      <w:tr w:rsidR="000E5ABB" w:rsidRPr="00A36FD5">
        <w:trPr>
          <w:cnfStyle w:val="100000000000"/>
          <w:tblHeader/>
          <w:jc w:val="center"/>
        </w:trPr>
        <w:tc>
          <w:tcPr>
            <w:cnfStyle w:val="001000000000"/>
            <w:tcW w:w="5000" w:type="pct"/>
            <w:gridSpan w:val="2"/>
            <w:shd w:val="clear" w:color="auto" w:fill="FFFFFF" w:themeFill="background1"/>
          </w:tcPr>
          <w:p w:rsidR="000E5ABB" w:rsidRPr="00A36FD5" w:rsidRDefault="000E5ABB" w:rsidP="00573E80">
            <w:pPr>
              <w:spacing w:after="60"/>
              <w:rPr>
                <w:color w:val="auto"/>
                <w:sz w:val="20"/>
                <w:szCs w:val="20"/>
              </w:rPr>
            </w:pPr>
            <w:r w:rsidRPr="00A36FD5">
              <w:rPr>
                <w:color w:val="auto"/>
                <w:sz w:val="20"/>
                <w:szCs w:val="20"/>
              </w:rPr>
              <w:t xml:space="preserve">Public Comment Field: </w:t>
            </w:r>
          </w:p>
          <w:p w:rsidR="000E5ABB" w:rsidRPr="0051710A" w:rsidRDefault="00B85DC9" w:rsidP="00573E80">
            <w:pPr>
              <w:spacing w:after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It is important to be clear about what is 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 xml:space="preserve">a 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MU vs. non-MU </w:t>
            </w:r>
            <w:r w:rsidR="0051710A" w:rsidRPr="0051710A">
              <w:rPr>
                <w:rFonts w:ascii="Times New Roman" w:hAnsi="Times New Roman" w:cs="Times New Roman"/>
                <w:b w:val="0"/>
                <w:color w:val="auto"/>
              </w:rPr>
              <w:t>module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7904BB" w:rsidRPr="0051710A" w:rsidRDefault="007904BB" w:rsidP="00061FBC">
            <w:pPr>
              <w:spacing w:after="6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B8258F" w:rsidRPr="0051710A" w:rsidRDefault="00B8258F" w:rsidP="00061FBC">
            <w:pPr>
              <w:spacing w:after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We 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>support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the optionality embedded in the requirements that MU and non-MU </w:t>
            </w:r>
            <w:r w:rsidR="0051710A" w:rsidRPr="0051710A">
              <w:rPr>
                <w:rFonts w:ascii="Times New Roman" w:hAnsi="Times New Roman" w:cs="Times New Roman"/>
                <w:b w:val="0"/>
                <w:color w:val="auto"/>
              </w:rPr>
              <w:t>modules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must be certified to either the § 170.315(g</w:t>
            </w:r>
            <w:proofErr w:type="gramStart"/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)(</w:t>
            </w:r>
            <w:proofErr w:type="gramEnd"/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3)</w:t>
            </w:r>
            <w:r w:rsidRPr="0051710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(Safety-enhanced design)</w:t>
            </w:r>
            <w:r w:rsidRPr="0051710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and/or (g)(4) (Quality system management). This optionality should be retained.</w:t>
            </w:r>
          </w:p>
          <w:p w:rsidR="007904BB" w:rsidRPr="0051710A" w:rsidRDefault="007904BB" w:rsidP="00061FBC">
            <w:pPr>
              <w:spacing w:after="6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B8258F" w:rsidRPr="0051710A" w:rsidRDefault="00B8258F" w:rsidP="00B8258F">
            <w:pPr>
              <w:spacing w:after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We believe that the ONC CHPL 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>should make it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very clear 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>to users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which modules are MU and 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 xml:space="preserve">which are 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non-MU EHR 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>m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odules.</w:t>
            </w:r>
          </w:p>
          <w:p w:rsidR="007904BB" w:rsidRPr="0051710A" w:rsidRDefault="007904BB" w:rsidP="00B8258F">
            <w:pPr>
              <w:spacing w:after="6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B8258F" w:rsidRPr="0051710A" w:rsidRDefault="007904BB" w:rsidP="00B8258F">
            <w:pPr>
              <w:spacing w:after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We defer to the C/A WG members who are vendors to comment on the</w:t>
            </w:r>
            <w:r w:rsidR="00B8258F"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regulatory burden assumption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s</w:t>
            </w:r>
            <w:r w:rsidR="00B8258F"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related to EHR technology developers having to meet the automated numerator and automated measure calculation certification criteria to obtain certification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and the burden for small EHR technology developers that design EHR technology for non-MU purposes and settings.</w:t>
            </w:r>
          </w:p>
          <w:p w:rsidR="007904BB" w:rsidRPr="0051710A" w:rsidRDefault="007904BB" w:rsidP="00B8258F">
            <w:pPr>
              <w:spacing w:after="6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904BB" w:rsidRPr="0051710A" w:rsidRDefault="007904BB" w:rsidP="00B8258F">
            <w:pPr>
              <w:spacing w:after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At this time, we do not believe it is possible comment on the </w:t>
            </w:r>
            <w:r w:rsidR="0051710A">
              <w:rPr>
                <w:rFonts w:ascii="Times New Roman" w:hAnsi="Times New Roman" w:cs="Times New Roman"/>
                <w:b w:val="0"/>
                <w:color w:val="auto"/>
              </w:rPr>
              <w:t xml:space="preserve">cost 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impact of technology 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>on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51710A">
              <w:rPr>
                <w:rFonts w:ascii="Times New Roman" w:hAnsi="Times New Roman" w:cs="Times New Roman"/>
                <w:b w:val="0"/>
                <w:color w:val="auto"/>
              </w:rPr>
              <w:t>h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ealth care providers using EHR technology for non-MU purposes and settings.  Generally, we believe that removing the automated numerator and automated measure calculation certification criteria </w:t>
            </w:r>
            <w:r w:rsidRPr="0051710A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could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simplify the technology, simplify the user experience, and reduce cost.</w:t>
            </w:r>
          </w:p>
          <w:p w:rsidR="007904BB" w:rsidRPr="0051710A" w:rsidRDefault="007904BB" w:rsidP="00790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904BB" w:rsidRPr="0051710A" w:rsidRDefault="007904BB" w:rsidP="00790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Yes, EHR technology developers should inform ONC-ACBs as to the type of EHR Module certification they seek (i.e., MU or non-MU). </w:t>
            </w:r>
          </w:p>
          <w:p w:rsidR="007904BB" w:rsidRPr="0051710A" w:rsidRDefault="007904BB" w:rsidP="00790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BD7AA0" w:rsidRPr="0051710A" w:rsidRDefault="007904BB" w:rsidP="00790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The CHPL should clearly indicate (by check box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>, for example</w:t>
            </w:r>
            <w:r w:rsidR="00BD7AA0" w:rsidRPr="0051710A">
              <w:rPr>
                <w:rFonts w:ascii="Times New Roman" w:hAnsi="Times New Roman" w:cs="Times New Roman"/>
                <w:b w:val="0"/>
                <w:color w:val="auto"/>
              </w:rPr>
              <w:t>) whether the module is MU or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non-MU </w:t>
            </w:r>
            <w:r w:rsidR="00BD7AA0"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certified. </w:t>
            </w:r>
          </w:p>
          <w:p w:rsidR="00125AD1" w:rsidRPr="0051710A" w:rsidRDefault="00125AD1" w:rsidP="00790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B8258F" w:rsidRPr="00A36FD5" w:rsidRDefault="00032963" w:rsidP="00517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In response to the last question, a</w:t>
            </w:r>
            <w:r w:rsidR="00125AD1"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t this time </w:t>
            </w:r>
            <w:r w:rsidR="0051710A">
              <w:rPr>
                <w:rFonts w:ascii="Times New Roman" w:hAnsi="Times New Roman" w:cs="Times New Roman"/>
                <w:b w:val="0"/>
                <w:color w:val="auto"/>
              </w:rPr>
              <w:t xml:space="preserve">we think </w:t>
            </w:r>
            <w:r w:rsidR="00125AD1" w:rsidRPr="0051710A">
              <w:rPr>
                <w:rFonts w:ascii="Times New Roman" w:hAnsi="Times New Roman" w:cs="Times New Roman"/>
                <w:b w:val="0"/>
                <w:color w:val="auto"/>
              </w:rPr>
              <w:t>it would be premature to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indicate and</w:t>
            </w:r>
            <w:r w:rsidR="00125AD1"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list the availability of MU EHR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m</w:t>
            </w:r>
            <w:r w:rsidR="00125AD1"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odules for use beyond MU purposes.  </w:t>
            </w:r>
          </w:p>
        </w:tc>
      </w:tr>
    </w:tbl>
    <w:p w:rsidR="00D70CE6" w:rsidDel="00A75467" w:rsidRDefault="00D70CE6" w:rsidP="00094310">
      <w:pPr>
        <w:tabs>
          <w:tab w:val="left" w:pos="900"/>
          <w:tab w:val="left" w:pos="2790"/>
        </w:tabs>
      </w:pPr>
    </w:p>
    <w:p w:rsidR="000E5ABB" w:rsidRDefault="000E5ABB" w:rsidP="00094310">
      <w:pPr>
        <w:tabs>
          <w:tab w:val="left" w:pos="900"/>
          <w:tab w:val="left" w:pos="2790"/>
        </w:tabs>
      </w:pPr>
    </w:p>
    <w:tbl>
      <w:tblPr>
        <w:tblStyle w:val="MediumShading1-Accent11"/>
        <w:tblW w:w="5000" w:type="pct"/>
        <w:jc w:val="center"/>
        <w:tblLook w:val="04A0"/>
      </w:tblPr>
      <w:tblGrid>
        <w:gridCol w:w="5508"/>
        <w:gridCol w:w="5508"/>
      </w:tblGrid>
      <w:tr w:rsidR="000E5ABB" w:rsidRPr="002E56FA">
        <w:trPr>
          <w:cnfStyle w:val="100000000000"/>
          <w:tblHeader/>
          <w:jc w:val="center"/>
        </w:trPr>
        <w:tc>
          <w:tcPr>
            <w:cnfStyle w:val="001000000000"/>
            <w:tcW w:w="5000" w:type="pct"/>
            <w:gridSpan w:val="2"/>
          </w:tcPr>
          <w:p w:rsidR="000E5ABB" w:rsidRPr="00FE1833" w:rsidRDefault="000E5ABB" w:rsidP="00573E80">
            <w:r>
              <w:t>ONC Certification Mark</w:t>
            </w:r>
            <w:r w:rsidR="003D42A9">
              <w:t xml:space="preserve"> </w:t>
            </w:r>
            <w:r w:rsidR="009D1565">
              <w:t>(</w:t>
            </w:r>
            <w:r w:rsidR="003D42A9" w:rsidRPr="003D42A9">
              <w:t>§ 170.523(k)(1)</w:t>
            </w:r>
            <w:r w:rsidR="009D1565">
              <w:t>)</w:t>
            </w:r>
          </w:p>
        </w:tc>
      </w:tr>
      <w:tr w:rsidR="000E5ABB" w:rsidRPr="00A36FD5">
        <w:trPr>
          <w:cnfStyle w:val="100000000000"/>
          <w:trHeight w:val="367"/>
          <w:tblHeader/>
          <w:jc w:val="center"/>
        </w:trPr>
        <w:tc>
          <w:tcPr>
            <w:cnfStyle w:val="001000000000"/>
            <w:tcW w:w="2500" w:type="pct"/>
            <w:tcBorders>
              <w:right w:val="single" w:sz="8" w:space="0" w:color="7BA0CD" w:themeColor="accent1" w:themeTint="BF"/>
            </w:tcBorders>
            <w:shd w:val="clear" w:color="auto" w:fill="DBE5F1" w:themeFill="accent1" w:themeFillTint="33"/>
          </w:tcPr>
          <w:p w:rsidR="00FA1DA9" w:rsidRDefault="000E5ABB" w:rsidP="00653BBA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A36FD5">
              <w:rPr>
                <w:color w:val="auto"/>
                <w:sz w:val="20"/>
                <w:szCs w:val="20"/>
              </w:rPr>
              <w:t xml:space="preserve">Preamble FR Citation: </w:t>
            </w:r>
            <w:r w:rsidR="009879C1" w:rsidRPr="00AD5E11">
              <w:rPr>
                <w:b w:val="0"/>
                <w:color w:val="auto"/>
                <w:sz w:val="20"/>
                <w:szCs w:val="20"/>
              </w:rPr>
              <w:t>79 FR</w:t>
            </w:r>
            <w:r w:rsidRPr="00A36FD5">
              <w:rPr>
                <w:color w:val="auto"/>
                <w:sz w:val="20"/>
                <w:szCs w:val="20"/>
              </w:rPr>
              <w:t xml:space="preserve"> </w:t>
            </w:r>
            <w:r w:rsidR="00713B25">
              <w:rPr>
                <w:b w:val="0"/>
                <w:color w:val="auto"/>
                <w:sz w:val="20"/>
                <w:szCs w:val="20"/>
              </w:rPr>
              <w:t>10921</w:t>
            </w:r>
          </w:p>
        </w:tc>
        <w:tc>
          <w:tcPr>
            <w:tcW w:w="2500" w:type="pct"/>
            <w:tcBorders>
              <w:left w:val="single" w:sz="8" w:space="0" w:color="7BA0CD" w:themeColor="accent1" w:themeTint="BF"/>
            </w:tcBorders>
            <w:shd w:val="clear" w:color="auto" w:fill="DBE5F1" w:themeFill="accent1" w:themeFillTint="33"/>
          </w:tcPr>
          <w:p w:rsidR="000E5ABB" w:rsidRPr="00A36FD5" w:rsidRDefault="000E5ABB" w:rsidP="00573E80">
            <w:pPr>
              <w:cnfStyle w:val="10000000000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A36FD5">
              <w:rPr>
                <w:bCs w:val="0"/>
                <w:color w:val="auto"/>
                <w:sz w:val="20"/>
                <w:szCs w:val="20"/>
              </w:rPr>
              <w:t>Specific questions in preamble?</w:t>
            </w:r>
            <w:r w:rsidRPr="00A36FD5">
              <w:rPr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 w:rsidRPr="00A36FD5">
              <w:rPr>
                <w:b w:val="0"/>
                <w:bCs w:val="0"/>
                <w:i/>
                <w:color w:val="auto"/>
                <w:sz w:val="20"/>
                <w:szCs w:val="20"/>
              </w:rPr>
              <w:t>No</w:t>
            </w:r>
          </w:p>
        </w:tc>
      </w:tr>
      <w:tr w:rsidR="000E5ABB" w:rsidRPr="00A36FD5">
        <w:trPr>
          <w:cnfStyle w:val="100000000000"/>
          <w:tblHeader/>
          <w:jc w:val="center"/>
        </w:trPr>
        <w:tc>
          <w:tcPr>
            <w:cnfStyle w:val="001000000000"/>
            <w:tcW w:w="5000" w:type="pct"/>
            <w:gridSpan w:val="2"/>
            <w:shd w:val="clear" w:color="auto" w:fill="FFFFFF" w:themeFill="background1"/>
          </w:tcPr>
          <w:p w:rsidR="000E5ABB" w:rsidRPr="00A36FD5" w:rsidRDefault="000E5ABB" w:rsidP="00573E80">
            <w:pPr>
              <w:spacing w:after="60"/>
              <w:rPr>
                <w:color w:val="auto"/>
                <w:sz w:val="20"/>
                <w:szCs w:val="20"/>
              </w:rPr>
            </w:pPr>
            <w:r w:rsidRPr="00A36FD5">
              <w:rPr>
                <w:color w:val="auto"/>
                <w:sz w:val="20"/>
                <w:szCs w:val="20"/>
              </w:rPr>
              <w:t xml:space="preserve">Public Comment Field: </w:t>
            </w:r>
          </w:p>
          <w:p w:rsidR="000E5ABB" w:rsidRPr="00A36FD5" w:rsidRDefault="000E5ABB" w:rsidP="00573E80">
            <w:pPr>
              <w:spacing w:after="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0E5ABB" w:rsidRDefault="000E5ABB" w:rsidP="00094310">
      <w:pPr>
        <w:tabs>
          <w:tab w:val="left" w:pos="900"/>
          <w:tab w:val="left" w:pos="2790"/>
        </w:tabs>
      </w:pPr>
    </w:p>
    <w:tbl>
      <w:tblPr>
        <w:tblStyle w:val="MediumShading1-Accent11"/>
        <w:tblW w:w="5000" w:type="pct"/>
        <w:jc w:val="center"/>
        <w:tblLook w:val="04A0"/>
      </w:tblPr>
      <w:tblGrid>
        <w:gridCol w:w="5508"/>
        <w:gridCol w:w="5508"/>
      </w:tblGrid>
      <w:tr w:rsidR="000E5ABB" w:rsidRPr="002E56FA">
        <w:trPr>
          <w:cnfStyle w:val="100000000000"/>
          <w:tblHeader/>
          <w:jc w:val="center"/>
        </w:trPr>
        <w:tc>
          <w:tcPr>
            <w:cnfStyle w:val="001000000000"/>
            <w:tcW w:w="5000" w:type="pct"/>
            <w:gridSpan w:val="2"/>
          </w:tcPr>
          <w:p w:rsidR="000E5ABB" w:rsidRPr="00FE1833" w:rsidRDefault="000E5ABB" w:rsidP="00573E80">
            <w:r>
              <w:lastRenderedPageBreak/>
              <w:t>Certification Packages for EHR Modules</w:t>
            </w:r>
          </w:p>
        </w:tc>
      </w:tr>
      <w:tr w:rsidR="000E5ABB" w:rsidRPr="00A36FD5">
        <w:trPr>
          <w:cnfStyle w:val="100000000000"/>
          <w:trHeight w:val="367"/>
          <w:tblHeader/>
          <w:jc w:val="center"/>
        </w:trPr>
        <w:tc>
          <w:tcPr>
            <w:cnfStyle w:val="001000000000"/>
            <w:tcW w:w="2500" w:type="pct"/>
            <w:tcBorders>
              <w:right w:val="single" w:sz="8" w:space="0" w:color="7BA0CD" w:themeColor="accent1" w:themeTint="BF"/>
            </w:tcBorders>
            <w:shd w:val="clear" w:color="auto" w:fill="DBE5F1" w:themeFill="accent1" w:themeFillTint="33"/>
          </w:tcPr>
          <w:p w:rsidR="00FA1DA9" w:rsidRDefault="000E5ABB" w:rsidP="00653BBA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A36FD5">
              <w:rPr>
                <w:color w:val="auto"/>
                <w:sz w:val="20"/>
                <w:szCs w:val="20"/>
              </w:rPr>
              <w:t xml:space="preserve">Preamble FR Citation: </w:t>
            </w:r>
            <w:r w:rsidR="009879C1" w:rsidRPr="00AD5E11">
              <w:rPr>
                <w:b w:val="0"/>
                <w:color w:val="auto"/>
                <w:sz w:val="20"/>
                <w:szCs w:val="20"/>
              </w:rPr>
              <w:t>79 FR</w:t>
            </w:r>
            <w:r w:rsidRPr="00A36FD5">
              <w:rPr>
                <w:color w:val="auto"/>
                <w:sz w:val="20"/>
                <w:szCs w:val="20"/>
              </w:rPr>
              <w:t xml:space="preserve"> </w:t>
            </w:r>
            <w:r w:rsidR="00713B25">
              <w:rPr>
                <w:b w:val="0"/>
                <w:color w:val="auto"/>
                <w:sz w:val="20"/>
                <w:szCs w:val="20"/>
              </w:rPr>
              <w:t>10921</w:t>
            </w:r>
          </w:p>
        </w:tc>
        <w:tc>
          <w:tcPr>
            <w:tcW w:w="2500" w:type="pct"/>
            <w:tcBorders>
              <w:left w:val="single" w:sz="8" w:space="0" w:color="7BA0CD" w:themeColor="accent1" w:themeTint="BF"/>
            </w:tcBorders>
            <w:shd w:val="clear" w:color="auto" w:fill="DBE5F1" w:themeFill="accent1" w:themeFillTint="33"/>
          </w:tcPr>
          <w:p w:rsidR="000E5ABB" w:rsidRPr="00A36FD5" w:rsidRDefault="000E5ABB" w:rsidP="000E5ABB">
            <w:pPr>
              <w:cnfStyle w:val="10000000000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A36FD5">
              <w:rPr>
                <w:bCs w:val="0"/>
                <w:color w:val="auto"/>
                <w:sz w:val="20"/>
                <w:szCs w:val="20"/>
              </w:rPr>
              <w:t>Specific questions in preamble?</w:t>
            </w:r>
            <w:r w:rsidRPr="00A36FD5">
              <w:rPr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>
              <w:rPr>
                <w:b w:val="0"/>
                <w:bCs w:val="0"/>
                <w:i/>
                <w:color w:val="auto"/>
                <w:sz w:val="20"/>
                <w:szCs w:val="20"/>
              </w:rPr>
              <w:t>Yes</w:t>
            </w:r>
          </w:p>
        </w:tc>
      </w:tr>
      <w:tr w:rsidR="000E5ABB" w:rsidRPr="00A36FD5">
        <w:trPr>
          <w:cnfStyle w:val="100000000000"/>
          <w:tblHeader/>
          <w:jc w:val="center"/>
        </w:trPr>
        <w:tc>
          <w:tcPr>
            <w:cnfStyle w:val="001000000000"/>
            <w:tcW w:w="5000" w:type="pct"/>
            <w:gridSpan w:val="2"/>
            <w:shd w:val="clear" w:color="auto" w:fill="FFFFFF" w:themeFill="background1"/>
          </w:tcPr>
          <w:p w:rsidR="000E5ABB" w:rsidRPr="00A36FD5" w:rsidRDefault="000E5ABB" w:rsidP="00573E80">
            <w:pPr>
              <w:spacing w:after="60"/>
              <w:rPr>
                <w:color w:val="auto"/>
                <w:sz w:val="20"/>
                <w:szCs w:val="20"/>
              </w:rPr>
            </w:pPr>
            <w:r w:rsidRPr="00A36FD5">
              <w:rPr>
                <w:color w:val="auto"/>
                <w:sz w:val="20"/>
                <w:szCs w:val="20"/>
              </w:rPr>
              <w:t xml:space="preserve">Public Comment Field: </w:t>
            </w:r>
          </w:p>
          <w:p w:rsidR="00FA1DA9" w:rsidRDefault="00FA1DA9" w:rsidP="00653BBA">
            <w:pPr>
              <w:spacing w:after="6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77278" w:rsidRPr="00A36FD5">
        <w:trPr>
          <w:cnfStyle w:val="100000000000"/>
          <w:tblHeader/>
          <w:jc w:val="center"/>
        </w:trPr>
        <w:tc>
          <w:tcPr>
            <w:cnfStyle w:val="001000000000"/>
            <w:tcW w:w="5000" w:type="pct"/>
            <w:gridSpan w:val="2"/>
            <w:shd w:val="clear" w:color="auto" w:fill="FFFFFF" w:themeFill="background1"/>
          </w:tcPr>
          <w:p w:rsidR="00877278" w:rsidRDefault="00877278" w:rsidP="008F5117">
            <w:pPr>
              <w:spacing w:after="60"/>
              <w:rPr>
                <w:color w:val="auto"/>
                <w:sz w:val="20"/>
                <w:szCs w:val="20"/>
              </w:rPr>
            </w:pPr>
            <w:r w:rsidRPr="00A36FD5">
              <w:rPr>
                <w:color w:val="auto"/>
                <w:sz w:val="20"/>
                <w:szCs w:val="20"/>
              </w:rPr>
              <w:t xml:space="preserve">Public Comment Field: </w:t>
            </w:r>
          </w:p>
          <w:p w:rsidR="000F4621" w:rsidRPr="0051710A" w:rsidRDefault="00125AD1" w:rsidP="008F5117">
            <w:pPr>
              <w:spacing w:after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EHRs are a type of HIT. We recommend against using the name “HIT modules” as a category.  Instead, we recommend using the following as a</w:t>
            </w:r>
            <w:r w:rsidR="000F4621"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category name: “Non-</w:t>
            </w:r>
            <w:r w:rsidR="0051710A">
              <w:rPr>
                <w:rFonts w:ascii="Times New Roman" w:hAnsi="Times New Roman" w:cs="Times New Roman"/>
                <w:b w:val="0"/>
                <w:color w:val="auto"/>
              </w:rPr>
              <w:t>E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HR HIT Module”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 xml:space="preserve"> to differentiate these modules from EHR modules.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 Further, we recommend that when ONC establish</w:t>
            </w:r>
            <w:r w:rsidR="0051710A">
              <w:rPr>
                <w:rFonts w:ascii="Times New Roman" w:hAnsi="Times New Roman" w:cs="Times New Roman"/>
                <w:b w:val="0"/>
                <w:color w:val="auto"/>
              </w:rPr>
              <w:t>es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gramStart"/>
            <w:r w:rsidR="00032963">
              <w:rPr>
                <w:rFonts w:ascii="Times New Roman" w:hAnsi="Times New Roman" w:cs="Times New Roman"/>
                <w:b w:val="0"/>
                <w:color w:val="auto"/>
              </w:rPr>
              <w:t>a</w:t>
            </w:r>
            <w:r w:rsidR="00B7393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certification</w:t>
            </w:r>
            <w:proofErr w:type="gramEnd"/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program/criteria for Non-</w:t>
            </w:r>
            <w:r w:rsidR="0051710A">
              <w:rPr>
                <w:rFonts w:ascii="Times New Roman" w:hAnsi="Times New Roman" w:cs="Times New Roman"/>
                <w:b w:val="0"/>
                <w:color w:val="auto"/>
              </w:rPr>
              <w:t>E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HR HIT 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>m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odule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>s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that ONC </w:t>
            </w:r>
            <w:r w:rsidR="000F4621"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would name the particular program (e.g., the HISP Certification Module). </w:t>
            </w:r>
          </w:p>
          <w:p w:rsidR="0051710A" w:rsidRDefault="0051710A" w:rsidP="008F5117">
            <w:pPr>
              <w:spacing w:after="60"/>
              <w:rPr>
                <w:rFonts w:ascii="Times New Roman" w:hAnsi="Times New Roman" w:cs="Times New Roman"/>
                <w:color w:val="auto"/>
              </w:rPr>
            </w:pPr>
          </w:p>
          <w:p w:rsidR="00125AD1" w:rsidRPr="0051710A" w:rsidRDefault="000F4621" w:rsidP="008F5117">
            <w:pPr>
              <w:spacing w:after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As a techn</w:t>
            </w:r>
            <w:r w:rsidR="00B23D16" w:rsidRPr="0051710A">
              <w:rPr>
                <w:rFonts w:ascii="Times New Roman" w:hAnsi="Times New Roman" w:cs="Times New Roman"/>
                <w:b w:val="0"/>
                <w:color w:val="auto"/>
              </w:rPr>
              <w:t>i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cal comment, this section is entitled, “Specific Types of Health Care Settings.”  However, neither “Children’s EHR Format” nor “Practice Transformation” 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>represents a particular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setting.  Perhaps a more appropriate and encompassing way to refer to the certification activities described in this section would</w:t>
            </w:r>
            <w:r w:rsidR="0051710A">
              <w:rPr>
                <w:rFonts w:ascii="Times New Roman" w:hAnsi="Times New Roman" w:cs="Times New Roman"/>
                <w:b w:val="0"/>
                <w:color w:val="auto"/>
              </w:rPr>
              <w:t xml:space="preserve"> be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“Extending HIT Certification Programs </w:t>
            </w:r>
            <w:r w:rsidR="0051710A">
              <w:rPr>
                <w:rFonts w:ascii="Times New Roman" w:hAnsi="Times New Roman" w:cs="Times New Roman"/>
                <w:b w:val="0"/>
                <w:color w:val="auto"/>
              </w:rPr>
              <w:t>a</w:t>
            </w:r>
            <w:r w:rsidR="0051710A"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nd 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Capabilities </w:t>
            </w:r>
            <w:r w:rsidR="0051710A">
              <w:rPr>
                <w:rFonts w:ascii="Times New Roman" w:hAnsi="Times New Roman" w:cs="Times New Roman"/>
                <w:b w:val="0"/>
                <w:color w:val="auto"/>
              </w:rPr>
              <w:t>t</w:t>
            </w:r>
            <w:r w:rsidR="0051710A"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o Other Settings </w:t>
            </w:r>
            <w:r w:rsidR="0051710A">
              <w:rPr>
                <w:rFonts w:ascii="Times New Roman" w:hAnsi="Times New Roman" w:cs="Times New Roman"/>
                <w:b w:val="0"/>
                <w:color w:val="auto"/>
              </w:rPr>
              <w:t>a</w:t>
            </w:r>
            <w:r w:rsidR="0051710A" w:rsidRPr="0051710A">
              <w:rPr>
                <w:rFonts w:ascii="Times New Roman" w:hAnsi="Times New Roman" w:cs="Times New Roman"/>
                <w:b w:val="0"/>
                <w:color w:val="auto"/>
              </w:rPr>
              <w:t>nd Activities.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” </w:t>
            </w:r>
          </w:p>
          <w:p w:rsidR="000F4621" w:rsidRPr="0051710A" w:rsidRDefault="000F4621" w:rsidP="008F5117">
            <w:pPr>
              <w:spacing w:after="6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F4621" w:rsidRPr="0051710A" w:rsidRDefault="00790B56" w:rsidP="008F5117">
            <w:pPr>
              <w:spacing w:after="6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We support the initial focus on LTPAC and BH providers/ settings.  </w:t>
            </w:r>
            <w:r w:rsidR="000F4621"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Additional settings/services for which certification may be appropriate 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 xml:space="preserve">in the future </w:t>
            </w:r>
            <w:r w:rsidR="000F4621"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include: lab, pharmacy, </w:t>
            </w:r>
            <w:r w:rsidR="00B23D16"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and </w:t>
            </w:r>
            <w:r w:rsidR="000F4621" w:rsidRPr="0051710A">
              <w:rPr>
                <w:rFonts w:ascii="Times New Roman" w:hAnsi="Times New Roman" w:cs="Times New Roman"/>
                <w:b w:val="0"/>
                <w:color w:val="auto"/>
              </w:rPr>
              <w:t>ambulance systems; and patient generated data system</w:t>
            </w:r>
            <w:r w:rsidR="00B23D16" w:rsidRPr="0051710A">
              <w:rPr>
                <w:rFonts w:ascii="Times New Roman" w:hAnsi="Times New Roman" w:cs="Times New Roman"/>
                <w:b w:val="0"/>
                <w:color w:val="auto"/>
              </w:rPr>
              <w:t>s</w:t>
            </w:r>
            <w:r w:rsidR="000F4621"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; and other emerging </w:t>
            </w:r>
            <w:r w:rsidR="00B23D16"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technologies to accelerate HIE and support quality of care (e.g., </w:t>
            </w:r>
            <w:proofErr w:type="spellStart"/>
            <w:r w:rsidR="00B23D16" w:rsidRPr="0051710A">
              <w:rPr>
                <w:rFonts w:ascii="Times New Roman" w:hAnsi="Times New Roman" w:cs="Times New Roman"/>
                <w:b w:val="0"/>
                <w:color w:val="auto"/>
              </w:rPr>
              <w:t>telehealth</w:t>
            </w:r>
            <w:proofErr w:type="spellEnd"/>
            <w:r w:rsidR="00B23D16"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, medical device data, etc.) </w:t>
            </w:r>
          </w:p>
          <w:p w:rsidR="00B23D16" w:rsidRPr="0051710A" w:rsidRDefault="00B23D16" w:rsidP="008F5117">
            <w:pPr>
              <w:spacing w:after="6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B23D16" w:rsidRPr="0051710A" w:rsidRDefault="00B23D16" w:rsidP="00B23D16">
            <w:pPr>
              <w:autoSpaceDE w:val="0"/>
              <w:autoSpaceDN w:val="0"/>
              <w:adjustRightInd w:val="0"/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As a technical comment, we recommend </w:t>
            </w:r>
            <w:r w:rsidR="0051710A">
              <w:rPr>
                <w:rFonts w:ascii="Times New Roman" w:hAnsi="Times New Roman" w:cs="Times New Roman"/>
                <w:b w:val="0"/>
                <w:color w:val="auto"/>
              </w:rPr>
              <w:t xml:space="preserve">adding 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>and emphasizing the following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text:</w:t>
            </w:r>
            <w:r w:rsidRPr="0051710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439C4" w:rsidRPr="0051710A">
              <w:rPr>
                <w:rFonts w:ascii="Times New Roman" w:hAnsi="Times New Roman" w:cs="Times New Roman"/>
                <w:color w:val="auto"/>
              </w:rPr>
              <w:t>“</w:t>
            </w:r>
            <w:r w:rsidRPr="0051710A"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</w:rPr>
              <w:t>To fully support comprehensive</w:t>
            </w:r>
            <w:r w:rsidRPr="0051710A">
              <w:rPr>
                <w:rStyle w:val="SubtleEmphasis"/>
                <w:b w:val="0"/>
                <w:i w:val="0"/>
                <w:color w:val="auto"/>
              </w:rPr>
              <w:t xml:space="preserve"> </w:t>
            </w:r>
            <w:r w:rsidRPr="00B23D16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care across the service delivery continuum, including</w:t>
            </w:r>
            <w:r w:rsidRPr="00B23D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1710A"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</w:rPr>
              <w:t>primary and specialty care toward the aim of better care…</w:t>
            </w:r>
            <w:r w:rsidRPr="0051710A">
              <w:rPr>
                <w:rStyle w:val="SubtleEmphasis"/>
                <w:rFonts w:ascii="Times New Roman" w:hAnsi="Times New Roman" w:cs="Times New Roman"/>
                <w:color w:val="auto"/>
              </w:rPr>
              <w:t>”</w:t>
            </w:r>
            <w:r w:rsidRPr="0051710A"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</w:rPr>
              <w:t xml:space="preserve"> The intent is to make it clear that we are focused on care across the continuum, not just </w:t>
            </w:r>
            <w:r w:rsidR="00032963"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</w:rPr>
              <w:t xml:space="preserve">on care provided by </w:t>
            </w:r>
            <w:r w:rsidRPr="0051710A"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</w:rPr>
              <w:t>physicians.</w:t>
            </w:r>
          </w:p>
          <w:p w:rsidR="00B23D16" w:rsidRPr="0051710A" w:rsidRDefault="00B23D16" w:rsidP="00B23D16">
            <w:pPr>
              <w:autoSpaceDE w:val="0"/>
              <w:autoSpaceDN w:val="0"/>
              <w:adjustRightInd w:val="0"/>
              <w:rPr>
                <w:rStyle w:val="SubtleEmphasis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A1DA9" w:rsidRDefault="00B23D16" w:rsidP="00517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We recommend th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>at the following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 text be added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 xml:space="preserve"> and emphasized</w:t>
            </w:r>
            <w:r w:rsidR="00F439C4" w:rsidRPr="0051710A"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  <w:r w:rsidRPr="0051710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439C4" w:rsidRPr="0051710A">
              <w:rPr>
                <w:rFonts w:ascii="Times New Roman" w:hAnsi="Times New Roman" w:cs="Times New Roman"/>
                <w:color w:val="auto"/>
              </w:rPr>
              <w:t xml:space="preserve">“… </w:t>
            </w:r>
            <w:r w:rsidR="00F439C4" w:rsidRPr="0051710A">
              <w:rPr>
                <w:rFonts w:ascii="Times New Roman" w:hAnsi="Times New Roman" w:cs="Times New Roman"/>
                <w:b w:val="0"/>
                <w:color w:val="auto"/>
              </w:rPr>
              <w:t>that focuses on advanced c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are coordination features to</w:t>
            </w:r>
            <w:r w:rsidRPr="00B23D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439C4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allow for the creation and exchange of a care plan by an interdisciplinary team (including the patient), and/or</w:t>
            </w:r>
            <w:r w:rsidRPr="00B23D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1710A">
              <w:rPr>
                <w:rFonts w:ascii="Times New Roman" w:hAnsi="Times New Roman" w:cs="Times New Roman"/>
                <w:b w:val="0"/>
                <w:color w:val="auto"/>
              </w:rPr>
              <w:t>integrate a patient’s care plan into visit screens and other screens such that the patient…</w:t>
            </w:r>
            <w:r w:rsidR="00F439C4" w:rsidRPr="0051710A">
              <w:rPr>
                <w:rFonts w:ascii="Times New Roman" w:hAnsi="Times New Roman" w:cs="Times New Roman"/>
                <w:b w:val="0"/>
                <w:color w:val="auto"/>
              </w:rPr>
              <w:t>”</w:t>
            </w:r>
            <w:r w:rsidR="00032963">
              <w:rPr>
                <w:rFonts w:ascii="Times New Roman" w:hAnsi="Times New Roman" w:cs="Times New Roman"/>
                <w:b w:val="0"/>
                <w:color w:val="auto"/>
              </w:rPr>
              <w:t xml:space="preserve"> The intent is to stress the importance of the care plan.</w:t>
            </w:r>
          </w:p>
        </w:tc>
      </w:tr>
    </w:tbl>
    <w:p w:rsidR="00877278" w:rsidRDefault="00877278" w:rsidP="00094310">
      <w:pPr>
        <w:tabs>
          <w:tab w:val="left" w:pos="900"/>
          <w:tab w:val="left" w:pos="2790"/>
        </w:tabs>
      </w:pPr>
    </w:p>
    <w:p w:rsidR="00182C14" w:rsidRPr="00A36FD5" w:rsidRDefault="00182C14" w:rsidP="00094310">
      <w:pPr>
        <w:tabs>
          <w:tab w:val="left" w:pos="900"/>
          <w:tab w:val="left" w:pos="2790"/>
        </w:tabs>
      </w:pPr>
    </w:p>
    <w:sectPr w:rsidR="00182C14" w:rsidRPr="00A36FD5" w:rsidSect="001D6DE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E4" w:rsidRDefault="009265E4" w:rsidP="00EB32F9">
      <w:pPr>
        <w:spacing w:after="0" w:line="240" w:lineRule="auto"/>
      </w:pPr>
      <w:r>
        <w:separator/>
      </w:r>
    </w:p>
  </w:endnote>
  <w:endnote w:type="continuationSeparator" w:id="0">
    <w:p w:rsidR="009265E4" w:rsidRDefault="009265E4" w:rsidP="00EB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0568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3D16" w:rsidRDefault="00B23D16">
            <w:pPr>
              <w:pStyle w:val="Footer"/>
              <w:jc w:val="right"/>
            </w:pPr>
            <w:r>
              <w:t xml:space="preserve">Page </w:t>
            </w:r>
            <w:r w:rsidR="00A91A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91A80">
              <w:rPr>
                <w:b/>
                <w:sz w:val="24"/>
                <w:szCs w:val="24"/>
              </w:rPr>
              <w:fldChar w:fldCharType="separate"/>
            </w:r>
            <w:r w:rsidR="00B75B8F">
              <w:rPr>
                <w:b/>
                <w:noProof/>
              </w:rPr>
              <w:t>1</w:t>
            </w:r>
            <w:r w:rsidR="00A91A8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91A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91A80">
              <w:rPr>
                <w:b/>
                <w:sz w:val="24"/>
                <w:szCs w:val="24"/>
              </w:rPr>
              <w:fldChar w:fldCharType="separate"/>
            </w:r>
            <w:r w:rsidR="00B75B8F">
              <w:rPr>
                <w:b/>
                <w:noProof/>
              </w:rPr>
              <w:t>2</w:t>
            </w:r>
            <w:r w:rsidR="00A91A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23D16" w:rsidRDefault="00B23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E4" w:rsidRDefault="009265E4" w:rsidP="00EB32F9">
      <w:pPr>
        <w:spacing w:after="0" w:line="240" w:lineRule="auto"/>
      </w:pPr>
      <w:r>
        <w:separator/>
      </w:r>
    </w:p>
  </w:footnote>
  <w:footnote w:type="continuationSeparator" w:id="0">
    <w:p w:rsidR="009265E4" w:rsidRDefault="009265E4" w:rsidP="00EB3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8EF"/>
    <w:multiLevelType w:val="hybridMultilevel"/>
    <w:tmpl w:val="4858B9F0"/>
    <w:lvl w:ilvl="0" w:tplc="E22A0692">
      <w:start w:val="1"/>
      <w:numFmt w:val="upperLetter"/>
      <w:lvlText w:val="(%1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77420"/>
    <w:multiLevelType w:val="multilevel"/>
    <w:tmpl w:val="E864CC98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3F49F9"/>
    <w:multiLevelType w:val="hybridMultilevel"/>
    <w:tmpl w:val="FDA89AE2"/>
    <w:lvl w:ilvl="0" w:tplc="6D7A77DC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43892"/>
    <w:multiLevelType w:val="hybridMultilevel"/>
    <w:tmpl w:val="E3E0C4AE"/>
    <w:lvl w:ilvl="0" w:tplc="85D6E678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>
    <w:nsid w:val="10E26C97"/>
    <w:multiLevelType w:val="multilevel"/>
    <w:tmpl w:val="8136632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080" w:hanging="864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8753F1"/>
    <w:multiLevelType w:val="hybridMultilevel"/>
    <w:tmpl w:val="91FE2A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4112E1C0">
      <w:start w:val="1"/>
      <w:numFmt w:val="upperLetter"/>
      <w:lvlText w:val="(%2)"/>
      <w:lvlJc w:val="left"/>
      <w:pPr>
        <w:ind w:left="28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3A5A3D"/>
    <w:multiLevelType w:val="multilevel"/>
    <w:tmpl w:val="FC8E8F3E"/>
    <w:styleLink w:val="RegTex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D823125"/>
    <w:multiLevelType w:val="multilevel"/>
    <w:tmpl w:val="ACBEA9B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080" w:hanging="864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Times New Roman" w:hint="default"/>
        <w:i w:val="0"/>
        <w:color w:val="auto"/>
        <w:sz w:val="20"/>
        <w:szCs w:val="20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44E6C10"/>
    <w:multiLevelType w:val="hybridMultilevel"/>
    <w:tmpl w:val="097420D4"/>
    <w:lvl w:ilvl="0" w:tplc="5F26B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D4D28"/>
    <w:multiLevelType w:val="multilevel"/>
    <w:tmpl w:val="20F6C912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7B03353"/>
    <w:multiLevelType w:val="multilevel"/>
    <w:tmpl w:val="29E488F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080" w:hanging="864"/>
      </w:pPr>
      <w:rPr>
        <w:rFonts w:hint="default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 w:cs="Times New Roman" w:hint="default"/>
        <w:i w:val="0"/>
        <w:color w:val="auto"/>
        <w:sz w:val="17"/>
        <w:szCs w:val="17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u w:val="single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."/>
      <w:lvlJc w:val="right"/>
      <w:pPr>
        <w:tabs>
          <w:tab w:val="num" w:pos="2520"/>
        </w:tabs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0B1226F"/>
    <w:multiLevelType w:val="hybridMultilevel"/>
    <w:tmpl w:val="957C3D9C"/>
    <w:lvl w:ilvl="0" w:tplc="30769C6E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328E"/>
    <w:multiLevelType w:val="multilevel"/>
    <w:tmpl w:val="339649B4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080" w:hanging="864"/>
      </w:pPr>
      <w:rPr>
        <w:rFonts w:hint="default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u w:val="single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6">
      <w:start w:val="1"/>
      <w:numFmt w:val="lowerRoman"/>
      <w:lvlText w:val="(%7)."/>
      <w:lvlJc w:val="right"/>
      <w:pPr>
        <w:tabs>
          <w:tab w:val="num" w:pos="2520"/>
        </w:tabs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8A56842"/>
    <w:multiLevelType w:val="hybridMultilevel"/>
    <w:tmpl w:val="0A8AA044"/>
    <w:lvl w:ilvl="0" w:tplc="7DB29CD4">
      <w:start w:val="129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B7F32"/>
    <w:multiLevelType w:val="hybridMultilevel"/>
    <w:tmpl w:val="E69200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FC2C9C"/>
    <w:multiLevelType w:val="hybridMultilevel"/>
    <w:tmpl w:val="58F4F0CE"/>
    <w:lvl w:ilvl="0" w:tplc="C3D8E4C6">
      <w:start w:val="1"/>
      <w:numFmt w:val="upperLetter"/>
      <w:lvlText w:val="(%1)"/>
      <w:lvlJc w:val="left"/>
      <w:pPr>
        <w:ind w:left="64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680E30EF"/>
    <w:multiLevelType w:val="multilevel"/>
    <w:tmpl w:val="BBA8AA5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080" w:hanging="864"/>
      </w:pPr>
      <w:rPr>
        <w:rFonts w:hint="default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u w:val="single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."/>
      <w:lvlJc w:val="right"/>
      <w:pPr>
        <w:tabs>
          <w:tab w:val="num" w:pos="2520"/>
        </w:tabs>
        <w:ind w:left="2520" w:hanging="360"/>
      </w:pPr>
      <w:rPr>
        <w:rFonts w:hint="default"/>
        <w:u w:val="singl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94C486A"/>
    <w:multiLevelType w:val="hybridMultilevel"/>
    <w:tmpl w:val="3C5AC47C"/>
    <w:lvl w:ilvl="0" w:tplc="8A0EDB6C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F33D1"/>
    <w:multiLevelType w:val="multilevel"/>
    <w:tmpl w:val="FC8E8F3E"/>
    <w:numStyleLink w:val="RegText"/>
  </w:abstractNum>
  <w:abstractNum w:abstractNumId="19">
    <w:nsid w:val="6DA47D63"/>
    <w:multiLevelType w:val="multilevel"/>
    <w:tmpl w:val="48EE23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080" w:hanging="864"/>
      </w:pPr>
      <w:rPr>
        <w:rFonts w:hint="default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4C15447"/>
    <w:multiLevelType w:val="hybridMultilevel"/>
    <w:tmpl w:val="E38E7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35117"/>
    <w:multiLevelType w:val="multilevel"/>
    <w:tmpl w:val="DAC8C75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upperLetter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3"/>
  </w:num>
  <w:num w:numId="5">
    <w:abstractNumId w:val="20"/>
  </w:num>
  <w:num w:numId="6">
    <w:abstractNumId w:val="6"/>
  </w:num>
  <w:num w:numId="7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Roman"/>
        <w:lvlText w:val="(%2)"/>
        <w:lvlJc w:val="left"/>
        <w:pPr>
          <w:ind w:left="360" w:hanging="360"/>
        </w:pPr>
        <w:rPr>
          <w:rFonts w:asciiTheme="minorHAnsi" w:eastAsiaTheme="minorHAnsi" w:hAnsiTheme="minorHAnsi" w:cstheme="minorBidi"/>
          <w:b w:val="0"/>
          <w:sz w:val="20"/>
          <w:szCs w:val="20"/>
        </w:rPr>
      </w:lvl>
    </w:lvlOverride>
  </w:num>
  <w:num w:numId="8">
    <w:abstractNumId w:val="1"/>
  </w:num>
  <w:num w:numId="9">
    <w:abstractNumId w:val="9"/>
  </w:num>
  <w:num w:numId="10">
    <w:abstractNumId w:val="15"/>
  </w:num>
  <w:num w:numId="11">
    <w:abstractNumId w:val="4"/>
  </w:num>
  <w:num w:numId="12">
    <w:abstractNumId w:val="2"/>
  </w:num>
  <w:num w:numId="13">
    <w:abstractNumId w:val="21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  <w:num w:numId="18">
    <w:abstractNumId w:val="14"/>
  </w:num>
  <w:num w:numId="19">
    <w:abstractNumId w:val="8"/>
  </w:num>
  <w:num w:numId="20">
    <w:abstractNumId w:val="17"/>
  </w:num>
  <w:num w:numId="21">
    <w:abstractNumId w:val="11"/>
  </w:num>
  <w:num w:numId="22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0160"/>
    <w:rsid w:val="00010F40"/>
    <w:rsid w:val="000121F0"/>
    <w:rsid w:val="00013179"/>
    <w:rsid w:val="000171B5"/>
    <w:rsid w:val="000212E9"/>
    <w:rsid w:val="00024F33"/>
    <w:rsid w:val="00032963"/>
    <w:rsid w:val="000350A1"/>
    <w:rsid w:val="00037325"/>
    <w:rsid w:val="00042B6C"/>
    <w:rsid w:val="00043A3C"/>
    <w:rsid w:val="00061FBC"/>
    <w:rsid w:val="00063393"/>
    <w:rsid w:val="00066CF0"/>
    <w:rsid w:val="00067368"/>
    <w:rsid w:val="00080E37"/>
    <w:rsid w:val="00085026"/>
    <w:rsid w:val="000867B8"/>
    <w:rsid w:val="000926D0"/>
    <w:rsid w:val="00093A06"/>
    <w:rsid w:val="00094310"/>
    <w:rsid w:val="000A1DB0"/>
    <w:rsid w:val="000A44B2"/>
    <w:rsid w:val="000A5D9E"/>
    <w:rsid w:val="000B0ED3"/>
    <w:rsid w:val="000B4C05"/>
    <w:rsid w:val="000B66C2"/>
    <w:rsid w:val="000B7F81"/>
    <w:rsid w:val="000C0AC9"/>
    <w:rsid w:val="000C1E5E"/>
    <w:rsid w:val="000C56CB"/>
    <w:rsid w:val="000D0554"/>
    <w:rsid w:val="000E17D4"/>
    <w:rsid w:val="000E5ABB"/>
    <w:rsid w:val="000F0F43"/>
    <w:rsid w:val="000F1CC4"/>
    <w:rsid w:val="000F3906"/>
    <w:rsid w:val="000F4621"/>
    <w:rsid w:val="000F636E"/>
    <w:rsid w:val="00114496"/>
    <w:rsid w:val="00116180"/>
    <w:rsid w:val="00121128"/>
    <w:rsid w:val="00125AD1"/>
    <w:rsid w:val="001266B4"/>
    <w:rsid w:val="00127BCE"/>
    <w:rsid w:val="001419EE"/>
    <w:rsid w:val="001449CF"/>
    <w:rsid w:val="0014529E"/>
    <w:rsid w:val="001471D7"/>
    <w:rsid w:val="001543C2"/>
    <w:rsid w:val="001556FA"/>
    <w:rsid w:val="00160968"/>
    <w:rsid w:val="001620EE"/>
    <w:rsid w:val="00163A24"/>
    <w:rsid w:val="00164A57"/>
    <w:rsid w:val="00170D21"/>
    <w:rsid w:val="001711C5"/>
    <w:rsid w:val="00182006"/>
    <w:rsid w:val="00182C14"/>
    <w:rsid w:val="00185D16"/>
    <w:rsid w:val="001971F6"/>
    <w:rsid w:val="001A1857"/>
    <w:rsid w:val="001A1F59"/>
    <w:rsid w:val="001A2D69"/>
    <w:rsid w:val="001A3657"/>
    <w:rsid w:val="001A5801"/>
    <w:rsid w:val="001B2132"/>
    <w:rsid w:val="001C1A27"/>
    <w:rsid w:val="001C3555"/>
    <w:rsid w:val="001C527F"/>
    <w:rsid w:val="001D6DE1"/>
    <w:rsid w:val="001E514C"/>
    <w:rsid w:val="001F1E15"/>
    <w:rsid w:val="00204FE7"/>
    <w:rsid w:val="0020518B"/>
    <w:rsid w:val="002066CE"/>
    <w:rsid w:val="00206920"/>
    <w:rsid w:val="002135CF"/>
    <w:rsid w:val="00225406"/>
    <w:rsid w:val="00230460"/>
    <w:rsid w:val="00236C5F"/>
    <w:rsid w:val="002448EB"/>
    <w:rsid w:val="002514BE"/>
    <w:rsid w:val="00251E14"/>
    <w:rsid w:val="00252641"/>
    <w:rsid w:val="00253B9E"/>
    <w:rsid w:val="00280708"/>
    <w:rsid w:val="00283E7A"/>
    <w:rsid w:val="00287844"/>
    <w:rsid w:val="00296AD7"/>
    <w:rsid w:val="002A0396"/>
    <w:rsid w:val="002A04D8"/>
    <w:rsid w:val="002A2C6E"/>
    <w:rsid w:val="002A3697"/>
    <w:rsid w:val="002B20D3"/>
    <w:rsid w:val="002C1326"/>
    <w:rsid w:val="002D7901"/>
    <w:rsid w:val="002D7A39"/>
    <w:rsid w:val="002E56FA"/>
    <w:rsid w:val="002F1C25"/>
    <w:rsid w:val="00301990"/>
    <w:rsid w:val="00303ED1"/>
    <w:rsid w:val="00307920"/>
    <w:rsid w:val="00307B7B"/>
    <w:rsid w:val="0031258B"/>
    <w:rsid w:val="00316873"/>
    <w:rsid w:val="00330AD8"/>
    <w:rsid w:val="00333F16"/>
    <w:rsid w:val="00340C32"/>
    <w:rsid w:val="00341300"/>
    <w:rsid w:val="00341DC8"/>
    <w:rsid w:val="00343890"/>
    <w:rsid w:val="00345078"/>
    <w:rsid w:val="00347B33"/>
    <w:rsid w:val="00350E1C"/>
    <w:rsid w:val="0035584E"/>
    <w:rsid w:val="003618EC"/>
    <w:rsid w:val="0036605D"/>
    <w:rsid w:val="003700F6"/>
    <w:rsid w:val="00373EC8"/>
    <w:rsid w:val="003874BC"/>
    <w:rsid w:val="003A33C3"/>
    <w:rsid w:val="003B5694"/>
    <w:rsid w:val="003C215B"/>
    <w:rsid w:val="003C7E1B"/>
    <w:rsid w:val="003D17F1"/>
    <w:rsid w:val="003D42A9"/>
    <w:rsid w:val="003E174D"/>
    <w:rsid w:val="003E1D39"/>
    <w:rsid w:val="003E240C"/>
    <w:rsid w:val="003E3A61"/>
    <w:rsid w:val="003E5411"/>
    <w:rsid w:val="003F277E"/>
    <w:rsid w:val="003F5217"/>
    <w:rsid w:val="003F70D4"/>
    <w:rsid w:val="00401B86"/>
    <w:rsid w:val="00403282"/>
    <w:rsid w:val="00405141"/>
    <w:rsid w:val="00405B2D"/>
    <w:rsid w:val="004121BB"/>
    <w:rsid w:val="00412429"/>
    <w:rsid w:val="00412F3B"/>
    <w:rsid w:val="0042387B"/>
    <w:rsid w:val="00431A3E"/>
    <w:rsid w:val="00432CB2"/>
    <w:rsid w:val="004378E1"/>
    <w:rsid w:val="00441E20"/>
    <w:rsid w:val="004440A0"/>
    <w:rsid w:val="0044412C"/>
    <w:rsid w:val="00444428"/>
    <w:rsid w:val="00450637"/>
    <w:rsid w:val="00453344"/>
    <w:rsid w:val="0045471C"/>
    <w:rsid w:val="004548D9"/>
    <w:rsid w:val="00465BA1"/>
    <w:rsid w:val="004666C2"/>
    <w:rsid w:val="00471100"/>
    <w:rsid w:val="00487EE9"/>
    <w:rsid w:val="00493A39"/>
    <w:rsid w:val="004A031B"/>
    <w:rsid w:val="004A25DC"/>
    <w:rsid w:val="004A3AAE"/>
    <w:rsid w:val="004B0880"/>
    <w:rsid w:val="004C0F99"/>
    <w:rsid w:val="004C7015"/>
    <w:rsid w:val="004C7FB5"/>
    <w:rsid w:val="004D13E0"/>
    <w:rsid w:val="004D2CFB"/>
    <w:rsid w:val="004D6D8D"/>
    <w:rsid w:val="004D7895"/>
    <w:rsid w:val="004E25E2"/>
    <w:rsid w:val="004F1035"/>
    <w:rsid w:val="00512076"/>
    <w:rsid w:val="0051245A"/>
    <w:rsid w:val="00513495"/>
    <w:rsid w:val="00514386"/>
    <w:rsid w:val="005157CF"/>
    <w:rsid w:val="0051637A"/>
    <w:rsid w:val="0051710A"/>
    <w:rsid w:val="0052185A"/>
    <w:rsid w:val="00527AD3"/>
    <w:rsid w:val="00531EC6"/>
    <w:rsid w:val="00536006"/>
    <w:rsid w:val="005429B7"/>
    <w:rsid w:val="00553F67"/>
    <w:rsid w:val="0055423E"/>
    <w:rsid w:val="00556158"/>
    <w:rsid w:val="0055642F"/>
    <w:rsid w:val="0056163B"/>
    <w:rsid w:val="00562FF8"/>
    <w:rsid w:val="005635A6"/>
    <w:rsid w:val="00564096"/>
    <w:rsid w:val="005640DC"/>
    <w:rsid w:val="00564F55"/>
    <w:rsid w:val="0056570D"/>
    <w:rsid w:val="005668B1"/>
    <w:rsid w:val="00573E80"/>
    <w:rsid w:val="005753BC"/>
    <w:rsid w:val="00592EEF"/>
    <w:rsid w:val="005A71FB"/>
    <w:rsid w:val="005B4F07"/>
    <w:rsid w:val="005B5731"/>
    <w:rsid w:val="005C0756"/>
    <w:rsid w:val="005C271D"/>
    <w:rsid w:val="005C59E8"/>
    <w:rsid w:val="005C7169"/>
    <w:rsid w:val="005E10E7"/>
    <w:rsid w:val="005E2449"/>
    <w:rsid w:val="005E2FB6"/>
    <w:rsid w:val="005E48D6"/>
    <w:rsid w:val="005E6E71"/>
    <w:rsid w:val="005F57F2"/>
    <w:rsid w:val="005F63AB"/>
    <w:rsid w:val="00601AE2"/>
    <w:rsid w:val="006058A8"/>
    <w:rsid w:val="00606E19"/>
    <w:rsid w:val="006121DA"/>
    <w:rsid w:val="00612774"/>
    <w:rsid w:val="00616423"/>
    <w:rsid w:val="0062172D"/>
    <w:rsid w:val="00622A82"/>
    <w:rsid w:val="00632DDA"/>
    <w:rsid w:val="00634D79"/>
    <w:rsid w:val="006375B2"/>
    <w:rsid w:val="00641FE6"/>
    <w:rsid w:val="006459DC"/>
    <w:rsid w:val="0064657B"/>
    <w:rsid w:val="00647098"/>
    <w:rsid w:val="00653BBA"/>
    <w:rsid w:val="00661EF2"/>
    <w:rsid w:val="00665A23"/>
    <w:rsid w:val="00671428"/>
    <w:rsid w:val="00692962"/>
    <w:rsid w:val="006930E3"/>
    <w:rsid w:val="006A1ADA"/>
    <w:rsid w:val="006B3632"/>
    <w:rsid w:val="006B5D1C"/>
    <w:rsid w:val="006D626B"/>
    <w:rsid w:val="006D7B52"/>
    <w:rsid w:val="006D7D37"/>
    <w:rsid w:val="006E2964"/>
    <w:rsid w:val="006E522C"/>
    <w:rsid w:val="006F0716"/>
    <w:rsid w:val="006F147B"/>
    <w:rsid w:val="006F3214"/>
    <w:rsid w:val="006F718E"/>
    <w:rsid w:val="00700160"/>
    <w:rsid w:val="00700472"/>
    <w:rsid w:val="007009F4"/>
    <w:rsid w:val="0071150D"/>
    <w:rsid w:val="007135C5"/>
    <w:rsid w:val="00713B25"/>
    <w:rsid w:val="00717F30"/>
    <w:rsid w:val="007242E3"/>
    <w:rsid w:val="00731E3F"/>
    <w:rsid w:val="00734F32"/>
    <w:rsid w:val="007362C0"/>
    <w:rsid w:val="00740E22"/>
    <w:rsid w:val="00743FDC"/>
    <w:rsid w:val="00750C32"/>
    <w:rsid w:val="00751E2D"/>
    <w:rsid w:val="00765FDE"/>
    <w:rsid w:val="0076723A"/>
    <w:rsid w:val="007715A7"/>
    <w:rsid w:val="00777FAB"/>
    <w:rsid w:val="007872B0"/>
    <w:rsid w:val="007904BB"/>
    <w:rsid w:val="00790B56"/>
    <w:rsid w:val="00797BB0"/>
    <w:rsid w:val="007B319C"/>
    <w:rsid w:val="007B67BC"/>
    <w:rsid w:val="007C1ED3"/>
    <w:rsid w:val="007C263F"/>
    <w:rsid w:val="007E6A02"/>
    <w:rsid w:val="007F18B3"/>
    <w:rsid w:val="007F36F3"/>
    <w:rsid w:val="007F56D4"/>
    <w:rsid w:val="007F6E58"/>
    <w:rsid w:val="008071FB"/>
    <w:rsid w:val="00807C2A"/>
    <w:rsid w:val="00834362"/>
    <w:rsid w:val="00841C3D"/>
    <w:rsid w:val="00865FA7"/>
    <w:rsid w:val="00870417"/>
    <w:rsid w:val="00877278"/>
    <w:rsid w:val="008822A5"/>
    <w:rsid w:val="00891325"/>
    <w:rsid w:val="008A6636"/>
    <w:rsid w:val="008B69BD"/>
    <w:rsid w:val="008B70D9"/>
    <w:rsid w:val="008B7D45"/>
    <w:rsid w:val="008C7737"/>
    <w:rsid w:val="008D0F07"/>
    <w:rsid w:val="008D112D"/>
    <w:rsid w:val="008D2588"/>
    <w:rsid w:val="008E2E19"/>
    <w:rsid w:val="008E3084"/>
    <w:rsid w:val="008E4ADF"/>
    <w:rsid w:val="008E631B"/>
    <w:rsid w:val="008E7238"/>
    <w:rsid w:val="008F5117"/>
    <w:rsid w:val="00906F05"/>
    <w:rsid w:val="009100F5"/>
    <w:rsid w:val="0092214C"/>
    <w:rsid w:val="009253E5"/>
    <w:rsid w:val="009265E4"/>
    <w:rsid w:val="00940F48"/>
    <w:rsid w:val="009425FB"/>
    <w:rsid w:val="00942B88"/>
    <w:rsid w:val="00943CF8"/>
    <w:rsid w:val="0094438A"/>
    <w:rsid w:val="009458A0"/>
    <w:rsid w:val="00945B75"/>
    <w:rsid w:val="00952D76"/>
    <w:rsid w:val="0095584A"/>
    <w:rsid w:val="009671BC"/>
    <w:rsid w:val="00977222"/>
    <w:rsid w:val="0098003D"/>
    <w:rsid w:val="00984B93"/>
    <w:rsid w:val="00984F24"/>
    <w:rsid w:val="009879C1"/>
    <w:rsid w:val="00991F12"/>
    <w:rsid w:val="00992946"/>
    <w:rsid w:val="009957D9"/>
    <w:rsid w:val="00997E31"/>
    <w:rsid w:val="009A6D46"/>
    <w:rsid w:val="009A7489"/>
    <w:rsid w:val="009B05BF"/>
    <w:rsid w:val="009B379F"/>
    <w:rsid w:val="009B3844"/>
    <w:rsid w:val="009C260C"/>
    <w:rsid w:val="009C360B"/>
    <w:rsid w:val="009C39E7"/>
    <w:rsid w:val="009D1565"/>
    <w:rsid w:val="009D205A"/>
    <w:rsid w:val="009D293E"/>
    <w:rsid w:val="009E41F2"/>
    <w:rsid w:val="00A15843"/>
    <w:rsid w:val="00A179A1"/>
    <w:rsid w:val="00A227B6"/>
    <w:rsid w:val="00A30EBC"/>
    <w:rsid w:val="00A328C4"/>
    <w:rsid w:val="00A36FD5"/>
    <w:rsid w:val="00A40105"/>
    <w:rsid w:val="00A41760"/>
    <w:rsid w:val="00A519CA"/>
    <w:rsid w:val="00A51D18"/>
    <w:rsid w:val="00A5592D"/>
    <w:rsid w:val="00A62086"/>
    <w:rsid w:val="00A66E4C"/>
    <w:rsid w:val="00A727D9"/>
    <w:rsid w:val="00A74ACE"/>
    <w:rsid w:val="00A7512D"/>
    <w:rsid w:val="00A75467"/>
    <w:rsid w:val="00A75FDE"/>
    <w:rsid w:val="00A864DE"/>
    <w:rsid w:val="00A87EBE"/>
    <w:rsid w:val="00A916CB"/>
    <w:rsid w:val="00A91A80"/>
    <w:rsid w:val="00AA3794"/>
    <w:rsid w:val="00AC5699"/>
    <w:rsid w:val="00AC7703"/>
    <w:rsid w:val="00AD65DD"/>
    <w:rsid w:val="00AF08EF"/>
    <w:rsid w:val="00AF7031"/>
    <w:rsid w:val="00B020EC"/>
    <w:rsid w:val="00B113AD"/>
    <w:rsid w:val="00B11B52"/>
    <w:rsid w:val="00B11CDD"/>
    <w:rsid w:val="00B23D16"/>
    <w:rsid w:val="00B26384"/>
    <w:rsid w:val="00B27120"/>
    <w:rsid w:val="00B3313F"/>
    <w:rsid w:val="00B34CA9"/>
    <w:rsid w:val="00B37168"/>
    <w:rsid w:val="00B37D57"/>
    <w:rsid w:val="00B44B7B"/>
    <w:rsid w:val="00B52AE7"/>
    <w:rsid w:val="00B54073"/>
    <w:rsid w:val="00B64FE4"/>
    <w:rsid w:val="00B65851"/>
    <w:rsid w:val="00B6652B"/>
    <w:rsid w:val="00B727D2"/>
    <w:rsid w:val="00B73937"/>
    <w:rsid w:val="00B73C8E"/>
    <w:rsid w:val="00B75B8F"/>
    <w:rsid w:val="00B8258F"/>
    <w:rsid w:val="00B837DC"/>
    <w:rsid w:val="00B84287"/>
    <w:rsid w:val="00B85DC9"/>
    <w:rsid w:val="00B95EEF"/>
    <w:rsid w:val="00BA1959"/>
    <w:rsid w:val="00BA361F"/>
    <w:rsid w:val="00BA7853"/>
    <w:rsid w:val="00BC3BB7"/>
    <w:rsid w:val="00BD7AA0"/>
    <w:rsid w:val="00BE0A5A"/>
    <w:rsid w:val="00BF53C3"/>
    <w:rsid w:val="00C06FEB"/>
    <w:rsid w:val="00C1361C"/>
    <w:rsid w:val="00C138E3"/>
    <w:rsid w:val="00C253C4"/>
    <w:rsid w:val="00C319E2"/>
    <w:rsid w:val="00C36C3C"/>
    <w:rsid w:val="00C40A15"/>
    <w:rsid w:val="00C445E8"/>
    <w:rsid w:val="00C471D7"/>
    <w:rsid w:val="00C47C5E"/>
    <w:rsid w:val="00C64387"/>
    <w:rsid w:val="00C64ADE"/>
    <w:rsid w:val="00C64DBE"/>
    <w:rsid w:val="00C70E8F"/>
    <w:rsid w:val="00C74FC9"/>
    <w:rsid w:val="00C75149"/>
    <w:rsid w:val="00C77B9D"/>
    <w:rsid w:val="00C8447F"/>
    <w:rsid w:val="00C929DE"/>
    <w:rsid w:val="00C92E70"/>
    <w:rsid w:val="00CA146A"/>
    <w:rsid w:val="00CA33E5"/>
    <w:rsid w:val="00CA428E"/>
    <w:rsid w:val="00CB43D8"/>
    <w:rsid w:val="00CB49BF"/>
    <w:rsid w:val="00CC7B60"/>
    <w:rsid w:val="00CE0D14"/>
    <w:rsid w:val="00CF1528"/>
    <w:rsid w:val="00CF79D7"/>
    <w:rsid w:val="00D03610"/>
    <w:rsid w:val="00D139A8"/>
    <w:rsid w:val="00D15CA1"/>
    <w:rsid w:val="00D30C41"/>
    <w:rsid w:val="00D324B6"/>
    <w:rsid w:val="00D34AFF"/>
    <w:rsid w:val="00D34BD2"/>
    <w:rsid w:val="00D415A2"/>
    <w:rsid w:val="00D514EF"/>
    <w:rsid w:val="00D62C5E"/>
    <w:rsid w:val="00D633BE"/>
    <w:rsid w:val="00D662F1"/>
    <w:rsid w:val="00D70CE6"/>
    <w:rsid w:val="00D8370D"/>
    <w:rsid w:val="00D84D08"/>
    <w:rsid w:val="00D8750D"/>
    <w:rsid w:val="00DA51CD"/>
    <w:rsid w:val="00DA59D5"/>
    <w:rsid w:val="00DB4BA2"/>
    <w:rsid w:val="00DC3EB0"/>
    <w:rsid w:val="00DC595B"/>
    <w:rsid w:val="00DE2B7C"/>
    <w:rsid w:val="00DF74F6"/>
    <w:rsid w:val="00E0405D"/>
    <w:rsid w:val="00E22DB1"/>
    <w:rsid w:val="00E305F2"/>
    <w:rsid w:val="00E42640"/>
    <w:rsid w:val="00E43ED6"/>
    <w:rsid w:val="00E5080E"/>
    <w:rsid w:val="00E5759C"/>
    <w:rsid w:val="00E57804"/>
    <w:rsid w:val="00E61435"/>
    <w:rsid w:val="00E61715"/>
    <w:rsid w:val="00E61FB3"/>
    <w:rsid w:val="00E62A0C"/>
    <w:rsid w:val="00E742FF"/>
    <w:rsid w:val="00E82AAB"/>
    <w:rsid w:val="00E85998"/>
    <w:rsid w:val="00EB32F9"/>
    <w:rsid w:val="00EC229D"/>
    <w:rsid w:val="00EC6DD4"/>
    <w:rsid w:val="00EE287B"/>
    <w:rsid w:val="00EE554B"/>
    <w:rsid w:val="00EF035E"/>
    <w:rsid w:val="00F32665"/>
    <w:rsid w:val="00F3474B"/>
    <w:rsid w:val="00F34790"/>
    <w:rsid w:val="00F439C4"/>
    <w:rsid w:val="00F449AD"/>
    <w:rsid w:val="00F543BB"/>
    <w:rsid w:val="00F60B00"/>
    <w:rsid w:val="00F67739"/>
    <w:rsid w:val="00F70D02"/>
    <w:rsid w:val="00F7592F"/>
    <w:rsid w:val="00F767C0"/>
    <w:rsid w:val="00F83330"/>
    <w:rsid w:val="00F840FB"/>
    <w:rsid w:val="00F841C0"/>
    <w:rsid w:val="00F869E6"/>
    <w:rsid w:val="00F87FE4"/>
    <w:rsid w:val="00F95B9D"/>
    <w:rsid w:val="00FA1DA9"/>
    <w:rsid w:val="00FA20C6"/>
    <w:rsid w:val="00FB1528"/>
    <w:rsid w:val="00FB213C"/>
    <w:rsid w:val="00FC7CA2"/>
    <w:rsid w:val="00FE1833"/>
    <w:rsid w:val="00FF0E7A"/>
    <w:rsid w:val="00FF2964"/>
    <w:rsid w:val="00FF2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annotation reference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8C4"/>
    <w:pPr>
      <w:ind w:left="720"/>
      <w:contextualSpacing/>
    </w:pPr>
  </w:style>
  <w:style w:type="paragraph" w:customStyle="1" w:styleId="Default">
    <w:name w:val="Default"/>
    <w:rsid w:val="00E62A0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SteveStyle">
    <w:name w:val="SteveStyle"/>
    <w:basedOn w:val="Normal"/>
    <w:qFormat/>
    <w:rsid w:val="00E62A0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E57804"/>
    <w:pPr>
      <w:spacing w:after="0" w:line="240" w:lineRule="auto"/>
    </w:pPr>
    <w:rPr>
      <w:rFonts w:ascii="Calibri" w:hAnsi="Calibri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04"/>
    <w:rPr>
      <w:rFonts w:ascii="Calibri" w:hAnsi="Calibri" w:cs="Tahoma"/>
      <w:sz w:val="20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668B1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5780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804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5668B1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1A1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857"/>
    <w:rPr>
      <w:rFonts w:ascii="Times New Roman" w:eastAsia="Times New Roman" w:hAnsi="Times New Roman" w:cs="Times New Roman"/>
      <w:sz w:val="20"/>
      <w:szCs w:val="20"/>
    </w:rPr>
  </w:style>
  <w:style w:type="numbering" w:customStyle="1" w:styleId="RegText">
    <w:name w:val="RegText"/>
    <w:uiPriority w:val="99"/>
    <w:rsid w:val="00E22DB1"/>
    <w:pPr>
      <w:numPr>
        <w:numId w:val="6"/>
      </w:numPr>
    </w:pPr>
  </w:style>
  <w:style w:type="table" w:customStyle="1" w:styleId="MediumShading1-Accent11">
    <w:name w:val="Medium Shading 1 - Accent 11"/>
    <w:basedOn w:val="TableNormal"/>
    <w:uiPriority w:val="63"/>
    <w:rsid w:val="00942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C0F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B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2F9"/>
  </w:style>
  <w:style w:type="paragraph" w:styleId="Footer">
    <w:name w:val="footer"/>
    <w:basedOn w:val="Normal"/>
    <w:link w:val="FooterChar"/>
    <w:uiPriority w:val="99"/>
    <w:unhideWhenUsed/>
    <w:rsid w:val="00EB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00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006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rsid w:val="00834362"/>
    <w:pPr>
      <w:spacing w:after="0" w:line="240" w:lineRule="auto"/>
    </w:pPr>
  </w:style>
  <w:style w:type="character" w:styleId="FootnoteReference">
    <w:name w:val="footnote reference"/>
    <w:basedOn w:val="DefaultParagraphFont"/>
    <w:rsid w:val="007242E3"/>
    <w:rPr>
      <w:vertAlign w:val="superscript"/>
    </w:rPr>
  </w:style>
  <w:style w:type="character" w:styleId="Hyperlink">
    <w:name w:val="Hyperlink"/>
    <w:basedOn w:val="DefaultParagraphFont"/>
    <w:rsid w:val="006D7D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D7D37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B23D1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annotation reference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8C4"/>
    <w:pPr>
      <w:ind w:left="720"/>
      <w:contextualSpacing/>
    </w:pPr>
  </w:style>
  <w:style w:type="paragraph" w:customStyle="1" w:styleId="Default">
    <w:name w:val="Default"/>
    <w:rsid w:val="00E62A0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SteveStyle">
    <w:name w:val="SteveStyle"/>
    <w:basedOn w:val="Normal"/>
    <w:qFormat/>
    <w:rsid w:val="00E62A0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E57804"/>
    <w:pPr>
      <w:spacing w:after="0" w:line="240" w:lineRule="auto"/>
    </w:pPr>
    <w:rPr>
      <w:rFonts w:ascii="Calibri" w:hAnsi="Calibri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04"/>
    <w:rPr>
      <w:rFonts w:ascii="Calibri" w:hAnsi="Calibri" w:cs="Tahoma"/>
      <w:sz w:val="20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668B1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5780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804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5668B1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1A1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857"/>
    <w:rPr>
      <w:rFonts w:ascii="Times New Roman" w:eastAsia="Times New Roman" w:hAnsi="Times New Roman" w:cs="Times New Roman"/>
      <w:sz w:val="20"/>
      <w:szCs w:val="20"/>
    </w:rPr>
  </w:style>
  <w:style w:type="numbering" w:customStyle="1" w:styleId="RegText">
    <w:name w:val="RegText"/>
    <w:uiPriority w:val="99"/>
    <w:rsid w:val="00E22DB1"/>
    <w:pPr>
      <w:numPr>
        <w:numId w:val="6"/>
      </w:numPr>
    </w:pPr>
  </w:style>
  <w:style w:type="table" w:customStyle="1" w:styleId="MediumShading1-Accent11">
    <w:name w:val="Medium Shading 1 - Accent 11"/>
    <w:basedOn w:val="TableNormal"/>
    <w:uiPriority w:val="63"/>
    <w:rsid w:val="00942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C0F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B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2F9"/>
  </w:style>
  <w:style w:type="paragraph" w:styleId="Footer">
    <w:name w:val="footer"/>
    <w:basedOn w:val="Normal"/>
    <w:link w:val="FooterChar"/>
    <w:uiPriority w:val="99"/>
    <w:unhideWhenUsed/>
    <w:rsid w:val="00EB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00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006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rsid w:val="00834362"/>
    <w:pPr>
      <w:spacing w:after="0" w:line="240" w:lineRule="auto"/>
    </w:pPr>
  </w:style>
  <w:style w:type="character" w:styleId="FootnoteReference">
    <w:name w:val="footnote reference"/>
    <w:basedOn w:val="DefaultParagraphFont"/>
    <w:rsid w:val="007242E3"/>
    <w:rPr>
      <w:vertAlign w:val="superscript"/>
    </w:rPr>
  </w:style>
  <w:style w:type="character" w:styleId="Hyperlink">
    <w:name w:val="Hyperlink"/>
    <w:basedOn w:val="DefaultParagraphFont"/>
    <w:rsid w:val="006D7D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D7D37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B23D1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060A-A01F-4965-AF6F-9E21FD59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JenFrazier</dc:creator>
  <cp:lastModifiedBy>Caitlin Collins</cp:lastModifiedBy>
  <cp:revision>2</cp:revision>
  <cp:lastPrinted>2012-03-13T20:43:00Z</cp:lastPrinted>
  <dcterms:created xsi:type="dcterms:W3CDTF">2014-04-01T19:50:00Z</dcterms:created>
  <dcterms:modified xsi:type="dcterms:W3CDTF">2014-04-01T19:50:00Z</dcterms:modified>
</cp:coreProperties>
</file>