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31" w:rsidRPr="00274AF5" w:rsidRDefault="00E06021" w:rsidP="00E47D31">
      <w:pPr>
        <w:rPr>
          <w:rFonts w:ascii="Calibri" w:eastAsia="Times New Roman" w:hAnsi="Calibri" w:cs="Times New Roman"/>
          <w:b/>
          <w:color w:val="000000"/>
        </w:rPr>
      </w:pPr>
      <w:r w:rsidRPr="00274AF5">
        <w:rPr>
          <w:rFonts w:ascii="Calibri" w:eastAsia="Times New Roman" w:hAnsi="Calibri" w:cs="Times New Roman"/>
          <w:b/>
          <w:color w:val="000000"/>
        </w:rPr>
        <w:t>D</w:t>
      </w:r>
      <w:r w:rsidR="003A2CF8" w:rsidRPr="00274AF5">
        <w:rPr>
          <w:rFonts w:ascii="Calibri" w:eastAsia="Times New Roman" w:hAnsi="Calibri" w:cs="Times New Roman"/>
          <w:b/>
          <w:color w:val="000000"/>
        </w:rPr>
        <w:t xml:space="preserve">raft </w:t>
      </w:r>
      <w:r w:rsidR="00D00DB0" w:rsidRPr="00274AF5">
        <w:rPr>
          <w:rFonts w:ascii="Calibri" w:eastAsia="Times New Roman" w:hAnsi="Calibri" w:cs="Times New Roman"/>
          <w:b/>
          <w:color w:val="000000"/>
        </w:rPr>
        <w:t xml:space="preserve">Accountable Care Workgroup Recommendations </w:t>
      </w:r>
      <w:r w:rsidR="00870E16" w:rsidRPr="00274AF5">
        <w:rPr>
          <w:rFonts w:ascii="Calibri" w:eastAsia="Times New Roman" w:hAnsi="Calibri" w:cs="Times New Roman"/>
          <w:b/>
          <w:color w:val="000000"/>
        </w:rPr>
        <w:t>Document</w:t>
      </w:r>
      <w:r w:rsidR="007C72EF" w:rsidRPr="00274AF5">
        <w:rPr>
          <w:rFonts w:ascii="Calibri" w:eastAsia="Times New Roman" w:hAnsi="Calibri" w:cs="Times New Roman"/>
          <w:b/>
          <w:color w:val="000000"/>
        </w:rPr>
        <w:t xml:space="preserve"> – </w:t>
      </w:r>
      <w:r w:rsidR="00011790">
        <w:rPr>
          <w:rFonts w:ascii="Calibri" w:eastAsia="Times New Roman" w:hAnsi="Calibri" w:cs="Times New Roman"/>
          <w:b/>
          <w:color w:val="000000"/>
        </w:rPr>
        <w:t>March 1</w:t>
      </w:r>
      <w:r w:rsidR="005D2B5A">
        <w:rPr>
          <w:rFonts w:ascii="Calibri" w:eastAsia="Times New Roman" w:hAnsi="Calibri" w:cs="Times New Roman"/>
          <w:b/>
          <w:color w:val="000000"/>
        </w:rPr>
        <w:t>8</w:t>
      </w:r>
      <w:r w:rsidR="00E47D31" w:rsidRPr="00274AF5">
        <w:rPr>
          <w:rFonts w:ascii="Calibri" w:eastAsia="Times New Roman" w:hAnsi="Calibri" w:cs="Times New Roman"/>
          <w:b/>
          <w:color w:val="000000"/>
        </w:rPr>
        <w:t>, 2014</w:t>
      </w:r>
    </w:p>
    <w:p w:rsidR="002D333B" w:rsidRPr="00274AF5" w:rsidRDefault="002D333B" w:rsidP="005B0763">
      <w:pPr>
        <w:tabs>
          <w:tab w:val="left" w:pos="2617"/>
        </w:tabs>
        <w:rPr>
          <w:rFonts w:ascii="Calibri" w:eastAsia="Times New Roman" w:hAnsi="Calibri" w:cs="Times New Roman"/>
          <w:i/>
          <w:color w:val="000000"/>
        </w:rPr>
      </w:pPr>
      <w:r w:rsidRPr="00274AF5">
        <w:rPr>
          <w:rFonts w:ascii="Calibri" w:eastAsia="Times New Roman" w:hAnsi="Calibri" w:cs="Times New Roman"/>
          <w:i/>
          <w:color w:val="000000"/>
        </w:rPr>
        <w:t>Workgroup Charge:</w:t>
      </w:r>
    </w:p>
    <w:p w:rsidR="002D333B" w:rsidRPr="006F600B" w:rsidRDefault="002D333B" w:rsidP="00CF0E58">
      <w:pPr>
        <w:pStyle w:val="ListParagraph"/>
        <w:numPr>
          <w:ilvl w:val="0"/>
          <w:numId w:val="25"/>
        </w:numPr>
        <w:rPr>
          <w:rFonts w:ascii="Calibri" w:eastAsia="Times New Roman" w:hAnsi="Calibri" w:cs="Times New Roman"/>
          <w:bCs/>
          <w:color w:val="000000"/>
        </w:rPr>
      </w:pPr>
      <w:r w:rsidRPr="006F600B">
        <w:rPr>
          <w:rFonts w:ascii="Calibri" w:eastAsia="Times New Roman" w:hAnsi="Calibri" w:cs="Times New Roman"/>
          <w:bCs/>
          <w:color w:val="000000"/>
        </w:rPr>
        <w:t xml:space="preserve">Provide a set of recommendations to the HITPC regarding how ONC and HHS can advance priority health IT capabilities in a variety of </w:t>
      </w:r>
      <w:proofErr w:type="gramStart"/>
      <w:r w:rsidRPr="006F600B">
        <w:rPr>
          <w:rFonts w:ascii="Calibri" w:eastAsia="Times New Roman" w:hAnsi="Calibri" w:cs="Times New Roman"/>
          <w:bCs/>
          <w:color w:val="000000"/>
        </w:rPr>
        <w:t>accountable</w:t>
      </w:r>
      <w:proofErr w:type="gramEnd"/>
      <w:r w:rsidRPr="006F600B">
        <w:rPr>
          <w:rFonts w:ascii="Calibri" w:eastAsia="Times New Roman" w:hAnsi="Calibri" w:cs="Times New Roman"/>
          <w:bCs/>
          <w:color w:val="000000"/>
        </w:rPr>
        <w:t xml:space="preserve"> care arrangements to support improvements in care and health while reducing costs.</w:t>
      </w:r>
    </w:p>
    <w:p w:rsidR="006F600B" w:rsidRPr="00274AF5" w:rsidRDefault="00087758" w:rsidP="006F600B">
      <w:pPr>
        <w:rPr>
          <w:rFonts w:ascii="Calibri" w:eastAsia="Times New Roman" w:hAnsi="Calibri" w:cs="Times New Roman"/>
          <w:i/>
          <w:color w:val="000000"/>
        </w:rPr>
      </w:pPr>
      <w:r>
        <w:rPr>
          <w:rFonts w:ascii="Calibri" w:eastAsia="Times New Roman" w:hAnsi="Calibri" w:cs="Times New Roman"/>
          <w:i/>
          <w:color w:val="000000"/>
        </w:rPr>
        <w:t>Review Principles</w:t>
      </w:r>
      <w:r w:rsidR="006F600B" w:rsidRPr="00274AF5">
        <w:rPr>
          <w:rFonts w:ascii="Calibri" w:eastAsia="Times New Roman" w:hAnsi="Calibri" w:cs="Times New Roman"/>
          <w:i/>
          <w:color w:val="000000"/>
        </w:rPr>
        <w:t>:</w:t>
      </w:r>
    </w:p>
    <w:p w:rsidR="00087758" w:rsidRPr="00087758" w:rsidRDefault="00087758" w:rsidP="00087758">
      <w:pPr>
        <w:pStyle w:val="ListParagraph"/>
        <w:numPr>
          <w:ilvl w:val="0"/>
          <w:numId w:val="42"/>
        </w:numPr>
        <w:rPr>
          <w:rFonts w:ascii="Calibri" w:eastAsia="Times New Roman" w:hAnsi="Calibri" w:cs="Times New Roman"/>
          <w:bCs/>
          <w:color w:val="000000"/>
        </w:rPr>
      </w:pPr>
      <w:r w:rsidRPr="00087758">
        <w:rPr>
          <w:rFonts w:ascii="Calibri" w:eastAsia="Times New Roman" w:hAnsi="Calibri" w:cs="Times New Roman"/>
          <w:bCs/>
          <w:color w:val="000000"/>
        </w:rPr>
        <w:t>There is a clear Federal policy lever that can be applied to move the recommendation forward.</w:t>
      </w:r>
    </w:p>
    <w:p w:rsidR="00087758" w:rsidRPr="00087758" w:rsidRDefault="00087758" w:rsidP="00087758">
      <w:pPr>
        <w:pStyle w:val="ListParagraph"/>
        <w:numPr>
          <w:ilvl w:val="0"/>
          <w:numId w:val="42"/>
        </w:numPr>
        <w:rPr>
          <w:rFonts w:ascii="Calibri" w:eastAsia="Times New Roman" w:hAnsi="Calibri" w:cs="Times New Roman"/>
          <w:bCs/>
          <w:color w:val="000000"/>
        </w:rPr>
      </w:pPr>
      <w:r w:rsidRPr="00087758">
        <w:rPr>
          <w:rFonts w:ascii="Calibri" w:eastAsia="Times New Roman" w:hAnsi="Calibri" w:cs="Times New Roman"/>
          <w:bCs/>
          <w:color w:val="000000"/>
        </w:rPr>
        <w:t>The desired outcome is not likely to be accomplished under current market conditions.</w:t>
      </w:r>
    </w:p>
    <w:p w:rsidR="00087758" w:rsidRPr="00087758" w:rsidRDefault="00087758" w:rsidP="00087758">
      <w:pPr>
        <w:pStyle w:val="ListParagraph"/>
        <w:numPr>
          <w:ilvl w:val="0"/>
          <w:numId w:val="42"/>
        </w:numPr>
        <w:rPr>
          <w:rFonts w:ascii="Calibri" w:eastAsia="Times New Roman" w:hAnsi="Calibri" w:cs="Times New Roman"/>
          <w:bCs/>
          <w:color w:val="000000"/>
        </w:rPr>
      </w:pPr>
      <w:r w:rsidRPr="00087758">
        <w:rPr>
          <w:rFonts w:ascii="Calibri" w:eastAsia="Times New Roman" w:hAnsi="Calibri" w:cs="Times New Roman"/>
          <w:bCs/>
          <w:color w:val="000000"/>
        </w:rPr>
        <w:t>The value of the initiative significantly outweighs any administrative burden imposed on providers or vendors.</w:t>
      </w:r>
    </w:p>
    <w:p w:rsidR="00087758" w:rsidRPr="00087758" w:rsidRDefault="00087758" w:rsidP="00087758">
      <w:pPr>
        <w:pStyle w:val="ListParagraph"/>
        <w:numPr>
          <w:ilvl w:val="0"/>
          <w:numId w:val="42"/>
        </w:numPr>
        <w:rPr>
          <w:rFonts w:ascii="Calibri" w:eastAsia="Times New Roman" w:hAnsi="Calibri" w:cs="Times New Roman"/>
          <w:bCs/>
          <w:color w:val="000000"/>
        </w:rPr>
      </w:pPr>
      <w:r w:rsidRPr="00087758">
        <w:rPr>
          <w:rFonts w:ascii="Calibri" w:eastAsia="Times New Roman" w:hAnsi="Calibri" w:cs="Times New Roman"/>
          <w:bCs/>
          <w:color w:val="000000"/>
        </w:rPr>
        <w:t>It has clearly articulated value with respect to improving quality, managing costs, and/or population health</w:t>
      </w:r>
    </w:p>
    <w:p w:rsidR="00087758" w:rsidRPr="00087758" w:rsidRDefault="00087758" w:rsidP="00087758">
      <w:pPr>
        <w:pStyle w:val="ListParagraph"/>
        <w:numPr>
          <w:ilvl w:val="0"/>
          <w:numId w:val="42"/>
        </w:numPr>
        <w:rPr>
          <w:rFonts w:ascii="Calibri" w:eastAsia="Times New Roman" w:hAnsi="Calibri" w:cs="Times New Roman"/>
          <w:bCs/>
          <w:color w:val="000000"/>
        </w:rPr>
      </w:pPr>
      <w:r w:rsidRPr="00087758">
        <w:rPr>
          <w:rFonts w:ascii="Calibri" w:eastAsia="Times New Roman" w:hAnsi="Calibri" w:cs="Times New Roman"/>
          <w:bCs/>
          <w:color w:val="000000"/>
        </w:rPr>
        <w:t xml:space="preserve">The recommendation is likely to have near-term impact or is a significant long-term priority. </w:t>
      </w:r>
    </w:p>
    <w:p w:rsidR="00871676" w:rsidRDefault="00BE1173" w:rsidP="00E47D31">
      <w:pPr>
        <w:rPr>
          <w:rFonts w:ascii="Calibri" w:eastAsia="Times New Roman" w:hAnsi="Calibri" w:cs="Times New Roman"/>
          <w:i/>
          <w:color w:val="000000"/>
        </w:rPr>
      </w:pPr>
      <w:r w:rsidRPr="00274AF5">
        <w:rPr>
          <w:rFonts w:ascii="Calibri" w:eastAsia="Times New Roman" w:hAnsi="Calibri" w:cs="Times New Roman"/>
          <w:i/>
          <w:color w:val="000000"/>
        </w:rPr>
        <w:t>Recommendations</w:t>
      </w:r>
      <w:r w:rsidR="000B5A6E" w:rsidRPr="00274AF5">
        <w:rPr>
          <w:rFonts w:ascii="Calibri" w:eastAsia="Times New Roman" w:hAnsi="Calibri" w:cs="Times New Roman"/>
          <w:i/>
          <w:color w:val="000000"/>
        </w:rPr>
        <w:t xml:space="preserve"> for </w:t>
      </w:r>
      <w:r w:rsidR="002D333B" w:rsidRPr="00274AF5">
        <w:rPr>
          <w:rFonts w:ascii="Calibri" w:eastAsia="Times New Roman" w:hAnsi="Calibri" w:cs="Times New Roman"/>
          <w:i/>
          <w:color w:val="000000"/>
        </w:rPr>
        <w:t>Consideration</w:t>
      </w:r>
      <w:r w:rsidR="00087758">
        <w:rPr>
          <w:rFonts w:ascii="Calibri" w:eastAsia="Times New Roman" w:hAnsi="Calibri" w:cs="Times New Roman"/>
          <w:i/>
          <w:color w:val="000000"/>
        </w:rPr>
        <w:t xml:space="preserve"> Overview</w:t>
      </w:r>
      <w:r w:rsidR="002D333B" w:rsidRPr="00274AF5">
        <w:rPr>
          <w:rFonts w:ascii="Calibri" w:eastAsia="Times New Roman" w:hAnsi="Calibri" w:cs="Times New Roman"/>
          <w:i/>
          <w:color w:val="000000"/>
        </w:rPr>
        <w:t>:</w:t>
      </w:r>
    </w:p>
    <w:p w:rsidR="007B2E59" w:rsidRPr="00DF7540" w:rsidRDefault="007B2E59" w:rsidP="007B2E59">
      <w:pPr>
        <w:pStyle w:val="ListParagraph"/>
        <w:numPr>
          <w:ilvl w:val="0"/>
          <w:numId w:val="37"/>
        </w:numPr>
        <w:rPr>
          <w:rFonts w:ascii="Calibri" w:eastAsia="Times New Roman" w:hAnsi="Calibri" w:cs="Times New Roman"/>
          <w:b/>
          <w:i/>
          <w:color w:val="000000"/>
        </w:rPr>
      </w:pPr>
      <w:r w:rsidRPr="00DF7540">
        <w:rPr>
          <w:b/>
          <w:bCs/>
        </w:rPr>
        <w:t>HIT adoption and infrastructure.</w:t>
      </w:r>
    </w:p>
    <w:p w:rsidR="007B2E59" w:rsidRPr="00FB54D1" w:rsidRDefault="007B2E59" w:rsidP="007B2E59">
      <w:pPr>
        <w:pStyle w:val="ListParagraph"/>
        <w:numPr>
          <w:ilvl w:val="1"/>
          <w:numId w:val="37"/>
        </w:numPr>
        <w:rPr>
          <w:rFonts w:ascii="Calibri" w:eastAsia="Times New Roman" w:hAnsi="Calibri" w:cs="Times New Roman"/>
          <w:i/>
          <w:color w:val="000000"/>
        </w:rPr>
      </w:pPr>
      <w:r w:rsidRPr="00FB54D1">
        <w:t xml:space="preserve">Strengthen provisions in </w:t>
      </w:r>
      <w:proofErr w:type="gramStart"/>
      <w:r w:rsidRPr="00FB54D1">
        <w:t>accountable</w:t>
      </w:r>
      <w:proofErr w:type="gramEnd"/>
      <w:r w:rsidRPr="00FB54D1">
        <w:t xml:space="preserve"> care programs (e.g. MSSP) that incentivize providers to obtain health information technology.</w:t>
      </w:r>
    </w:p>
    <w:p w:rsidR="007B2E59" w:rsidRPr="00FB54D1" w:rsidRDefault="007B2E59" w:rsidP="007B2E59">
      <w:pPr>
        <w:pStyle w:val="ListParagraph"/>
        <w:numPr>
          <w:ilvl w:val="1"/>
          <w:numId w:val="37"/>
        </w:numPr>
        <w:rPr>
          <w:rFonts w:ascii="Calibri" w:eastAsia="Times New Roman" w:hAnsi="Calibri" w:cs="Times New Roman"/>
          <w:i/>
          <w:color w:val="000000"/>
        </w:rPr>
      </w:pPr>
      <w:r w:rsidRPr="00FB54D1">
        <w:t xml:space="preserve">Request additional detail around infrastructure planning with respect to HIT from applicants to </w:t>
      </w:r>
      <w:proofErr w:type="gramStart"/>
      <w:r w:rsidRPr="00FB54D1">
        <w:t>accountable</w:t>
      </w:r>
      <w:proofErr w:type="gramEnd"/>
      <w:r w:rsidRPr="00FB54D1">
        <w:t xml:space="preserve"> care programs.</w:t>
      </w:r>
    </w:p>
    <w:p w:rsidR="007B2E59" w:rsidRPr="00FB54D1" w:rsidRDefault="007B2E59" w:rsidP="007B2E59">
      <w:pPr>
        <w:pStyle w:val="ListParagraph"/>
        <w:numPr>
          <w:ilvl w:val="1"/>
          <w:numId w:val="37"/>
        </w:numPr>
        <w:rPr>
          <w:rFonts w:ascii="Calibri" w:eastAsia="Times New Roman" w:hAnsi="Calibri" w:cs="Times New Roman"/>
          <w:i/>
          <w:color w:val="000000"/>
        </w:rPr>
      </w:pPr>
      <w:r w:rsidRPr="00FB54D1">
        <w:t>Expand the Advanced Payment Model within the MSSP permanent program.</w:t>
      </w:r>
    </w:p>
    <w:p w:rsidR="007B2E59" w:rsidRPr="00FB54D1" w:rsidRDefault="007B2E59" w:rsidP="007B2E59">
      <w:pPr>
        <w:pStyle w:val="ListParagraph"/>
        <w:numPr>
          <w:ilvl w:val="1"/>
          <w:numId w:val="37"/>
        </w:numPr>
        <w:rPr>
          <w:rFonts w:ascii="Calibri" w:eastAsia="Times New Roman" w:hAnsi="Calibri" w:cs="Times New Roman"/>
          <w:i/>
          <w:color w:val="000000"/>
        </w:rPr>
      </w:pPr>
      <w:r w:rsidRPr="00FB54D1">
        <w:t xml:space="preserve">Provide additional shared savings incentives to </w:t>
      </w:r>
      <w:proofErr w:type="gramStart"/>
      <w:r w:rsidRPr="00FB54D1">
        <w:t>accountable</w:t>
      </w:r>
      <w:proofErr w:type="gramEnd"/>
      <w:r w:rsidRPr="00FB54D1">
        <w:t xml:space="preserve"> care organizations that include partners who are not eligible for EHR incentives.</w:t>
      </w:r>
    </w:p>
    <w:p w:rsidR="007B2E59" w:rsidRPr="00DF7540" w:rsidRDefault="007B2E59" w:rsidP="007B2E59">
      <w:pPr>
        <w:pStyle w:val="ListParagraph"/>
        <w:numPr>
          <w:ilvl w:val="0"/>
          <w:numId w:val="37"/>
        </w:numPr>
        <w:rPr>
          <w:rFonts w:ascii="Calibri" w:eastAsia="Times New Roman" w:hAnsi="Calibri" w:cs="Times New Roman"/>
          <w:b/>
          <w:i/>
          <w:color w:val="000000"/>
        </w:rPr>
      </w:pPr>
      <w:r w:rsidRPr="00DF7540">
        <w:rPr>
          <w:b/>
          <w:bCs/>
        </w:rPr>
        <w:t xml:space="preserve">Access to administrative </w:t>
      </w:r>
      <w:r w:rsidR="00A65EBD">
        <w:rPr>
          <w:b/>
          <w:bCs/>
        </w:rPr>
        <w:t xml:space="preserve">and encounter </w:t>
      </w:r>
      <w:r w:rsidRPr="00DF7540">
        <w:rPr>
          <w:b/>
          <w:bCs/>
        </w:rPr>
        <w:t>data.</w:t>
      </w:r>
    </w:p>
    <w:p w:rsidR="007B2E59" w:rsidRPr="00FB54D1" w:rsidRDefault="007B2E59" w:rsidP="007B2E59">
      <w:pPr>
        <w:pStyle w:val="ListParagraph"/>
        <w:numPr>
          <w:ilvl w:val="1"/>
          <w:numId w:val="37"/>
        </w:numPr>
        <w:rPr>
          <w:rFonts w:ascii="Calibri" w:eastAsia="Times New Roman" w:hAnsi="Calibri" w:cs="Times New Roman"/>
          <w:i/>
          <w:color w:val="000000"/>
        </w:rPr>
      </w:pPr>
      <w:r w:rsidRPr="00FB54D1">
        <w:t xml:space="preserve">Develop a strategy and vision for scalable data architecture to support </w:t>
      </w:r>
      <w:proofErr w:type="gramStart"/>
      <w:r w:rsidRPr="00FB54D1">
        <w:t>accountable</w:t>
      </w:r>
      <w:proofErr w:type="gramEnd"/>
      <w:r w:rsidRPr="00FB54D1">
        <w:t xml:space="preserve"> care with integrated claims and clinical data.</w:t>
      </w:r>
    </w:p>
    <w:p w:rsidR="00A65EBD" w:rsidRPr="006055D8" w:rsidRDefault="00A65EBD" w:rsidP="00A65EBD">
      <w:pPr>
        <w:pStyle w:val="ListParagraph"/>
        <w:numPr>
          <w:ilvl w:val="1"/>
          <w:numId w:val="37"/>
        </w:numPr>
        <w:rPr>
          <w:rFonts w:ascii="Calibri" w:eastAsia="Times New Roman" w:hAnsi="Calibri" w:cs="Times New Roman"/>
          <w:i/>
          <w:color w:val="000000"/>
        </w:rPr>
      </w:pPr>
      <w:r w:rsidRPr="00FB54D1">
        <w:t>Provide access to claims data for prospective Medicare ACOs.</w:t>
      </w:r>
    </w:p>
    <w:p w:rsidR="007B2E59" w:rsidRPr="00FB54D1" w:rsidRDefault="007B2E59" w:rsidP="007B2E59">
      <w:pPr>
        <w:pStyle w:val="ListParagraph"/>
        <w:numPr>
          <w:ilvl w:val="1"/>
          <w:numId w:val="37"/>
        </w:numPr>
        <w:rPr>
          <w:rFonts w:ascii="Calibri" w:eastAsia="Times New Roman" w:hAnsi="Calibri" w:cs="Times New Roman"/>
          <w:i/>
          <w:color w:val="000000"/>
        </w:rPr>
      </w:pPr>
      <w:r w:rsidRPr="00FB54D1">
        <w:t>Provide access to behavioral health claims data for Accountable Care Organizations.</w:t>
      </w:r>
    </w:p>
    <w:p w:rsidR="006055D8" w:rsidRPr="006055D8" w:rsidRDefault="006055D8" w:rsidP="006055D8">
      <w:pPr>
        <w:pStyle w:val="ListParagraph"/>
        <w:numPr>
          <w:ilvl w:val="1"/>
          <w:numId w:val="37"/>
        </w:numPr>
        <w:rPr>
          <w:rFonts w:ascii="Calibri" w:eastAsia="Times New Roman" w:hAnsi="Calibri" w:cs="Times New Roman"/>
          <w:i/>
          <w:color w:val="000000"/>
        </w:rPr>
      </w:pPr>
      <w:r w:rsidRPr="00522E8D">
        <w:rPr>
          <w:rFonts w:ascii="Calibri" w:eastAsia="Times New Roman" w:hAnsi="Calibri" w:cs="Times New Roman"/>
          <w:color w:val="000000"/>
        </w:rPr>
        <w:t xml:space="preserve">Make eligibility and benefit data available to support </w:t>
      </w:r>
      <w:proofErr w:type="gramStart"/>
      <w:r w:rsidRPr="00522E8D">
        <w:rPr>
          <w:rFonts w:ascii="Calibri" w:eastAsia="Times New Roman" w:hAnsi="Calibri" w:cs="Times New Roman"/>
          <w:color w:val="000000"/>
        </w:rPr>
        <w:t>accountable</w:t>
      </w:r>
      <w:proofErr w:type="gramEnd"/>
      <w:r w:rsidRPr="00522E8D">
        <w:rPr>
          <w:rFonts w:ascii="Calibri" w:eastAsia="Times New Roman" w:hAnsi="Calibri" w:cs="Times New Roman"/>
          <w:color w:val="000000"/>
        </w:rPr>
        <w:t xml:space="preserve"> care organizations.</w:t>
      </w:r>
    </w:p>
    <w:p w:rsidR="006055D8" w:rsidRDefault="006055D8" w:rsidP="006055D8">
      <w:pPr>
        <w:pStyle w:val="ListParagraph"/>
        <w:numPr>
          <w:ilvl w:val="1"/>
          <w:numId w:val="37"/>
        </w:numPr>
        <w:rPr>
          <w:rFonts w:ascii="Calibri" w:eastAsia="Times New Roman" w:hAnsi="Calibri" w:cs="Times New Roman"/>
          <w:color w:val="000000"/>
        </w:rPr>
      </w:pPr>
      <w:r w:rsidRPr="00522E8D">
        <w:rPr>
          <w:rFonts w:ascii="Calibri" w:eastAsia="Times New Roman" w:hAnsi="Calibri" w:cs="Times New Roman"/>
          <w:color w:val="000000"/>
        </w:rPr>
        <w:t>Drive progress on standardization and capture of social determinants of health data elements.</w:t>
      </w:r>
    </w:p>
    <w:p w:rsidR="00A65EBD" w:rsidRPr="007C20A0" w:rsidRDefault="006055D8" w:rsidP="007C20A0">
      <w:pPr>
        <w:pStyle w:val="ListParagraph"/>
        <w:numPr>
          <w:ilvl w:val="1"/>
          <w:numId w:val="37"/>
        </w:numPr>
        <w:rPr>
          <w:rFonts w:ascii="Calibri" w:eastAsia="Times New Roman" w:hAnsi="Calibri" w:cs="Times New Roman"/>
          <w:color w:val="000000"/>
        </w:rPr>
      </w:pPr>
      <w:r w:rsidRPr="00522E8D">
        <w:rPr>
          <w:rFonts w:ascii="Calibri" w:eastAsia="Times New Roman" w:hAnsi="Calibri" w:cs="Times New Roman"/>
          <w:color w:val="000000"/>
        </w:rPr>
        <w:t>Further clarify federal guidance around protected information to increase sharing of behavioral health information.</w:t>
      </w:r>
      <w:bookmarkStart w:id="0" w:name="_GoBack"/>
      <w:bookmarkEnd w:id="0"/>
    </w:p>
    <w:p w:rsidR="00FB54D1" w:rsidRPr="00DF7540" w:rsidRDefault="00FB54D1" w:rsidP="00FB54D1">
      <w:pPr>
        <w:pStyle w:val="ListParagraph"/>
        <w:numPr>
          <w:ilvl w:val="0"/>
          <w:numId w:val="37"/>
        </w:numPr>
        <w:rPr>
          <w:rFonts w:ascii="Calibri" w:eastAsia="Times New Roman" w:hAnsi="Calibri" w:cs="Times New Roman"/>
          <w:b/>
          <w:i/>
          <w:color w:val="000000"/>
        </w:rPr>
      </w:pPr>
      <w:r w:rsidRPr="00DF7540">
        <w:rPr>
          <w:b/>
          <w:bCs/>
        </w:rPr>
        <w:t>Exchanging Data across the Healthcare Neighborhood.</w:t>
      </w:r>
    </w:p>
    <w:p w:rsidR="00FB54D1" w:rsidRPr="00FB54D1" w:rsidRDefault="00FB54D1" w:rsidP="00FB54D1">
      <w:pPr>
        <w:pStyle w:val="ListParagraph"/>
        <w:numPr>
          <w:ilvl w:val="1"/>
          <w:numId w:val="37"/>
        </w:numPr>
        <w:rPr>
          <w:rFonts w:ascii="Calibri" w:eastAsia="Times New Roman" w:hAnsi="Calibri" w:cs="Times New Roman"/>
          <w:i/>
          <w:color w:val="000000"/>
        </w:rPr>
      </w:pPr>
      <w:r w:rsidRPr="00FB54D1">
        <w:lastRenderedPageBreak/>
        <w:t xml:space="preserve">Articulate expectations </w:t>
      </w:r>
      <w:r>
        <w:t>that</w:t>
      </w:r>
      <w:r w:rsidRPr="00FB54D1">
        <w:t xml:space="preserve"> </w:t>
      </w:r>
      <w:r>
        <w:t xml:space="preserve">hospitals and health systems participating in federal </w:t>
      </w:r>
      <w:r w:rsidRPr="00FB54D1">
        <w:t xml:space="preserve">accountable care models </w:t>
      </w:r>
      <w:r>
        <w:t>must</w:t>
      </w:r>
      <w:r w:rsidRPr="00FB54D1">
        <w:t xml:space="preserve"> participate in health information exchange activities.</w:t>
      </w:r>
    </w:p>
    <w:p w:rsidR="00FB54D1" w:rsidRPr="00522E8D" w:rsidRDefault="00FB54D1" w:rsidP="00FB54D1">
      <w:pPr>
        <w:pStyle w:val="ListParagraph"/>
        <w:numPr>
          <w:ilvl w:val="1"/>
          <w:numId w:val="37"/>
        </w:numPr>
        <w:rPr>
          <w:rFonts w:ascii="Calibri" w:eastAsia="Times New Roman" w:hAnsi="Calibri" w:cs="Times New Roman"/>
          <w:i/>
          <w:color w:val="000000"/>
        </w:rPr>
      </w:pPr>
      <w:r w:rsidRPr="00FB54D1">
        <w:t>Increase public transparency around institutions’ participation in health information exchange.</w:t>
      </w:r>
      <w:r w:rsidR="00DF7540">
        <w:t xml:space="preserve"> </w:t>
      </w:r>
      <w:r w:rsidR="00DF7540" w:rsidRPr="00DF7540">
        <w:rPr>
          <w:b/>
        </w:rPr>
        <w:t>(CONSIDER REMOV</w:t>
      </w:r>
      <w:r w:rsidR="00DF7540">
        <w:rPr>
          <w:b/>
        </w:rPr>
        <w:t>ING</w:t>
      </w:r>
      <w:r w:rsidR="00DF7540" w:rsidRPr="00DF7540">
        <w:rPr>
          <w:b/>
        </w:rPr>
        <w:t>)</w:t>
      </w:r>
    </w:p>
    <w:p w:rsidR="00522E8D" w:rsidRDefault="00522E8D" w:rsidP="00522E8D">
      <w:pPr>
        <w:pStyle w:val="ListParagraph"/>
        <w:numPr>
          <w:ilvl w:val="1"/>
          <w:numId w:val="37"/>
        </w:numPr>
        <w:rPr>
          <w:rFonts w:ascii="Calibri" w:eastAsia="Times New Roman" w:hAnsi="Calibri" w:cs="Times New Roman"/>
          <w:color w:val="000000"/>
        </w:rPr>
      </w:pPr>
      <w:r w:rsidRPr="00522E8D">
        <w:rPr>
          <w:rFonts w:ascii="Calibri" w:eastAsia="Times New Roman" w:hAnsi="Calibri" w:cs="Times New Roman"/>
          <w:color w:val="000000"/>
        </w:rPr>
        <w:t>Include electronic transfer of data within hospital survey and certification standards around discharge summaries.</w:t>
      </w:r>
    </w:p>
    <w:p w:rsidR="00522E8D" w:rsidRDefault="00522E8D" w:rsidP="00522E8D">
      <w:pPr>
        <w:pStyle w:val="ListParagraph"/>
        <w:numPr>
          <w:ilvl w:val="1"/>
          <w:numId w:val="37"/>
        </w:numPr>
        <w:rPr>
          <w:rFonts w:ascii="Calibri" w:eastAsia="Times New Roman" w:hAnsi="Calibri" w:cs="Times New Roman"/>
          <w:color w:val="000000"/>
        </w:rPr>
      </w:pPr>
      <w:r w:rsidRPr="00522E8D">
        <w:rPr>
          <w:rFonts w:ascii="Calibri" w:eastAsia="Times New Roman" w:hAnsi="Calibri" w:cs="Times New Roman"/>
          <w:color w:val="000000"/>
        </w:rPr>
        <w:t>Include patient event notifications in the objectives as part of the Meaningful Use program.</w:t>
      </w:r>
      <w:r w:rsidR="00DF7540">
        <w:rPr>
          <w:rFonts w:ascii="Calibri" w:eastAsia="Times New Roman" w:hAnsi="Calibri" w:cs="Times New Roman"/>
          <w:color w:val="000000"/>
        </w:rPr>
        <w:t xml:space="preserve"> </w:t>
      </w:r>
      <w:r w:rsidR="00DF7540" w:rsidRPr="00DF7540">
        <w:rPr>
          <w:b/>
        </w:rPr>
        <w:t>(CONSIDER REMOV</w:t>
      </w:r>
      <w:r w:rsidR="00DF7540">
        <w:rPr>
          <w:b/>
        </w:rPr>
        <w:t>ING</w:t>
      </w:r>
      <w:r w:rsidR="00DF7540" w:rsidRPr="00DF7540">
        <w:rPr>
          <w:b/>
        </w:rPr>
        <w:t>)</w:t>
      </w:r>
    </w:p>
    <w:p w:rsidR="00522E8D" w:rsidRPr="00CF11EE" w:rsidRDefault="00522E8D" w:rsidP="00522E8D">
      <w:pPr>
        <w:pStyle w:val="ListParagraph"/>
        <w:numPr>
          <w:ilvl w:val="1"/>
          <w:numId w:val="37"/>
        </w:numPr>
        <w:rPr>
          <w:rFonts w:ascii="Calibri" w:eastAsia="Times New Roman" w:hAnsi="Calibri" w:cs="Times New Roman"/>
          <w:color w:val="000000"/>
        </w:rPr>
      </w:pPr>
      <w:r w:rsidRPr="00522E8D">
        <w:rPr>
          <w:rFonts w:ascii="Calibri" w:eastAsia="Times New Roman" w:hAnsi="Calibri" w:cs="Times New Roman"/>
          <w:color w:val="000000"/>
        </w:rPr>
        <w:t>Develop a scalable model for patient event notifications.</w:t>
      </w:r>
      <w:r w:rsidR="00DF7540">
        <w:rPr>
          <w:rFonts w:ascii="Calibri" w:eastAsia="Times New Roman" w:hAnsi="Calibri" w:cs="Times New Roman"/>
          <w:color w:val="000000"/>
        </w:rPr>
        <w:t xml:space="preserve"> </w:t>
      </w:r>
      <w:r w:rsidR="00DF7540" w:rsidRPr="00DF7540">
        <w:rPr>
          <w:b/>
        </w:rPr>
        <w:t>(CONSIDER REMOV</w:t>
      </w:r>
      <w:r w:rsidR="00DF7540">
        <w:rPr>
          <w:b/>
        </w:rPr>
        <w:t>ING</w:t>
      </w:r>
      <w:r w:rsidR="00DF7540" w:rsidRPr="00DF7540">
        <w:rPr>
          <w:b/>
        </w:rPr>
        <w:t>)</w:t>
      </w:r>
    </w:p>
    <w:p w:rsidR="00CF11EE" w:rsidRPr="007C20A0" w:rsidRDefault="00CF11EE" w:rsidP="007C20A0">
      <w:pPr>
        <w:pStyle w:val="ListParagraph"/>
        <w:numPr>
          <w:ilvl w:val="1"/>
          <w:numId w:val="37"/>
        </w:numPr>
        <w:rPr>
          <w:rFonts w:ascii="Calibri" w:eastAsia="Times New Roman" w:hAnsi="Calibri" w:cs="Times New Roman"/>
          <w:color w:val="000000"/>
        </w:rPr>
      </w:pPr>
      <w:r w:rsidRPr="00432979">
        <w:rPr>
          <w:rFonts w:ascii="Calibri" w:eastAsia="Times New Roman" w:hAnsi="Calibri" w:cs="Times New Roman"/>
          <w:color w:val="000000"/>
        </w:rPr>
        <w:t>Develop guidance to facilitate exchange of protected data within ACOs.</w:t>
      </w:r>
    </w:p>
    <w:p w:rsidR="00522E8D" w:rsidRPr="00522E8D" w:rsidRDefault="00522E8D" w:rsidP="00522E8D">
      <w:pPr>
        <w:pStyle w:val="ListParagraph"/>
        <w:numPr>
          <w:ilvl w:val="0"/>
          <w:numId w:val="37"/>
        </w:numPr>
        <w:rPr>
          <w:rFonts w:ascii="Calibri" w:eastAsia="Times New Roman" w:hAnsi="Calibri" w:cs="Times New Roman"/>
          <w:color w:val="000000"/>
        </w:rPr>
      </w:pPr>
      <w:r w:rsidRPr="00274AF5">
        <w:rPr>
          <w:b/>
          <w:bCs/>
        </w:rPr>
        <w:t xml:space="preserve">Data Liquidity for </w:t>
      </w:r>
      <w:proofErr w:type="gramStart"/>
      <w:r w:rsidRPr="00274AF5">
        <w:rPr>
          <w:b/>
          <w:bCs/>
        </w:rPr>
        <w:t>Accountable</w:t>
      </w:r>
      <w:proofErr w:type="gramEnd"/>
      <w:r w:rsidRPr="00274AF5">
        <w:rPr>
          <w:b/>
          <w:bCs/>
        </w:rPr>
        <w:t xml:space="preserve"> Care.</w:t>
      </w:r>
    </w:p>
    <w:p w:rsidR="00522E8D" w:rsidRPr="00522E8D" w:rsidRDefault="00522E8D" w:rsidP="00522E8D">
      <w:pPr>
        <w:pStyle w:val="ListParagraph"/>
        <w:numPr>
          <w:ilvl w:val="1"/>
          <w:numId w:val="37"/>
        </w:numPr>
        <w:rPr>
          <w:rFonts w:ascii="Calibri" w:eastAsia="Times New Roman" w:hAnsi="Calibri" w:cs="Times New Roman"/>
          <w:color w:val="000000"/>
        </w:rPr>
      </w:pPr>
      <w:r w:rsidRPr="00522E8D">
        <w:t>Drive greater specificity and structure in interoperability standards.</w:t>
      </w:r>
    </w:p>
    <w:p w:rsidR="00522E8D" w:rsidRDefault="00522E8D" w:rsidP="00522E8D">
      <w:pPr>
        <w:pStyle w:val="ListParagraph"/>
        <w:numPr>
          <w:ilvl w:val="1"/>
          <w:numId w:val="37"/>
        </w:numPr>
        <w:rPr>
          <w:rFonts w:ascii="Calibri" w:eastAsia="Times New Roman" w:hAnsi="Calibri" w:cs="Times New Roman"/>
          <w:color w:val="000000"/>
        </w:rPr>
      </w:pPr>
      <w:r w:rsidRPr="00522E8D">
        <w:rPr>
          <w:rFonts w:ascii="Calibri" w:eastAsia="Times New Roman" w:hAnsi="Calibri" w:cs="Times New Roman"/>
          <w:color w:val="000000"/>
        </w:rPr>
        <w:t>Encourage EHR functionality that allows for greater provider customization of workflows.</w:t>
      </w:r>
    </w:p>
    <w:p w:rsidR="00522E8D" w:rsidRDefault="00522E8D" w:rsidP="00522E8D">
      <w:pPr>
        <w:pStyle w:val="ListParagraph"/>
        <w:numPr>
          <w:ilvl w:val="1"/>
          <w:numId w:val="37"/>
        </w:numPr>
        <w:rPr>
          <w:rFonts w:ascii="Calibri" w:eastAsia="Times New Roman" w:hAnsi="Calibri" w:cs="Times New Roman"/>
          <w:color w:val="000000"/>
        </w:rPr>
      </w:pPr>
      <w:r w:rsidRPr="00522E8D">
        <w:rPr>
          <w:rFonts w:ascii="Calibri" w:eastAsia="Times New Roman" w:hAnsi="Calibri" w:cs="Times New Roman"/>
          <w:color w:val="000000"/>
        </w:rPr>
        <w:t>Increasing access to EHR data and improving portability of data across systems.</w:t>
      </w:r>
    </w:p>
    <w:p w:rsidR="00F87552" w:rsidRPr="000B16A1" w:rsidRDefault="00F87552" w:rsidP="00F87552">
      <w:pPr>
        <w:pStyle w:val="ListParagraph"/>
        <w:numPr>
          <w:ilvl w:val="1"/>
          <w:numId w:val="37"/>
        </w:numPr>
        <w:rPr>
          <w:rFonts w:ascii="Calibri" w:eastAsia="Times New Roman" w:hAnsi="Calibri" w:cs="Times New Roman"/>
          <w:color w:val="000000"/>
        </w:rPr>
      </w:pPr>
      <w:r w:rsidRPr="000B16A1">
        <w:t xml:space="preserve">Strengthen </w:t>
      </w:r>
      <w:r w:rsidR="00E93713">
        <w:t xml:space="preserve">Meaningful Use </w:t>
      </w:r>
      <w:r w:rsidRPr="000B16A1">
        <w:t>measures for cross-vendor exchange.</w:t>
      </w:r>
      <w:r>
        <w:t xml:space="preserve"> </w:t>
      </w:r>
      <w:r w:rsidRPr="00DF7540">
        <w:rPr>
          <w:b/>
        </w:rPr>
        <w:t>(CONSIDER REMOV</w:t>
      </w:r>
      <w:r>
        <w:rPr>
          <w:b/>
        </w:rPr>
        <w:t>ING</w:t>
      </w:r>
      <w:r w:rsidRPr="00DF7540">
        <w:rPr>
          <w:b/>
        </w:rPr>
        <w:t>)</w:t>
      </w:r>
    </w:p>
    <w:p w:rsidR="00F87552" w:rsidRDefault="00F87552" w:rsidP="00F87552">
      <w:pPr>
        <w:pStyle w:val="ListParagraph"/>
        <w:numPr>
          <w:ilvl w:val="1"/>
          <w:numId w:val="37"/>
        </w:numPr>
        <w:rPr>
          <w:rFonts w:ascii="Calibri" w:eastAsia="Times New Roman" w:hAnsi="Calibri" w:cs="Times New Roman"/>
          <w:color w:val="000000"/>
        </w:rPr>
      </w:pPr>
      <w:r w:rsidRPr="00F87552">
        <w:rPr>
          <w:rFonts w:ascii="Calibri" w:eastAsia="Times New Roman" w:hAnsi="Calibri" w:cs="Times New Roman"/>
          <w:color w:val="000000"/>
        </w:rPr>
        <w:t>Increase availability of data from remote monitoring devices.</w:t>
      </w:r>
    </w:p>
    <w:p w:rsidR="00CF11EE" w:rsidRPr="007C20A0" w:rsidRDefault="00522E8D" w:rsidP="007C20A0">
      <w:pPr>
        <w:pStyle w:val="ListParagraph"/>
        <w:numPr>
          <w:ilvl w:val="1"/>
          <w:numId w:val="37"/>
        </w:numPr>
        <w:rPr>
          <w:rFonts w:ascii="Calibri" w:eastAsia="Times New Roman" w:hAnsi="Calibri" w:cs="Times New Roman"/>
          <w:color w:val="000000"/>
        </w:rPr>
      </w:pPr>
      <w:r w:rsidRPr="00522E8D">
        <w:t>Increase effectiveness of certification tools.</w:t>
      </w:r>
      <w:r w:rsidR="000B16A1">
        <w:t xml:space="preserve"> </w:t>
      </w:r>
    </w:p>
    <w:p w:rsidR="00522E8D" w:rsidRPr="00522E8D" w:rsidRDefault="00522E8D" w:rsidP="00522E8D">
      <w:pPr>
        <w:pStyle w:val="ListParagraph"/>
        <w:numPr>
          <w:ilvl w:val="0"/>
          <w:numId w:val="37"/>
        </w:numPr>
        <w:rPr>
          <w:rFonts w:ascii="Calibri" w:eastAsia="Times New Roman" w:hAnsi="Calibri" w:cs="Times New Roman"/>
          <w:color w:val="000000"/>
        </w:rPr>
      </w:pPr>
      <w:r>
        <w:rPr>
          <w:b/>
          <w:bCs/>
        </w:rPr>
        <w:t>Clinician u</w:t>
      </w:r>
      <w:r w:rsidRPr="00274AF5">
        <w:rPr>
          <w:b/>
          <w:bCs/>
        </w:rPr>
        <w:t xml:space="preserve">se of data and </w:t>
      </w:r>
      <w:r>
        <w:rPr>
          <w:b/>
          <w:bCs/>
        </w:rPr>
        <w:t>information to improve care</w:t>
      </w:r>
      <w:r w:rsidRPr="00274AF5">
        <w:rPr>
          <w:b/>
          <w:bCs/>
        </w:rPr>
        <w:t>.</w:t>
      </w:r>
    </w:p>
    <w:p w:rsidR="00522E8D" w:rsidRPr="0096232F" w:rsidRDefault="00522E8D" w:rsidP="00522E8D">
      <w:pPr>
        <w:pStyle w:val="ListParagraph"/>
        <w:numPr>
          <w:ilvl w:val="1"/>
          <w:numId w:val="37"/>
        </w:numPr>
        <w:rPr>
          <w:rFonts w:ascii="Calibri" w:eastAsia="Times New Roman" w:hAnsi="Calibri" w:cs="Times New Roman"/>
          <w:color w:val="000000"/>
        </w:rPr>
      </w:pPr>
      <w:r w:rsidRPr="0096232F">
        <w:rPr>
          <w:rFonts w:ascii="Calibri" w:eastAsia="Times New Roman" w:hAnsi="Calibri" w:cs="Times New Roman"/>
          <w:color w:val="000000"/>
        </w:rPr>
        <w:t xml:space="preserve">Accelerate progress on </w:t>
      </w:r>
      <w:r w:rsidR="00F87552">
        <w:rPr>
          <w:rFonts w:ascii="Calibri" w:eastAsia="Times New Roman" w:hAnsi="Calibri" w:cs="Times New Roman"/>
          <w:color w:val="000000"/>
        </w:rPr>
        <w:t xml:space="preserve">development of </w:t>
      </w:r>
      <w:r w:rsidRPr="0096232F">
        <w:rPr>
          <w:rFonts w:ascii="Calibri" w:eastAsia="Times New Roman" w:hAnsi="Calibri" w:cs="Times New Roman"/>
          <w:color w:val="000000"/>
        </w:rPr>
        <w:t>shared care plans.</w:t>
      </w:r>
    </w:p>
    <w:p w:rsidR="00522E8D" w:rsidRPr="0096232F" w:rsidRDefault="00522E8D" w:rsidP="00522E8D">
      <w:pPr>
        <w:pStyle w:val="ListParagraph"/>
        <w:numPr>
          <w:ilvl w:val="1"/>
          <w:numId w:val="37"/>
        </w:numPr>
        <w:rPr>
          <w:rFonts w:ascii="Calibri" w:eastAsia="Times New Roman" w:hAnsi="Calibri" w:cs="Times New Roman"/>
          <w:color w:val="000000"/>
        </w:rPr>
      </w:pPr>
      <w:r w:rsidRPr="0096232F">
        <w:rPr>
          <w:rFonts w:ascii="Calibri" w:eastAsia="Times New Roman" w:hAnsi="Calibri" w:cs="Times New Roman"/>
          <w:color w:val="000000"/>
        </w:rPr>
        <w:t>Incentivize care plan usage.</w:t>
      </w:r>
      <w:r w:rsidR="000B16A1">
        <w:rPr>
          <w:rFonts w:ascii="Calibri" w:eastAsia="Times New Roman" w:hAnsi="Calibri" w:cs="Times New Roman"/>
          <w:color w:val="000000"/>
        </w:rPr>
        <w:t xml:space="preserve"> </w:t>
      </w:r>
      <w:r w:rsidR="000B16A1" w:rsidRPr="00DF7540">
        <w:rPr>
          <w:b/>
        </w:rPr>
        <w:t>(CONSIDER REMOV</w:t>
      </w:r>
      <w:r w:rsidR="000B16A1">
        <w:rPr>
          <w:b/>
        </w:rPr>
        <w:t>ING</w:t>
      </w:r>
      <w:r w:rsidR="000B16A1" w:rsidRPr="00DF7540">
        <w:rPr>
          <w:b/>
        </w:rPr>
        <w:t>)</w:t>
      </w:r>
    </w:p>
    <w:p w:rsidR="00522E8D" w:rsidRPr="0096232F" w:rsidRDefault="00522E8D" w:rsidP="00522E8D">
      <w:pPr>
        <w:pStyle w:val="ListParagraph"/>
        <w:numPr>
          <w:ilvl w:val="1"/>
          <w:numId w:val="37"/>
        </w:numPr>
        <w:rPr>
          <w:rFonts w:ascii="Calibri" w:eastAsia="Times New Roman" w:hAnsi="Calibri" w:cs="Times New Roman"/>
          <w:color w:val="000000"/>
        </w:rPr>
      </w:pPr>
      <w:r w:rsidRPr="0096232F">
        <w:t>Coverage and eligibility data at the point of care.</w:t>
      </w:r>
    </w:p>
    <w:p w:rsidR="00522E8D" w:rsidRPr="0096232F" w:rsidRDefault="00522E8D" w:rsidP="00522E8D">
      <w:pPr>
        <w:pStyle w:val="ListParagraph"/>
        <w:numPr>
          <w:ilvl w:val="1"/>
          <w:numId w:val="37"/>
        </w:numPr>
        <w:rPr>
          <w:rFonts w:ascii="Calibri" w:eastAsia="Times New Roman" w:hAnsi="Calibri" w:cs="Times New Roman"/>
          <w:color w:val="000000"/>
        </w:rPr>
      </w:pPr>
      <w:r w:rsidRPr="0096232F">
        <w:t>Clinical decision support efficacy.</w:t>
      </w:r>
    </w:p>
    <w:p w:rsidR="00522E8D" w:rsidRPr="0096232F" w:rsidRDefault="00522E8D" w:rsidP="00522E8D">
      <w:pPr>
        <w:pStyle w:val="ListParagraph"/>
        <w:numPr>
          <w:ilvl w:val="1"/>
          <w:numId w:val="37"/>
        </w:numPr>
        <w:rPr>
          <w:rFonts w:ascii="Calibri" w:eastAsia="Times New Roman" w:hAnsi="Calibri" w:cs="Times New Roman"/>
          <w:color w:val="000000"/>
        </w:rPr>
      </w:pPr>
      <w:r w:rsidRPr="0096232F">
        <w:t>Claims data at the point of care.</w:t>
      </w:r>
      <w:r w:rsidR="000B16A1">
        <w:t xml:space="preserve"> </w:t>
      </w:r>
      <w:r w:rsidR="000B16A1" w:rsidRPr="00DF7540">
        <w:rPr>
          <w:b/>
        </w:rPr>
        <w:t>(CONSIDER REMOV</w:t>
      </w:r>
      <w:r w:rsidR="000B16A1">
        <w:rPr>
          <w:b/>
        </w:rPr>
        <w:t>ING</w:t>
      </w:r>
      <w:r w:rsidR="000B16A1" w:rsidRPr="00DF7540">
        <w:rPr>
          <w:b/>
        </w:rPr>
        <w:t>)</w:t>
      </w:r>
    </w:p>
    <w:p w:rsidR="00522E8D" w:rsidRPr="0096232F" w:rsidRDefault="00522E8D" w:rsidP="0096232F">
      <w:pPr>
        <w:pStyle w:val="ListParagraph"/>
        <w:numPr>
          <w:ilvl w:val="0"/>
          <w:numId w:val="37"/>
        </w:numPr>
        <w:rPr>
          <w:rFonts w:ascii="Calibri" w:eastAsia="Times New Roman" w:hAnsi="Calibri" w:cs="Times New Roman"/>
          <w:color w:val="000000"/>
        </w:rPr>
      </w:pPr>
      <w:r w:rsidRPr="00274AF5">
        <w:rPr>
          <w:b/>
          <w:bCs/>
        </w:rPr>
        <w:t>Administrative Simplification.</w:t>
      </w:r>
    </w:p>
    <w:p w:rsidR="0096232F" w:rsidRPr="00A65EBD" w:rsidRDefault="00A65EBD" w:rsidP="00A65EBD">
      <w:pPr>
        <w:pStyle w:val="ListParagraph"/>
        <w:numPr>
          <w:ilvl w:val="1"/>
          <w:numId w:val="37"/>
        </w:numPr>
        <w:rPr>
          <w:rFonts w:ascii="Calibri" w:eastAsia="Times New Roman" w:hAnsi="Calibri" w:cs="Times New Roman"/>
          <w:color w:val="000000"/>
        </w:rPr>
      </w:pPr>
      <w:r>
        <w:t>Reporting simplification and m</w:t>
      </w:r>
      <w:r w:rsidR="0096232F" w:rsidRPr="0096232F">
        <w:t>easure alignment.</w:t>
      </w:r>
    </w:p>
    <w:p w:rsidR="0096232F" w:rsidRPr="0096232F" w:rsidRDefault="0096232F" w:rsidP="0096232F">
      <w:pPr>
        <w:pStyle w:val="ListParagraph"/>
        <w:numPr>
          <w:ilvl w:val="1"/>
          <w:numId w:val="37"/>
        </w:numPr>
        <w:rPr>
          <w:rFonts w:ascii="Calibri" w:eastAsia="Times New Roman" w:hAnsi="Calibri" w:cs="Times New Roman"/>
          <w:color w:val="000000"/>
        </w:rPr>
      </w:pPr>
      <w:r w:rsidRPr="0096232F">
        <w:t>Administrative procedures.</w:t>
      </w:r>
    </w:p>
    <w:p w:rsidR="0096232F" w:rsidRPr="00DF7540" w:rsidRDefault="0096232F" w:rsidP="0096232F">
      <w:pPr>
        <w:pStyle w:val="ListParagraph"/>
        <w:numPr>
          <w:ilvl w:val="1"/>
          <w:numId w:val="37"/>
        </w:numPr>
        <w:rPr>
          <w:rFonts w:ascii="Calibri" w:eastAsia="Times New Roman" w:hAnsi="Calibri" w:cs="Times New Roman"/>
          <w:color w:val="000000"/>
        </w:rPr>
      </w:pPr>
      <w:r w:rsidRPr="0096232F">
        <w:t>Review regulatory burden.</w:t>
      </w:r>
    </w:p>
    <w:p w:rsidR="00DF7540" w:rsidRDefault="00DF7540">
      <w:pPr>
        <w:rPr>
          <w:rFonts w:ascii="Calibri" w:eastAsia="Times New Roman" w:hAnsi="Calibri" w:cs="Times New Roman"/>
          <w:i/>
          <w:color w:val="000000"/>
        </w:rPr>
      </w:pPr>
      <w:r>
        <w:rPr>
          <w:rFonts w:ascii="Calibri" w:eastAsia="Times New Roman" w:hAnsi="Calibri" w:cs="Times New Roman"/>
          <w:i/>
          <w:color w:val="000000"/>
        </w:rPr>
        <w:br w:type="page"/>
      </w:r>
    </w:p>
    <w:p w:rsidR="00DF7540" w:rsidRPr="00DF7540" w:rsidRDefault="00DF7540" w:rsidP="00DF7540">
      <w:pPr>
        <w:rPr>
          <w:rFonts w:ascii="Calibri" w:eastAsia="Times New Roman" w:hAnsi="Calibri" w:cs="Times New Roman"/>
          <w:i/>
          <w:color w:val="000000"/>
        </w:rPr>
      </w:pPr>
      <w:r w:rsidRPr="00DF7540">
        <w:rPr>
          <w:rFonts w:ascii="Calibri" w:eastAsia="Times New Roman" w:hAnsi="Calibri" w:cs="Times New Roman"/>
          <w:i/>
          <w:color w:val="000000"/>
        </w:rPr>
        <w:lastRenderedPageBreak/>
        <w:t>Detailed Recommendations:</w:t>
      </w:r>
    </w:p>
    <w:tbl>
      <w:tblPr>
        <w:tblStyle w:val="TableGrid"/>
        <w:tblW w:w="13788" w:type="dxa"/>
        <w:tblLook w:val="04A0"/>
      </w:tblPr>
      <w:tblGrid>
        <w:gridCol w:w="8388"/>
        <w:gridCol w:w="5400"/>
      </w:tblGrid>
      <w:tr w:rsidR="00AC0AB6" w:rsidRPr="00274AF5" w:rsidTr="003106FD">
        <w:tc>
          <w:tcPr>
            <w:tcW w:w="8388" w:type="dxa"/>
            <w:shd w:val="clear" w:color="auto" w:fill="D9D9D9" w:themeFill="background1" w:themeFillShade="D9"/>
          </w:tcPr>
          <w:p w:rsidR="00AC0AB6" w:rsidRPr="00274AF5" w:rsidRDefault="00AC0AB6" w:rsidP="00AC0AB6">
            <w:pPr>
              <w:jc w:val="center"/>
              <w:rPr>
                <w:bCs/>
                <w:i/>
              </w:rPr>
            </w:pPr>
            <w:r w:rsidRPr="00274AF5">
              <w:rPr>
                <w:bCs/>
                <w:i/>
              </w:rPr>
              <w:t>Original Text</w:t>
            </w:r>
          </w:p>
        </w:tc>
        <w:tc>
          <w:tcPr>
            <w:tcW w:w="5400" w:type="dxa"/>
            <w:shd w:val="clear" w:color="auto" w:fill="D9D9D9" w:themeFill="background1" w:themeFillShade="D9"/>
          </w:tcPr>
          <w:p w:rsidR="00AC0AB6" w:rsidRPr="00274AF5" w:rsidRDefault="00AC0AB6" w:rsidP="00740B4F">
            <w:pPr>
              <w:pStyle w:val="CommentText"/>
              <w:jc w:val="center"/>
              <w:rPr>
                <w:i/>
                <w:sz w:val="22"/>
                <w:szCs w:val="22"/>
              </w:rPr>
            </w:pPr>
            <w:r w:rsidRPr="00274AF5">
              <w:rPr>
                <w:i/>
                <w:sz w:val="22"/>
                <w:szCs w:val="22"/>
              </w:rPr>
              <w:t>Comments</w:t>
            </w:r>
            <w:r w:rsidR="00740B4F">
              <w:rPr>
                <w:i/>
                <w:sz w:val="22"/>
                <w:szCs w:val="22"/>
              </w:rPr>
              <w:t xml:space="preserve"> for Discussion</w:t>
            </w:r>
          </w:p>
        </w:tc>
      </w:tr>
      <w:tr w:rsidR="00BA0992" w:rsidRPr="00274AF5" w:rsidTr="003106FD">
        <w:tc>
          <w:tcPr>
            <w:tcW w:w="8388" w:type="dxa"/>
          </w:tcPr>
          <w:p w:rsidR="00BA0992" w:rsidRPr="00274AF5" w:rsidRDefault="008E41EA" w:rsidP="00206F14">
            <w:pPr>
              <w:pStyle w:val="ListParagraph"/>
              <w:numPr>
                <w:ilvl w:val="0"/>
                <w:numId w:val="5"/>
              </w:numPr>
              <w:ind w:left="360" w:hanging="360"/>
            </w:pPr>
            <w:r w:rsidRPr="00274AF5">
              <w:rPr>
                <w:b/>
                <w:bCs/>
              </w:rPr>
              <w:t xml:space="preserve">HIT adoption and infrastructure. </w:t>
            </w:r>
            <w:r w:rsidR="00BA0992" w:rsidRPr="00274AF5">
              <w:rPr>
                <w:bCs/>
              </w:rPr>
              <w:t xml:space="preserve">The availability of a robust health IT infrastructure is crucial to </w:t>
            </w:r>
            <w:proofErr w:type="gramStart"/>
            <w:r w:rsidR="00BA0992" w:rsidRPr="00274AF5">
              <w:rPr>
                <w:bCs/>
              </w:rPr>
              <w:t>accountable</w:t>
            </w:r>
            <w:proofErr w:type="gramEnd"/>
            <w:r w:rsidR="00BA0992" w:rsidRPr="00274AF5">
              <w:rPr>
                <w:bCs/>
              </w:rPr>
              <w:t xml:space="preserve"> care arrangements</w:t>
            </w:r>
            <w:r w:rsidR="000F6C7A">
              <w:rPr>
                <w:bCs/>
              </w:rPr>
              <w:t>, the required upfront investment is challenging for smaller providers</w:t>
            </w:r>
            <w:r w:rsidR="00BA0992" w:rsidRPr="00274AF5">
              <w:rPr>
                <w:bCs/>
              </w:rPr>
              <w:t xml:space="preserve">. HHS should explore additional ways to incentivize and encourage providers that are taking on risk under these arrangements to adopt HIT and information exchange capabilities that will help them achieve cost and quality targets. </w:t>
            </w:r>
          </w:p>
        </w:tc>
        <w:tc>
          <w:tcPr>
            <w:tcW w:w="5400" w:type="dxa"/>
          </w:tcPr>
          <w:p w:rsidR="00BA0992" w:rsidRPr="00274AF5" w:rsidRDefault="00BA0992" w:rsidP="003B6DB2">
            <w:pPr>
              <w:pStyle w:val="CommentText"/>
              <w:rPr>
                <w:sz w:val="22"/>
                <w:szCs w:val="22"/>
              </w:rPr>
            </w:pPr>
          </w:p>
        </w:tc>
      </w:tr>
      <w:tr w:rsidR="00BA0992" w:rsidRPr="00274AF5" w:rsidTr="003106FD">
        <w:tc>
          <w:tcPr>
            <w:tcW w:w="8388" w:type="dxa"/>
          </w:tcPr>
          <w:p w:rsidR="00BA0992" w:rsidRPr="00206F14" w:rsidRDefault="002C3FB7" w:rsidP="003B6DB2">
            <w:pPr>
              <w:pStyle w:val="ListParagraph"/>
              <w:numPr>
                <w:ilvl w:val="1"/>
                <w:numId w:val="1"/>
              </w:numPr>
              <w:ind w:left="360"/>
            </w:pPr>
            <w:r>
              <w:rPr>
                <w:b/>
              </w:rPr>
              <w:t>Strengthen</w:t>
            </w:r>
            <w:r w:rsidR="003B6DB2">
              <w:rPr>
                <w:b/>
              </w:rPr>
              <w:t xml:space="preserve"> provisions in </w:t>
            </w:r>
            <w:proofErr w:type="gramStart"/>
            <w:r w:rsidR="003B6DB2">
              <w:rPr>
                <w:b/>
              </w:rPr>
              <w:t>accountable</w:t>
            </w:r>
            <w:proofErr w:type="gramEnd"/>
            <w:r w:rsidR="003B6DB2">
              <w:rPr>
                <w:b/>
              </w:rPr>
              <w:t xml:space="preserve"> care programs </w:t>
            </w:r>
            <w:r w:rsidR="00586830">
              <w:rPr>
                <w:b/>
              </w:rPr>
              <w:t xml:space="preserve">(e.g. MSSP) </w:t>
            </w:r>
            <w:r w:rsidR="003B6DB2">
              <w:rPr>
                <w:b/>
              </w:rPr>
              <w:t>that incentivize providers to obtain health information technology.</w:t>
            </w:r>
            <w:r w:rsidR="004C5E0A">
              <w:t xml:space="preserve"> </w:t>
            </w:r>
            <w:r w:rsidR="004D77C3" w:rsidRPr="00274AF5">
              <w:t xml:space="preserve">In future iterations of </w:t>
            </w:r>
            <w:proofErr w:type="gramStart"/>
            <w:r w:rsidR="004D77C3" w:rsidRPr="00274AF5">
              <w:t>accountable</w:t>
            </w:r>
            <w:proofErr w:type="gramEnd"/>
            <w:r w:rsidR="004D77C3" w:rsidRPr="00274AF5">
              <w:t xml:space="preserve"> care models offered through the Center for Medicare, the Center for Medicaid and CHIP Services, and the Center Medicare and Medicaid Innovation, CMS should continue to maintain and </w:t>
            </w:r>
            <w:r w:rsidR="008A6F6B">
              <w:t>strengthen</w:t>
            </w:r>
            <w:r w:rsidR="008A6F6B" w:rsidRPr="00274AF5">
              <w:t xml:space="preserve"> </w:t>
            </w:r>
            <w:r w:rsidR="004D77C3" w:rsidRPr="00274AF5">
              <w:t xml:space="preserve">provisions encouraging providers to adopt and implement health IT and health information exchange commensurate with increasing adoption of health IT. For instance, </w:t>
            </w:r>
            <w:r w:rsidR="004D77C3" w:rsidRPr="00274AF5">
              <w:rPr>
                <w:rFonts w:ascii="Calibri" w:eastAsia="Times New Roman" w:hAnsi="Calibri" w:cs="Times New Roman"/>
                <w:color w:val="000000"/>
              </w:rPr>
              <w:t xml:space="preserve">CMS should consider </w:t>
            </w:r>
            <w:r w:rsidR="000F6C7A">
              <w:rPr>
                <w:rFonts w:ascii="Calibri" w:eastAsia="Times New Roman" w:hAnsi="Calibri" w:cs="Times New Roman"/>
                <w:color w:val="000000"/>
              </w:rPr>
              <w:t>a requirement</w:t>
            </w:r>
            <w:r w:rsidR="000F6C7A" w:rsidRPr="00274AF5">
              <w:rPr>
                <w:rFonts w:ascii="Calibri" w:eastAsia="Times New Roman" w:hAnsi="Calibri" w:cs="Times New Roman"/>
                <w:color w:val="000000"/>
              </w:rPr>
              <w:t xml:space="preserve"> </w:t>
            </w:r>
            <w:r w:rsidR="00B80F2F">
              <w:rPr>
                <w:rFonts w:ascii="Calibri" w:eastAsia="Times New Roman" w:hAnsi="Calibri" w:cs="Times New Roman"/>
                <w:color w:val="000000"/>
              </w:rPr>
              <w:t xml:space="preserve">that new entities applying to the program demonstrate </w:t>
            </w:r>
            <w:r w:rsidR="004D77C3" w:rsidRPr="00274AF5">
              <w:rPr>
                <w:rFonts w:ascii="Calibri" w:eastAsia="Times New Roman" w:hAnsi="Calibri" w:cs="Times New Roman"/>
                <w:color w:val="000000"/>
              </w:rPr>
              <w:t xml:space="preserve">at least 50 percent of participating primary care physicians </w:t>
            </w:r>
            <w:r w:rsidR="00B80F2F">
              <w:rPr>
                <w:rFonts w:ascii="Calibri" w:eastAsia="Times New Roman" w:hAnsi="Calibri" w:cs="Times New Roman"/>
                <w:color w:val="000000"/>
              </w:rPr>
              <w:t xml:space="preserve">have successfully attested for </w:t>
            </w:r>
            <w:r w:rsidR="008A6F6B">
              <w:rPr>
                <w:rFonts w:ascii="Calibri" w:eastAsia="Times New Roman" w:hAnsi="Calibri" w:cs="Times New Roman"/>
                <w:color w:val="000000"/>
              </w:rPr>
              <w:t xml:space="preserve">at least </w:t>
            </w:r>
            <w:r w:rsidR="00B80F2F">
              <w:rPr>
                <w:rFonts w:ascii="Calibri" w:eastAsia="Times New Roman" w:hAnsi="Calibri" w:cs="Times New Roman"/>
                <w:color w:val="000000"/>
              </w:rPr>
              <w:t>Meaningful Use Stage 1.</w:t>
            </w:r>
          </w:p>
        </w:tc>
        <w:tc>
          <w:tcPr>
            <w:tcW w:w="5400" w:type="dxa"/>
          </w:tcPr>
          <w:p w:rsidR="000B13EE" w:rsidRPr="005835C7" w:rsidRDefault="00806B78" w:rsidP="00CF0E58">
            <w:pPr>
              <w:pStyle w:val="CommentText"/>
              <w:numPr>
                <w:ilvl w:val="0"/>
                <w:numId w:val="9"/>
              </w:numPr>
              <w:ind w:left="302"/>
              <w:rPr>
                <w:sz w:val="22"/>
                <w:szCs w:val="22"/>
              </w:rPr>
            </w:pPr>
            <w:r>
              <w:rPr>
                <w:sz w:val="22"/>
                <w:szCs w:val="22"/>
              </w:rPr>
              <w:t xml:space="preserve">May not be </w:t>
            </w:r>
            <w:r w:rsidR="0017175F">
              <w:rPr>
                <w:sz w:val="22"/>
                <w:szCs w:val="22"/>
              </w:rPr>
              <w:t xml:space="preserve">MU that is critical to success as an ACO, </w:t>
            </w:r>
            <w:r>
              <w:rPr>
                <w:sz w:val="22"/>
                <w:szCs w:val="22"/>
              </w:rPr>
              <w:t>but</w:t>
            </w:r>
            <w:r w:rsidR="0017175F">
              <w:rPr>
                <w:sz w:val="22"/>
                <w:szCs w:val="22"/>
              </w:rPr>
              <w:t xml:space="preserve"> PCMH team structure with an EHR (with </w:t>
            </w:r>
            <w:r w:rsidR="00D95137">
              <w:rPr>
                <w:sz w:val="22"/>
                <w:szCs w:val="22"/>
              </w:rPr>
              <w:t xml:space="preserve">latest </w:t>
            </w:r>
            <w:r w:rsidR="0017175F">
              <w:rPr>
                <w:sz w:val="22"/>
                <w:szCs w:val="22"/>
              </w:rPr>
              <w:t>interoperability standards</w:t>
            </w:r>
            <w:r>
              <w:rPr>
                <w:sz w:val="22"/>
                <w:szCs w:val="22"/>
              </w:rPr>
              <w:t>)</w:t>
            </w:r>
            <w:proofErr w:type="gramStart"/>
            <w:r>
              <w:rPr>
                <w:sz w:val="22"/>
                <w:szCs w:val="22"/>
              </w:rPr>
              <w:t>,</w:t>
            </w:r>
            <w:proofErr w:type="gramEnd"/>
            <w:r>
              <w:rPr>
                <w:sz w:val="22"/>
                <w:szCs w:val="22"/>
              </w:rPr>
              <w:t xml:space="preserve"> having the </w:t>
            </w:r>
            <w:r w:rsidR="0017175F">
              <w:rPr>
                <w:sz w:val="22"/>
                <w:szCs w:val="22"/>
              </w:rPr>
              <w:t>latest edition of ONC cert</w:t>
            </w:r>
            <w:r w:rsidR="00D95137">
              <w:rPr>
                <w:sz w:val="22"/>
                <w:szCs w:val="22"/>
              </w:rPr>
              <w:t xml:space="preserve"> beyond 2014</w:t>
            </w:r>
            <w:r>
              <w:rPr>
                <w:sz w:val="22"/>
                <w:szCs w:val="22"/>
              </w:rPr>
              <w:t xml:space="preserve"> is less crucial.</w:t>
            </w:r>
          </w:p>
          <w:p w:rsidR="008A6F6B" w:rsidRPr="00507A6E" w:rsidRDefault="008A6F6B" w:rsidP="00CF0E58">
            <w:pPr>
              <w:pStyle w:val="CommentText"/>
              <w:numPr>
                <w:ilvl w:val="0"/>
                <w:numId w:val="9"/>
              </w:numPr>
              <w:ind w:left="306"/>
              <w:rPr>
                <w:sz w:val="22"/>
                <w:szCs w:val="22"/>
              </w:rPr>
            </w:pPr>
            <w:r>
              <w:rPr>
                <w:sz w:val="22"/>
                <w:szCs w:val="22"/>
              </w:rPr>
              <w:t>To successfully implement this provision, HHS may need to share data on the MU attestation status of prospective members with the ACO organizing entity.</w:t>
            </w:r>
          </w:p>
        </w:tc>
      </w:tr>
      <w:tr w:rsidR="00BA0992" w:rsidRPr="00274AF5" w:rsidTr="003106FD">
        <w:tc>
          <w:tcPr>
            <w:tcW w:w="8388" w:type="dxa"/>
          </w:tcPr>
          <w:p w:rsidR="00BA0992" w:rsidRPr="00274AF5" w:rsidRDefault="002C3FB7" w:rsidP="00E37F03">
            <w:pPr>
              <w:pStyle w:val="ListParagraph"/>
              <w:numPr>
                <w:ilvl w:val="1"/>
                <w:numId w:val="1"/>
              </w:numPr>
              <w:ind w:left="360"/>
            </w:pPr>
            <w:r>
              <w:rPr>
                <w:b/>
              </w:rPr>
              <w:t xml:space="preserve">Request additional detail around infrastructure planning with respect to HIT from applicants to </w:t>
            </w:r>
            <w:proofErr w:type="gramStart"/>
            <w:r>
              <w:rPr>
                <w:b/>
              </w:rPr>
              <w:t>accountable</w:t>
            </w:r>
            <w:proofErr w:type="gramEnd"/>
            <w:r>
              <w:rPr>
                <w:b/>
              </w:rPr>
              <w:t xml:space="preserve"> care programs</w:t>
            </w:r>
            <w:r w:rsidR="004C5E0A" w:rsidRPr="004C5E0A">
              <w:rPr>
                <w:b/>
              </w:rPr>
              <w:t>.</w:t>
            </w:r>
            <w:r w:rsidR="004C5E0A">
              <w:t xml:space="preserve"> </w:t>
            </w:r>
            <w:r w:rsidR="004D77C3" w:rsidRPr="00274AF5">
              <w:t xml:space="preserve">As part of the application process for CMS and CMMI programs around </w:t>
            </w:r>
            <w:proofErr w:type="gramStart"/>
            <w:r w:rsidR="004D77C3" w:rsidRPr="00274AF5">
              <w:t>accountable</w:t>
            </w:r>
            <w:proofErr w:type="gramEnd"/>
            <w:r w:rsidR="004D77C3" w:rsidRPr="00274AF5">
              <w:t xml:space="preserve"> care, CMS should </w:t>
            </w:r>
            <w:r w:rsidR="00346A9D">
              <w:t xml:space="preserve">elicit </w:t>
            </w:r>
            <w:r w:rsidR="004D77C3" w:rsidRPr="00274AF5">
              <w:t>descri</w:t>
            </w:r>
            <w:r w:rsidR="00346A9D">
              <w:t>ptions of applicant</w:t>
            </w:r>
            <w:r w:rsidR="00E37F03">
              <w:t>s’</w:t>
            </w:r>
            <w:r w:rsidR="00346A9D">
              <w:t xml:space="preserve"> </w:t>
            </w:r>
            <w:r w:rsidR="00E37F03">
              <w:t xml:space="preserve">plans to develop an </w:t>
            </w:r>
            <w:r w:rsidR="004D77C3" w:rsidRPr="00274AF5">
              <w:t xml:space="preserve">IT infrastructure to </w:t>
            </w:r>
            <w:r w:rsidR="00E37F03">
              <w:t xml:space="preserve">their participation in new models. Plans should provide sufficient detail and articulate a glide path for infrastructure development, e.g. from initial investments in </w:t>
            </w:r>
            <w:r w:rsidR="004D77C3" w:rsidRPr="00274AF5">
              <w:t xml:space="preserve">clinical integration and care </w:t>
            </w:r>
            <w:r w:rsidR="00E37F03">
              <w:t>coordination to future capabilities around management financial risk. Applicants should also describe s</w:t>
            </w:r>
            <w:r w:rsidR="004D77C3" w:rsidRPr="00274AF5">
              <w:t xml:space="preserve">teps they will take to exchange clinical information with behavioral health and long term/post-acute care providers. </w:t>
            </w:r>
          </w:p>
        </w:tc>
        <w:tc>
          <w:tcPr>
            <w:tcW w:w="5400" w:type="dxa"/>
          </w:tcPr>
          <w:p w:rsidR="004D77C3" w:rsidRPr="002C3FB7" w:rsidRDefault="004D77C3" w:rsidP="003106FD">
            <w:pPr>
              <w:pStyle w:val="CommentText"/>
              <w:rPr>
                <w:sz w:val="22"/>
                <w:szCs w:val="22"/>
              </w:rPr>
            </w:pPr>
          </w:p>
        </w:tc>
      </w:tr>
      <w:tr w:rsidR="00191C46" w:rsidRPr="00274AF5" w:rsidTr="003106FD">
        <w:tc>
          <w:tcPr>
            <w:tcW w:w="8388" w:type="dxa"/>
          </w:tcPr>
          <w:p w:rsidR="00191C46" w:rsidRDefault="00933CFF" w:rsidP="003106FD">
            <w:pPr>
              <w:pStyle w:val="ListParagraph"/>
              <w:numPr>
                <w:ilvl w:val="1"/>
                <w:numId w:val="1"/>
              </w:numPr>
              <w:ind w:left="360"/>
              <w:rPr>
                <w:b/>
              </w:rPr>
            </w:pPr>
            <w:r>
              <w:rPr>
                <w:b/>
              </w:rPr>
              <w:t>Expand the Advanced Payment Model within the MSSP permanent program.</w:t>
            </w:r>
            <w:r>
              <w:t xml:space="preserve"> </w:t>
            </w:r>
            <w:r w:rsidR="003106FD">
              <w:t xml:space="preserve">The advanced payment model is a critical strategy to help providers in </w:t>
            </w:r>
            <w:proofErr w:type="gramStart"/>
            <w:r w:rsidR="003106FD">
              <w:t>accountable</w:t>
            </w:r>
            <w:proofErr w:type="gramEnd"/>
            <w:r w:rsidR="003106FD">
              <w:t xml:space="preserve"> care organizations finance the HIT infrastructure needed to succeed within these models. CMS should act to formalize and expand this program. </w:t>
            </w:r>
          </w:p>
        </w:tc>
        <w:tc>
          <w:tcPr>
            <w:tcW w:w="5400" w:type="dxa"/>
          </w:tcPr>
          <w:p w:rsidR="00191C46" w:rsidRPr="004C5E0A" w:rsidRDefault="00933CFF" w:rsidP="00740B4F">
            <w:pPr>
              <w:pStyle w:val="CommentText"/>
              <w:numPr>
                <w:ilvl w:val="0"/>
                <w:numId w:val="27"/>
              </w:numPr>
              <w:rPr>
                <w:b/>
                <w:sz w:val="22"/>
                <w:szCs w:val="22"/>
              </w:rPr>
            </w:pPr>
            <w:r>
              <w:rPr>
                <w:sz w:val="22"/>
                <w:szCs w:val="22"/>
              </w:rPr>
              <w:t xml:space="preserve">Many commenters have noted that recommendation below seems to be getting ahead </w:t>
            </w:r>
            <w:r w:rsidR="00740B4F">
              <w:rPr>
                <w:sz w:val="22"/>
                <w:szCs w:val="22"/>
              </w:rPr>
              <w:t xml:space="preserve">of current provider priorities </w:t>
            </w:r>
            <w:r>
              <w:rPr>
                <w:sz w:val="22"/>
                <w:szCs w:val="22"/>
              </w:rPr>
              <w:t xml:space="preserve">given continuing difficulties in establishing exchange infrastructure with core partners. </w:t>
            </w:r>
            <w:r w:rsidR="003106FD">
              <w:rPr>
                <w:sz w:val="22"/>
                <w:szCs w:val="22"/>
              </w:rPr>
              <w:t xml:space="preserve">Could </w:t>
            </w:r>
            <w:r w:rsidR="00740B4F">
              <w:rPr>
                <w:sz w:val="22"/>
                <w:szCs w:val="22"/>
              </w:rPr>
              <w:t xml:space="preserve">be addressed through </w:t>
            </w:r>
            <w:r w:rsidR="003106FD">
              <w:rPr>
                <w:sz w:val="22"/>
                <w:szCs w:val="22"/>
              </w:rPr>
              <w:t xml:space="preserve">a statement </w:t>
            </w:r>
            <w:r w:rsidR="00740B4F">
              <w:rPr>
                <w:sz w:val="22"/>
                <w:szCs w:val="22"/>
              </w:rPr>
              <w:t>in support of broader expansion of the Advance</w:t>
            </w:r>
            <w:r w:rsidR="003106FD">
              <w:rPr>
                <w:sz w:val="22"/>
                <w:szCs w:val="22"/>
              </w:rPr>
              <w:t xml:space="preserve"> Payment Model.</w:t>
            </w:r>
          </w:p>
        </w:tc>
      </w:tr>
      <w:tr w:rsidR="00BA0992" w:rsidRPr="00274AF5" w:rsidTr="003106FD">
        <w:tc>
          <w:tcPr>
            <w:tcW w:w="8388" w:type="dxa"/>
          </w:tcPr>
          <w:p w:rsidR="00BA0992" w:rsidRPr="00274AF5" w:rsidRDefault="002C3FB7" w:rsidP="00191C46">
            <w:pPr>
              <w:pStyle w:val="ListParagraph"/>
              <w:numPr>
                <w:ilvl w:val="1"/>
                <w:numId w:val="1"/>
              </w:numPr>
              <w:ind w:left="360"/>
            </w:pPr>
            <w:r>
              <w:rPr>
                <w:b/>
              </w:rPr>
              <w:t xml:space="preserve">Provide additional shared savings incentives to </w:t>
            </w:r>
            <w:proofErr w:type="gramStart"/>
            <w:r>
              <w:rPr>
                <w:b/>
              </w:rPr>
              <w:t>accountable</w:t>
            </w:r>
            <w:proofErr w:type="gramEnd"/>
            <w:r>
              <w:rPr>
                <w:b/>
              </w:rPr>
              <w:t xml:space="preserve"> care organizations that </w:t>
            </w:r>
            <w:r>
              <w:rPr>
                <w:b/>
              </w:rPr>
              <w:lastRenderedPageBreak/>
              <w:t>include partners who are not eligible for EHR incentives</w:t>
            </w:r>
            <w:r w:rsidR="004C5E0A">
              <w:t xml:space="preserve">. </w:t>
            </w:r>
            <w:r w:rsidR="00737A54">
              <w:t xml:space="preserve">In order to support infrastructure development with critical partners who have not received subsidies under the EHR incentive program, </w:t>
            </w:r>
            <w:r w:rsidR="004D77C3" w:rsidRPr="00274AF5">
              <w:t xml:space="preserve">CMS should establish provisions within the Medicare Shared Savings program under which ACOs can receive </w:t>
            </w:r>
            <w:r w:rsidR="00737A54">
              <w:t>participating incentives in the form of additional</w:t>
            </w:r>
            <w:r w:rsidR="00737A54" w:rsidRPr="00274AF5">
              <w:t xml:space="preserve"> </w:t>
            </w:r>
            <w:r w:rsidR="004D77C3" w:rsidRPr="00274AF5">
              <w:t xml:space="preserve">shared savings </w:t>
            </w:r>
            <w:r w:rsidR="00737A54">
              <w:t>for partnering with</w:t>
            </w:r>
            <w:r w:rsidR="00AE2A62">
              <w:t xml:space="preserve"> </w:t>
            </w:r>
            <w:r w:rsidR="00737A54">
              <w:t>entities such as</w:t>
            </w:r>
            <w:r w:rsidR="004D77C3" w:rsidRPr="00274AF5">
              <w:t xml:space="preserve"> LTPAC</w:t>
            </w:r>
            <w:r w:rsidR="00AE2A62">
              <w:t xml:space="preserve">, </w:t>
            </w:r>
            <w:r w:rsidR="004D77C3" w:rsidRPr="00274AF5">
              <w:t>behavioral health</w:t>
            </w:r>
            <w:r w:rsidR="00AE2A62">
              <w:t>, and home health</w:t>
            </w:r>
            <w:r w:rsidR="004D77C3" w:rsidRPr="00274AF5">
              <w:t xml:space="preserve"> providers. </w:t>
            </w:r>
            <w:r w:rsidR="00346A9D">
              <w:t xml:space="preserve">ACOs </w:t>
            </w:r>
            <w:r w:rsidR="00737A54">
              <w:t>would</w:t>
            </w:r>
            <w:r w:rsidR="008A6F6B">
              <w:t xml:space="preserve"> then</w:t>
            </w:r>
            <w:r w:rsidR="00346A9D">
              <w:t xml:space="preserve"> use these funds </w:t>
            </w:r>
            <w:r w:rsidR="004D77C3" w:rsidRPr="00274AF5">
              <w:t>to further support investments in developing care coordination infrastructure with these partners.</w:t>
            </w:r>
            <w:r w:rsidR="00AE2A62">
              <w:t xml:space="preserve"> Depending on availability, incentives could be tied to forthcoming certification </w:t>
            </w:r>
            <w:r w:rsidR="00191C46">
              <w:t>programs</w:t>
            </w:r>
            <w:r w:rsidR="00AE2A62">
              <w:t xml:space="preserve"> geared toward specific providers.</w:t>
            </w:r>
          </w:p>
        </w:tc>
        <w:tc>
          <w:tcPr>
            <w:tcW w:w="5400" w:type="dxa"/>
          </w:tcPr>
          <w:p w:rsidR="00AE2A62" w:rsidRPr="004C5E0A" w:rsidRDefault="00C60DE4" w:rsidP="00CF0E58">
            <w:pPr>
              <w:pStyle w:val="CommentText"/>
              <w:numPr>
                <w:ilvl w:val="0"/>
                <w:numId w:val="31"/>
              </w:numPr>
              <w:rPr>
                <w:sz w:val="22"/>
                <w:szCs w:val="22"/>
              </w:rPr>
            </w:pPr>
            <w:r>
              <w:rPr>
                <w:sz w:val="22"/>
                <w:szCs w:val="22"/>
              </w:rPr>
              <w:lastRenderedPageBreak/>
              <w:t xml:space="preserve">Operational details will need to include a good </w:t>
            </w:r>
            <w:r>
              <w:rPr>
                <w:sz w:val="22"/>
                <w:szCs w:val="22"/>
              </w:rPr>
              <w:lastRenderedPageBreak/>
              <w:t>definition of “partnering” and how to monitor use of funds.</w:t>
            </w:r>
          </w:p>
        </w:tc>
      </w:tr>
    </w:tbl>
    <w:p w:rsidR="008E41EA" w:rsidRPr="00274AF5" w:rsidRDefault="008E41EA" w:rsidP="00E47D31">
      <w:pPr>
        <w:rPr>
          <w:rFonts w:ascii="Calibri" w:eastAsia="Times New Roman" w:hAnsi="Calibri" w:cs="Times New Roman"/>
          <w:i/>
          <w:color w:val="000000"/>
        </w:rPr>
      </w:pPr>
    </w:p>
    <w:tbl>
      <w:tblPr>
        <w:tblStyle w:val="TableGrid"/>
        <w:tblW w:w="13788" w:type="dxa"/>
        <w:tblLook w:val="04A0"/>
      </w:tblPr>
      <w:tblGrid>
        <w:gridCol w:w="8388"/>
        <w:gridCol w:w="5400"/>
      </w:tblGrid>
      <w:tr w:rsidR="008E41EA" w:rsidRPr="00274AF5" w:rsidTr="003106FD">
        <w:tc>
          <w:tcPr>
            <w:tcW w:w="8388" w:type="dxa"/>
            <w:shd w:val="clear" w:color="auto" w:fill="D9D9D9" w:themeFill="background1" w:themeFillShade="D9"/>
          </w:tcPr>
          <w:p w:rsidR="008E41EA" w:rsidRPr="00274AF5" w:rsidRDefault="008E41EA" w:rsidP="008E41EA">
            <w:pPr>
              <w:rPr>
                <w:bCs/>
                <w:i/>
              </w:rPr>
            </w:pPr>
            <w:r w:rsidRPr="00274AF5">
              <w:rPr>
                <w:bCs/>
                <w:i/>
              </w:rPr>
              <w:t>Original Text</w:t>
            </w:r>
          </w:p>
        </w:tc>
        <w:tc>
          <w:tcPr>
            <w:tcW w:w="5400" w:type="dxa"/>
            <w:shd w:val="clear" w:color="auto" w:fill="D9D9D9" w:themeFill="background1" w:themeFillShade="D9"/>
          </w:tcPr>
          <w:p w:rsidR="008E41EA" w:rsidRPr="00274AF5" w:rsidRDefault="008E41EA" w:rsidP="008E41EA">
            <w:pPr>
              <w:pStyle w:val="CommentText"/>
              <w:rPr>
                <w:i/>
                <w:sz w:val="22"/>
                <w:szCs w:val="22"/>
              </w:rPr>
            </w:pPr>
            <w:r w:rsidRPr="00274AF5">
              <w:rPr>
                <w:i/>
                <w:sz w:val="22"/>
                <w:szCs w:val="22"/>
              </w:rPr>
              <w:t>Comments/Major Revisions</w:t>
            </w:r>
          </w:p>
        </w:tc>
      </w:tr>
      <w:tr w:rsidR="008E41EA" w:rsidRPr="00274AF5" w:rsidTr="003106FD">
        <w:tc>
          <w:tcPr>
            <w:tcW w:w="8388" w:type="dxa"/>
          </w:tcPr>
          <w:p w:rsidR="008E41EA" w:rsidRPr="00274AF5" w:rsidRDefault="008E41EA" w:rsidP="00E03521">
            <w:pPr>
              <w:pStyle w:val="ListParagraph"/>
              <w:numPr>
                <w:ilvl w:val="0"/>
                <w:numId w:val="5"/>
              </w:numPr>
              <w:ind w:left="360" w:hanging="360"/>
              <w:rPr>
                <w:b/>
                <w:bCs/>
              </w:rPr>
            </w:pPr>
            <w:r w:rsidRPr="00274AF5">
              <w:rPr>
                <w:b/>
                <w:bCs/>
              </w:rPr>
              <w:t xml:space="preserve">Access to administrative </w:t>
            </w:r>
            <w:r w:rsidR="00F13582">
              <w:rPr>
                <w:b/>
                <w:bCs/>
              </w:rPr>
              <w:t xml:space="preserve">and encounter </w:t>
            </w:r>
            <w:r w:rsidRPr="00274AF5">
              <w:rPr>
                <w:b/>
                <w:bCs/>
              </w:rPr>
              <w:t xml:space="preserve">data. </w:t>
            </w:r>
            <w:r w:rsidRPr="00274AF5">
              <w:rPr>
                <w:bCs/>
              </w:rPr>
              <w:t xml:space="preserve">Providers operating under </w:t>
            </w:r>
            <w:proofErr w:type="gramStart"/>
            <w:r w:rsidRPr="00274AF5">
              <w:rPr>
                <w:bCs/>
              </w:rPr>
              <w:t>accountable</w:t>
            </w:r>
            <w:proofErr w:type="gramEnd"/>
            <w:r w:rsidRPr="00274AF5">
              <w:rPr>
                <w:bCs/>
              </w:rPr>
              <w:t xml:space="preserve"> care arrangements are striving to obtain access to </w:t>
            </w:r>
            <w:r w:rsidR="00E37F03">
              <w:rPr>
                <w:bCs/>
              </w:rPr>
              <w:t xml:space="preserve">existing </w:t>
            </w:r>
            <w:r w:rsidR="00C60DE4">
              <w:rPr>
                <w:bCs/>
              </w:rPr>
              <w:t xml:space="preserve">but inaccessible </w:t>
            </w:r>
            <w:r w:rsidR="00E37F03">
              <w:rPr>
                <w:bCs/>
              </w:rPr>
              <w:t xml:space="preserve">electronic </w:t>
            </w:r>
            <w:r w:rsidRPr="00274AF5">
              <w:rPr>
                <w:bCs/>
              </w:rPr>
              <w:t xml:space="preserve">data that will allow them to manage the total costs of a </w:t>
            </w:r>
            <w:r w:rsidR="00E03521">
              <w:rPr>
                <w:bCs/>
              </w:rPr>
              <w:t>defined population of patients.</w:t>
            </w:r>
            <w:r w:rsidRPr="00274AF5">
              <w:rPr>
                <w:bCs/>
              </w:rPr>
              <w:t xml:space="preserve"> HHS should continue to demonstrate leadership around expanding the availability of</w:t>
            </w:r>
            <w:r w:rsidR="00E03521">
              <w:rPr>
                <w:bCs/>
              </w:rPr>
              <w:t xml:space="preserve"> administrative data residing in different silos and driving </w:t>
            </w:r>
            <w:r w:rsidRPr="00274AF5">
              <w:rPr>
                <w:bCs/>
              </w:rPr>
              <w:t>gre</w:t>
            </w:r>
            <w:r w:rsidR="00E03521">
              <w:rPr>
                <w:bCs/>
              </w:rPr>
              <w:t>ater uniformity and scalability so that this data is made available in usable formats.</w:t>
            </w:r>
          </w:p>
        </w:tc>
        <w:tc>
          <w:tcPr>
            <w:tcW w:w="5400" w:type="dxa"/>
          </w:tcPr>
          <w:p w:rsidR="008E41EA" w:rsidRPr="00274AF5" w:rsidRDefault="008E41EA" w:rsidP="0017175F">
            <w:pPr>
              <w:pStyle w:val="CommentText"/>
              <w:ind w:left="342"/>
              <w:rPr>
                <w:sz w:val="22"/>
                <w:szCs w:val="22"/>
              </w:rPr>
            </w:pPr>
          </w:p>
        </w:tc>
      </w:tr>
      <w:tr w:rsidR="008E41EA" w:rsidRPr="00274AF5" w:rsidTr="003106FD">
        <w:tc>
          <w:tcPr>
            <w:tcW w:w="8388" w:type="dxa"/>
          </w:tcPr>
          <w:p w:rsidR="008E41EA" w:rsidRPr="00274AF5" w:rsidRDefault="00191C46" w:rsidP="00845E5D">
            <w:pPr>
              <w:pStyle w:val="ListParagraph"/>
              <w:numPr>
                <w:ilvl w:val="0"/>
                <w:numId w:val="6"/>
              </w:numPr>
              <w:ind w:left="360"/>
            </w:pPr>
            <w:r>
              <w:rPr>
                <w:b/>
              </w:rPr>
              <w:t xml:space="preserve">Develop a strategy and vision for </w:t>
            </w:r>
            <w:r w:rsidR="0038527B">
              <w:rPr>
                <w:b/>
              </w:rPr>
              <w:t>scalable</w:t>
            </w:r>
            <w:r>
              <w:rPr>
                <w:b/>
              </w:rPr>
              <w:t xml:space="preserve"> data architecture </w:t>
            </w:r>
            <w:r w:rsidR="0038527B">
              <w:rPr>
                <w:b/>
              </w:rPr>
              <w:t xml:space="preserve">to support </w:t>
            </w:r>
            <w:proofErr w:type="gramStart"/>
            <w:r w:rsidR="0038527B">
              <w:rPr>
                <w:b/>
              </w:rPr>
              <w:t>accountable</w:t>
            </w:r>
            <w:proofErr w:type="gramEnd"/>
            <w:r w:rsidR="0038527B">
              <w:rPr>
                <w:b/>
              </w:rPr>
              <w:t xml:space="preserve"> care with integrated</w:t>
            </w:r>
            <w:r>
              <w:rPr>
                <w:b/>
              </w:rPr>
              <w:t xml:space="preserve"> claims and clinical data</w:t>
            </w:r>
            <w:r w:rsidR="00EA517C" w:rsidRPr="00EA517C">
              <w:rPr>
                <w:b/>
              </w:rPr>
              <w:t>.</w:t>
            </w:r>
            <w:r w:rsidR="00EA517C">
              <w:t xml:space="preserve"> </w:t>
            </w:r>
            <w:r w:rsidR="0038527B">
              <w:t>HHS</w:t>
            </w:r>
            <w:r w:rsidR="008E41EA" w:rsidRPr="00274AF5">
              <w:t xml:space="preserve"> should initiate an effort </w:t>
            </w:r>
            <w:r>
              <w:t>(possibly</w:t>
            </w:r>
            <w:r w:rsidR="008F1365">
              <w:t xml:space="preserve"> </w:t>
            </w:r>
            <w:r w:rsidR="008E41EA" w:rsidRPr="00274AF5">
              <w:t>with</w:t>
            </w:r>
            <w:r w:rsidR="00737A54">
              <w:t>in</w:t>
            </w:r>
            <w:r w:rsidR="008E41EA" w:rsidRPr="00274AF5">
              <w:t xml:space="preserve"> the State Innovation Model program</w:t>
            </w:r>
            <w:r w:rsidR="008F1365">
              <w:t>)</w:t>
            </w:r>
            <w:r w:rsidR="008E41EA" w:rsidRPr="00274AF5">
              <w:t xml:space="preserve"> to </w:t>
            </w:r>
            <w:r w:rsidR="0038527B">
              <w:t xml:space="preserve">define </w:t>
            </w:r>
            <w:r w:rsidR="008E41EA" w:rsidRPr="00274AF5">
              <w:t>best approaches to aggregation of claims and clinical data and articulate a strategy to develop a scalable data architecture which can serve the needs of providers, health systems, states, payers, and other stakeholders engaged in accountable care arrangemen</w:t>
            </w:r>
            <w:r w:rsidR="0038527B">
              <w:t>ts. This effort should focus on:</w:t>
            </w:r>
          </w:p>
          <w:p w:rsidR="00737A54" w:rsidRDefault="0038527B" w:rsidP="00737A54">
            <w:pPr>
              <w:pStyle w:val="ListParagraph"/>
              <w:numPr>
                <w:ilvl w:val="2"/>
                <w:numId w:val="1"/>
              </w:numPr>
              <w:ind w:left="900"/>
            </w:pPr>
            <w:r>
              <w:t>C</w:t>
            </w:r>
            <w:r w:rsidR="00737A54">
              <w:t xml:space="preserve">oordination across </w:t>
            </w:r>
            <w:r w:rsidR="00737A54" w:rsidRPr="004C5E0A">
              <w:t xml:space="preserve">many organizational types </w:t>
            </w:r>
            <w:r w:rsidR="00737A54">
              <w:t>that can act as repository and aggregator (e.g. qualified entitie</w:t>
            </w:r>
            <w:r w:rsidR="00737A54" w:rsidRPr="004C5E0A">
              <w:t>s, regional quality data inter</w:t>
            </w:r>
            <w:r w:rsidR="00737A54">
              <w:t xml:space="preserve">mediaries, organizations supporting health information exchange, and all-payer claims databases) to </w:t>
            </w:r>
            <w:r w:rsidR="00737A54" w:rsidRPr="00274AF5">
              <w:t>serve the needs of providers seeking comprehensive clinical and administrative data to support value based purchasing and quality improvement</w:t>
            </w:r>
            <w:r w:rsidR="00737A54">
              <w:t xml:space="preserve"> at a local, community, state, or regional level.</w:t>
            </w:r>
          </w:p>
          <w:p w:rsidR="008E41EA" w:rsidRDefault="0038527B" w:rsidP="00845E5D">
            <w:pPr>
              <w:pStyle w:val="ListParagraph"/>
              <w:numPr>
                <w:ilvl w:val="2"/>
                <w:numId w:val="1"/>
              </w:numPr>
              <w:ind w:left="900"/>
            </w:pPr>
            <w:r>
              <w:t>Technical challenges around integrating claims and clinical data and establishing</w:t>
            </w:r>
            <w:r w:rsidR="008E41EA" w:rsidRPr="00274AF5">
              <w:t xml:space="preserve"> uniform methods and standards for integrating claims data across multiple sources that can be disseminated across models.</w:t>
            </w:r>
          </w:p>
          <w:p w:rsidR="00191C46" w:rsidRDefault="00191C46" w:rsidP="00191C46">
            <w:pPr>
              <w:pStyle w:val="ListParagraph"/>
              <w:numPr>
                <w:ilvl w:val="2"/>
                <w:numId w:val="1"/>
              </w:numPr>
              <w:ind w:left="900"/>
            </w:pPr>
            <w:r>
              <w:t xml:space="preserve">Exploring mechanisms to encourage commercial payers and other entities </w:t>
            </w:r>
            <w:r w:rsidRPr="004C5E0A">
              <w:t>to share claims data with their ACO partners</w:t>
            </w:r>
            <w:r>
              <w:t>.</w:t>
            </w:r>
            <w:r w:rsidRPr="004C5E0A">
              <w:t xml:space="preserve"> </w:t>
            </w:r>
          </w:p>
          <w:p w:rsidR="00AE2A62" w:rsidRPr="00274AF5" w:rsidRDefault="008F1365" w:rsidP="00191C46">
            <w:pPr>
              <w:pStyle w:val="ListParagraph"/>
              <w:numPr>
                <w:ilvl w:val="2"/>
                <w:numId w:val="1"/>
              </w:numPr>
              <w:ind w:left="900"/>
            </w:pPr>
            <w:r>
              <w:t>F</w:t>
            </w:r>
            <w:r w:rsidR="00AE2A62" w:rsidRPr="004C5E0A">
              <w:t>acilitating the</w:t>
            </w:r>
            <w:r w:rsidR="00191C46">
              <w:t xml:space="preserve"> availability of data enclaves</w:t>
            </w:r>
            <w:r w:rsidR="00AE2A62" w:rsidRPr="004C5E0A">
              <w:t xml:space="preserve"> that combine Medicare and commercial data and that can be used for discovery and research (not direct patient care)</w:t>
            </w:r>
            <w:r>
              <w:t>.</w:t>
            </w:r>
          </w:p>
        </w:tc>
        <w:tc>
          <w:tcPr>
            <w:tcW w:w="5400" w:type="dxa"/>
          </w:tcPr>
          <w:p w:rsidR="001D4D2D" w:rsidRPr="000C6178" w:rsidRDefault="001D4D2D" w:rsidP="00D95137">
            <w:pPr>
              <w:pStyle w:val="CommentText"/>
              <w:rPr>
                <w:sz w:val="22"/>
                <w:szCs w:val="22"/>
              </w:rPr>
            </w:pPr>
          </w:p>
        </w:tc>
      </w:tr>
      <w:tr w:rsidR="00F13582" w:rsidRPr="00274AF5" w:rsidTr="00DC019A">
        <w:tc>
          <w:tcPr>
            <w:tcW w:w="8388" w:type="dxa"/>
          </w:tcPr>
          <w:p w:rsidR="00F13582" w:rsidRPr="00EA517C" w:rsidRDefault="00F13582" w:rsidP="00DC019A">
            <w:pPr>
              <w:pStyle w:val="ListParagraph"/>
              <w:numPr>
                <w:ilvl w:val="0"/>
                <w:numId w:val="6"/>
              </w:numPr>
              <w:ind w:left="360"/>
            </w:pPr>
            <w:r>
              <w:rPr>
                <w:b/>
              </w:rPr>
              <w:t xml:space="preserve">Provide access to </w:t>
            </w:r>
            <w:r w:rsidRPr="00EA517C">
              <w:rPr>
                <w:b/>
              </w:rPr>
              <w:t xml:space="preserve">claims data for prospective </w:t>
            </w:r>
            <w:r>
              <w:rPr>
                <w:b/>
              </w:rPr>
              <w:t xml:space="preserve">Medicare </w:t>
            </w:r>
            <w:r w:rsidRPr="00EA517C">
              <w:rPr>
                <w:b/>
              </w:rPr>
              <w:t>ACOs.</w:t>
            </w:r>
            <w:r w:rsidRPr="00EA517C">
              <w:t xml:space="preserve"> CMS should make Medicare claims data available to providers that are contemplating development of an ACO in order to allow them to evaluate the financial risk associated with their attributed patients in advance of</w:t>
            </w:r>
            <w:r>
              <w:t xml:space="preserve"> participation in the program. </w:t>
            </w:r>
          </w:p>
        </w:tc>
        <w:tc>
          <w:tcPr>
            <w:tcW w:w="5400" w:type="dxa"/>
          </w:tcPr>
          <w:p w:rsidR="00F13582" w:rsidRPr="006F600B" w:rsidRDefault="00F13582" w:rsidP="00DC019A">
            <w:pPr>
              <w:pStyle w:val="CommentText"/>
              <w:rPr>
                <w:rFonts w:ascii="Calibri" w:eastAsia="Times New Roman" w:hAnsi="Calibri" w:cs="Times New Roman"/>
                <w:color w:val="000000"/>
                <w:sz w:val="22"/>
                <w:szCs w:val="22"/>
              </w:rPr>
            </w:pPr>
          </w:p>
        </w:tc>
      </w:tr>
      <w:tr w:rsidR="00F13582" w:rsidRPr="00274AF5" w:rsidTr="00DC019A">
        <w:tc>
          <w:tcPr>
            <w:tcW w:w="8388" w:type="dxa"/>
          </w:tcPr>
          <w:p w:rsidR="00F13582" w:rsidRPr="00FB54D1" w:rsidRDefault="00F13582" w:rsidP="00DC019A">
            <w:pPr>
              <w:pStyle w:val="ListParagraph"/>
              <w:numPr>
                <w:ilvl w:val="0"/>
                <w:numId w:val="6"/>
              </w:numPr>
              <w:ind w:left="360"/>
              <w:rPr>
                <w:b/>
              </w:rPr>
            </w:pPr>
            <w:r w:rsidRPr="00FB54D1">
              <w:rPr>
                <w:b/>
              </w:rPr>
              <w:t>Provide access to behavioral health claims data for Accountable Care Organizations.</w:t>
            </w:r>
            <w:r>
              <w:rPr>
                <w:b/>
              </w:rPr>
              <w:t xml:space="preserve"> </w:t>
            </w:r>
            <w:r w:rsidRPr="00EA517C">
              <w:t xml:space="preserve">CMS and SAMHSA should work to overcome existing barriers to the release of Medicare Behavioral Health Claims to providers participating in </w:t>
            </w:r>
            <w:proofErr w:type="gramStart"/>
            <w:r w:rsidRPr="00EA517C">
              <w:t>accountable</w:t>
            </w:r>
            <w:proofErr w:type="gramEnd"/>
            <w:r w:rsidRPr="00EA517C">
              <w:t xml:space="preserve"> care programs.</w:t>
            </w:r>
          </w:p>
        </w:tc>
        <w:tc>
          <w:tcPr>
            <w:tcW w:w="5400" w:type="dxa"/>
          </w:tcPr>
          <w:p w:rsidR="00F13582" w:rsidRPr="00933CFF" w:rsidRDefault="00F13582" w:rsidP="00DC019A">
            <w:pPr>
              <w:pStyle w:val="CommentText"/>
              <w:numPr>
                <w:ilvl w:val="0"/>
                <w:numId w:val="3"/>
              </w:numPr>
              <w:ind w:left="342"/>
              <w:rPr>
                <w:sz w:val="22"/>
                <w:szCs w:val="22"/>
              </w:rPr>
            </w:pPr>
            <w:r>
              <w:rPr>
                <w:sz w:val="22"/>
                <w:szCs w:val="22"/>
              </w:rPr>
              <w:t>The lack of access to behavioral health claims continues to be a challenge for providers seeking to understand comprehensive care patterns for their patients. The ACWG statement would urge HHS to reconsider release of this information.</w:t>
            </w:r>
          </w:p>
        </w:tc>
      </w:tr>
      <w:tr w:rsidR="00F13582" w:rsidRPr="00274AF5" w:rsidTr="00DC019A">
        <w:tc>
          <w:tcPr>
            <w:tcW w:w="8388" w:type="dxa"/>
          </w:tcPr>
          <w:p w:rsidR="00F13582" w:rsidRPr="00F13582" w:rsidRDefault="00F13582" w:rsidP="00F13582">
            <w:pPr>
              <w:pStyle w:val="ListParagraph"/>
              <w:numPr>
                <w:ilvl w:val="0"/>
                <w:numId w:val="6"/>
              </w:numPr>
              <w:ind w:left="360"/>
              <w:rPr>
                <w:b/>
              </w:rPr>
            </w:pPr>
            <w:r>
              <w:rPr>
                <w:b/>
              </w:rPr>
              <w:t>Make eligibility and benefit d</w:t>
            </w:r>
            <w:r w:rsidRPr="00EA517C">
              <w:rPr>
                <w:b/>
              </w:rPr>
              <w:t>ata</w:t>
            </w:r>
            <w:r>
              <w:rPr>
                <w:b/>
              </w:rPr>
              <w:t xml:space="preserve"> available to support </w:t>
            </w:r>
            <w:proofErr w:type="gramStart"/>
            <w:r>
              <w:rPr>
                <w:b/>
              </w:rPr>
              <w:t>accountable</w:t>
            </w:r>
            <w:proofErr w:type="gramEnd"/>
            <w:r>
              <w:rPr>
                <w:b/>
              </w:rPr>
              <w:t xml:space="preserve"> care organizations</w:t>
            </w:r>
            <w:r w:rsidRPr="00EA517C">
              <w:rPr>
                <w:b/>
              </w:rPr>
              <w:t>.</w:t>
            </w:r>
            <w:r w:rsidRPr="00F13582">
              <w:rPr>
                <w:b/>
              </w:rPr>
              <w:t xml:space="preserve"> </w:t>
            </w:r>
            <w:r w:rsidRPr="00F13582">
              <w:t xml:space="preserve">Access to eligibility and benefit data is an important channel to promote timely awareness of patients’ health needs so that these providers can guide patients to settings and services that best align with their patients’ benefits and the settings and services available within the ACO itself. HHS should consider requiring Medicare contractors to make information about real-time queries of Medicare eligibility and benefit determinations available to providers participating in </w:t>
            </w:r>
            <w:proofErr w:type="gramStart"/>
            <w:r w:rsidRPr="00F13582">
              <w:t>accountable</w:t>
            </w:r>
            <w:proofErr w:type="gramEnd"/>
            <w:r w:rsidRPr="00F13582">
              <w:t xml:space="preserve"> care programs, either directly or to a centralized repository.</w:t>
            </w:r>
            <w:r w:rsidRPr="00F13582">
              <w:rPr>
                <w:b/>
              </w:rPr>
              <w:t xml:space="preserve">    </w:t>
            </w:r>
          </w:p>
        </w:tc>
        <w:tc>
          <w:tcPr>
            <w:tcW w:w="5400" w:type="dxa"/>
          </w:tcPr>
          <w:p w:rsidR="00F13582" w:rsidRDefault="00F13582" w:rsidP="00DC019A">
            <w:pPr>
              <w:pStyle w:val="CommentText"/>
              <w:rPr>
                <w:sz w:val="22"/>
                <w:szCs w:val="22"/>
              </w:rPr>
            </w:pPr>
            <w:r>
              <w:rPr>
                <w:sz w:val="22"/>
                <w:szCs w:val="22"/>
              </w:rPr>
              <w:br/>
            </w:r>
            <w:r>
              <w:rPr>
                <w:sz w:val="22"/>
                <w:szCs w:val="22"/>
              </w:rPr>
              <w:br/>
            </w:r>
            <w:r>
              <w:rPr>
                <w:sz w:val="22"/>
                <w:szCs w:val="22"/>
              </w:rPr>
              <w:br/>
            </w:r>
          </w:p>
          <w:p w:rsidR="00F13582" w:rsidRPr="00867239" w:rsidRDefault="00F13582" w:rsidP="00DC019A">
            <w:pPr>
              <w:pStyle w:val="CommentText"/>
              <w:rPr>
                <w:sz w:val="22"/>
                <w:szCs w:val="22"/>
              </w:rPr>
            </w:pPr>
          </w:p>
        </w:tc>
      </w:tr>
      <w:tr w:rsidR="00F13582" w:rsidRPr="00274AF5" w:rsidTr="00DC019A">
        <w:tc>
          <w:tcPr>
            <w:tcW w:w="8388" w:type="dxa"/>
          </w:tcPr>
          <w:p w:rsidR="00F13582" w:rsidRDefault="00F13582" w:rsidP="00F13582">
            <w:pPr>
              <w:pStyle w:val="ListParagraph"/>
              <w:numPr>
                <w:ilvl w:val="1"/>
                <w:numId w:val="1"/>
              </w:numPr>
              <w:ind w:left="360"/>
            </w:pPr>
            <w:r>
              <w:rPr>
                <w:b/>
              </w:rPr>
              <w:t>Drive progress on standardization and capture of social determinants of h</w:t>
            </w:r>
            <w:r w:rsidRPr="00EA517C">
              <w:rPr>
                <w:b/>
              </w:rPr>
              <w:t>ealth</w:t>
            </w:r>
            <w:r>
              <w:rPr>
                <w:b/>
              </w:rPr>
              <w:t xml:space="preserve"> data elements</w:t>
            </w:r>
            <w:r w:rsidRPr="00EA517C">
              <w:rPr>
                <w:b/>
              </w:rPr>
              <w:t>.</w:t>
            </w:r>
            <w:r w:rsidRPr="00274AF5">
              <w:t xml:space="preserve"> HHS, through the State Innovation Model (CMMI) </w:t>
            </w:r>
            <w:r>
              <w:t xml:space="preserve">or another channel, </w:t>
            </w:r>
            <w:r w:rsidRPr="00274AF5">
              <w:t xml:space="preserve">should develop an effort to understand the scope and issues related to making an integrated set of social determinants of health (SDH) available for both </w:t>
            </w:r>
            <w:r>
              <w:t xml:space="preserve">patient </w:t>
            </w:r>
            <w:r w:rsidRPr="00274AF5">
              <w:t xml:space="preserve">care and </w:t>
            </w:r>
            <w:r>
              <w:t xml:space="preserve">for </w:t>
            </w:r>
            <w:r w:rsidRPr="00274AF5">
              <w:t>planning</w:t>
            </w:r>
            <w:r>
              <w:t>/research</w:t>
            </w:r>
            <w:r w:rsidRPr="00274AF5">
              <w:t xml:space="preserve"> purposes. This effort should consider: </w:t>
            </w:r>
          </w:p>
          <w:p w:rsidR="00F13582" w:rsidRDefault="00F13582" w:rsidP="00DC019A">
            <w:pPr>
              <w:pStyle w:val="ListParagraph"/>
              <w:numPr>
                <w:ilvl w:val="1"/>
                <w:numId w:val="7"/>
              </w:numPr>
              <w:ind w:left="1080"/>
            </w:pPr>
            <w:r w:rsidRPr="00274AF5">
              <w:t>How to drive collaboration between stakeholders including Medicaid, social services agencies, and other site</w:t>
            </w:r>
            <w:r>
              <w:t>s where SDH data resides; and</w:t>
            </w:r>
          </w:p>
          <w:p w:rsidR="00F13582" w:rsidRDefault="00F13582" w:rsidP="00DC019A">
            <w:pPr>
              <w:pStyle w:val="ListParagraph"/>
              <w:numPr>
                <w:ilvl w:val="1"/>
                <w:numId w:val="7"/>
              </w:numPr>
              <w:ind w:left="1080"/>
            </w:pPr>
            <w:r w:rsidRPr="00274AF5">
              <w:t>Convening public health stakeholders to focus on determining a standardized set of SDH elements, considering different use cases, e.g. most critical data sought by ACOs.</w:t>
            </w:r>
          </w:p>
          <w:p w:rsidR="00F13582" w:rsidRPr="00274AF5" w:rsidRDefault="00F13582" w:rsidP="00DC019A">
            <w:pPr>
              <w:pStyle w:val="ListParagraph"/>
              <w:numPr>
                <w:ilvl w:val="1"/>
                <w:numId w:val="7"/>
              </w:numPr>
              <w:ind w:left="1080"/>
            </w:pPr>
            <w:r>
              <w:t>Establishing pilots under C</w:t>
            </w:r>
            <w:r w:rsidRPr="00EA517C">
              <w:t xml:space="preserve">MMI </w:t>
            </w:r>
            <w:r>
              <w:t>which would focus on the capture and sharing of social determinants of health data to inform how future policy directions can support access to and availability of this data.</w:t>
            </w:r>
          </w:p>
        </w:tc>
        <w:tc>
          <w:tcPr>
            <w:tcW w:w="5400" w:type="dxa"/>
          </w:tcPr>
          <w:p w:rsidR="00F13582" w:rsidRPr="00EA517C" w:rsidRDefault="00F13582" w:rsidP="00DC019A">
            <w:pPr>
              <w:pStyle w:val="CommentText"/>
              <w:ind w:left="306"/>
              <w:rPr>
                <w:sz w:val="22"/>
                <w:szCs w:val="22"/>
              </w:rPr>
            </w:pPr>
          </w:p>
        </w:tc>
      </w:tr>
      <w:tr w:rsidR="00CF11EE" w:rsidRPr="00274AF5" w:rsidTr="00DC019A">
        <w:tc>
          <w:tcPr>
            <w:tcW w:w="8388" w:type="dxa"/>
          </w:tcPr>
          <w:p w:rsidR="00CF11EE" w:rsidRPr="00274AF5" w:rsidRDefault="00CF11EE" w:rsidP="00CF11EE">
            <w:pPr>
              <w:pStyle w:val="ListParagraph"/>
              <w:numPr>
                <w:ilvl w:val="1"/>
                <w:numId w:val="1"/>
              </w:numPr>
              <w:ind w:left="360"/>
            </w:pPr>
            <w:r>
              <w:rPr>
                <w:b/>
              </w:rPr>
              <w:t>Further clarify federal g</w:t>
            </w:r>
            <w:r w:rsidRPr="001F7F69">
              <w:rPr>
                <w:b/>
              </w:rPr>
              <w:t xml:space="preserve">uidance around </w:t>
            </w:r>
            <w:r>
              <w:rPr>
                <w:b/>
              </w:rPr>
              <w:t>protected information to increase sharing of behavioral health information</w:t>
            </w:r>
            <w:r w:rsidRPr="001F7F69">
              <w:rPr>
                <w:b/>
              </w:rPr>
              <w:t>.</w:t>
            </w:r>
            <w:r>
              <w:t xml:space="preserve"> Inconsistent interpretation of CFR 42 Part 2 persists among providers with respect to sharing of data by substance abuse facilities covered under Part 2, posing a significant challenge for ACOs seeking to manage costs for high-risk patients across the continuum of care. </w:t>
            </w:r>
            <w:r w:rsidRPr="00274AF5">
              <w:t xml:space="preserve">SAMHSA, OCR, ONC, and CMS should work together to review CFR 42 and make recommendations </w:t>
            </w:r>
          </w:p>
        </w:tc>
        <w:tc>
          <w:tcPr>
            <w:tcW w:w="5400" w:type="dxa"/>
          </w:tcPr>
          <w:p w:rsidR="00CF11EE" w:rsidRDefault="00CF11EE" w:rsidP="00DC019A">
            <w:pPr>
              <w:pStyle w:val="CommentText"/>
              <w:numPr>
                <w:ilvl w:val="0"/>
                <w:numId w:val="10"/>
              </w:numPr>
              <w:ind w:left="306"/>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WG noted intense need to change the ways we think about behavioral health data, including language about what data would be appropriate, e.g. therapy notes ought to be restricted, but diagnoses and medications could be shared in a way that makes sense. </w:t>
            </w:r>
          </w:p>
          <w:p w:rsidR="00CF11EE" w:rsidRPr="00EB6838" w:rsidRDefault="00CF11EE" w:rsidP="00DC019A">
            <w:pPr>
              <w:pStyle w:val="CommentText"/>
              <w:numPr>
                <w:ilvl w:val="0"/>
                <w:numId w:val="10"/>
              </w:numPr>
              <w:ind w:left="306"/>
              <w:rPr>
                <w:rFonts w:ascii="Calibri" w:eastAsia="Times New Roman" w:hAnsi="Calibri" w:cs="Times New Roman"/>
                <w:color w:val="000000"/>
                <w:sz w:val="22"/>
                <w:szCs w:val="22"/>
              </w:rPr>
            </w:pPr>
            <w:r>
              <w:rPr>
                <w:rFonts w:ascii="Calibri" w:eastAsia="Times New Roman" w:hAnsi="Calibri" w:cs="Times New Roman"/>
                <w:color w:val="000000"/>
                <w:sz w:val="22"/>
                <w:szCs w:val="22"/>
              </w:rPr>
              <w:t>EHR certification could also focus on segmentation—as the Certification and Adoption WG is exploring.</w:t>
            </w:r>
          </w:p>
        </w:tc>
      </w:tr>
    </w:tbl>
    <w:p w:rsidR="00AC0AB6" w:rsidRPr="00274AF5" w:rsidRDefault="00F13582" w:rsidP="00F13582">
      <w:pPr>
        <w:tabs>
          <w:tab w:val="left" w:pos="5692"/>
        </w:tabs>
        <w:rPr>
          <w:rFonts w:ascii="Calibri" w:eastAsia="Times New Roman" w:hAnsi="Calibri" w:cs="Times New Roman"/>
          <w:color w:val="000000"/>
        </w:rPr>
      </w:pPr>
      <w:r>
        <w:rPr>
          <w:rFonts w:ascii="Calibri" w:eastAsia="Times New Roman" w:hAnsi="Calibri" w:cs="Times New Roman"/>
          <w:color w:val="000000"/>
        </w:rPr>
        <w:tab/>
      </w:r>
    </w:p>
    <w:tbl>
      <w:tblPr>
        <w:tblStyle w:val="TableGrid"/>
        <w:tblW w:w="13788" w:type="dxa"/>
        <w:tblLayout w:type="fixed"/>
        <w:tblLook w:val="04A0"/>
      </w:tblPr>
      <w:tblGrid>
        <w:gridCol w:w="8388"/>
        <w:gridCol w:w="5400"/>
      </w:tblGrid>
      <w:tr w:rsidR="00655B97" w:rsidRPr="00274AF5" w:rsidTr="009D137F">
        <w:tc>
          <w:tcPr>
            <w:tcW w:w="8388" w:type="dxa"/>
            <w:shd w:val="clear" w:color="auto" w:fill="D9D9D9" w:themeFill="background1" w:themeFillShade="D9"/>
          </w:tcPr>
          <w:p w:rsidR="00655B97" w:rsidRPr="00274AF5" w:rsidRDefault="00655B97" w:rsidP="008553DD">
            <w:pPr>
              <w:rPr>
                <w:bCs/>
                <w:i/>
              </w:rPr>
            </w:pPr>
            <w:r w:rsidRPr="00274AF5">
              <w:rPr>
                <w:bCs/>
                <w:i/>
              </w:rPr>
              <w:t>Original Text</w:t>
            </w:r>
          </w:p>
        </w:tc>
        <w:tc>
          <w:tcPr>
            <w:tcW w:w="5400" w:type="dxa"/>
            <w:shd w:val="clear" w:color="auto" w:fill="D9D9D9" w:themeFill="background1" w:themeFillShade="D9"/>
          </w:tcPr>
          <w:p w:rsidR="00655B97" w:rsidRPr="00274AF5" w:rsidRDefault="00655B97" w:rsidP="008553DD">
            <w:pPr>
              <w:pStyle w:val="CommentText"/>
              <w:rPr>
                <w:i/>
                <w:sz w:val="22"/>
                <w:szCs w:val="22"/>
              </w:rPr>
            </w:pPr>
            <w:r w:rsidRPr="00274AF5">
              <w:rPr>
                <w:i/>
                <w:sz w:val="22"/>
                <w:szCs w:val="22"/>
              </w:rPr>
              <w:t>Comments/Major Revisions</w:t>
            </w:r>
          </w:p>
        </w:tc>
      </w:tr>
      <w:tr w:rsidR="00AC0AB6" w:rsidRPr="00274AF5" w:rsidTr="009D137F">
        <w:tc>
          <w:tcPr>
            <w:tcW w:w="8388" w:type="dxa"/>
          </w:tcPr>
          <w:p w:rsidR="00AC0AB6" w:rsidRPr="00274AF5" w:rsidRDefault="008E7A7D" w:rsidP="00B969A7">
            <w:pPr>
              <w:pStyle w:val="ListParagraph"/>
              <w:numPr>
                <w:ilvl w:val="0"/>
                <w:numId w:val="5"/>
              </w:numPr>
              <w:ind w:left="360" w:hanging="360"/>
            </w:pPr>
            <w:r>
              <w:rPr>
                <w:b/>
                <w:bCs/>
              </w:rPr>
              <w:t>Exchanging</w:t>
            </w:r>
            <w:r w:rsidR="009F7897" w:rsidRPr="009F7897">
              <w:rPr>
                <w:b/>
                <w:bCs/>
              </w:rPr>
              <w:t xml:space="preserve"> Data</w:t>
            </w:r>
            <w:r w:rsidR="00FD7993">
              <w:rPr>
                <w:b/>
                <w:bCs/>
              </w:rPr>
              <w:t xml:space="preserve"> across the Healthcare Neighborhood</w:t>
            </w:r>
            <w:r w:rsidR="009F7897">
              <w:rPr>
                <w:b/>
                <w:bCs/>
              </w:rPr>
              <w:t xml:space="preserve">. </w:t>
            </w:r>
            <w:r w:rsidR="00AC0AB6" w:rsidRPr="00274AF5">
              <w:t xml:space="preserve">Patients assigned to one </w:t>
            </w:r>
            <w:proofErr w:type="gramStart"/>
            <w:r w:rsidR="00AC0AB6" w:rsidRPr="00274AF5">
              <w:t>accountable</w:t>
            </w:r>
            <w:proofErr w:type="gramEnd"/>
            <w:r w:rsidR="00AC0AB6" w:rsidRPr="00274AF5">
              <w:t xml:space="preserve"> care provider organization may and do seek a significant amount of care elsewhere</w:t>
            </w:r>
            <w:r w:rsidR="0038527B">
              <w:t xml:space="preserve">—care for which the providers are </w:t>
            </w:r>
            <w:r w:rsidR="00AC0AB6" w:rsidRPr="00274AF5">
              <w:t>financially responsible</w:t>
            </w:r>
            <w:r w:rsidR="0038527B">
              <w:t xml:space="preserve"> under accountable care arrangements</w:t>
            </w:r>
            <w:r w:rsidR="00B969A7">
              <w:t>. While moving between settings p</w:t>
            </w:r>
            <w:r w:rsidR="00B969A7" w:rsidRPr="00274AF5">
              <w:t>atients, their families, and providers should expect to have consistent and timely access to standardized health informat</w:t>
            </w:r>
            <w:r w:rsidR="00B969A7">
              <w:t xml:space="preserve">ion that can be securely shared. </w:t>
            </w:r>
            <w:r w:rsidR="00AC0AB6" w:rsidRPr="00274AF5">
              <w:t xml:space="preserve">In order to better coordinate and direct care,  providers need </w:t>
            </w:r>
            <w:r w:rsidR="00B969A7">
              <w:t>actionable</w:t>
            </w:r>
            <w:r w:rsidR="00AC0AB6" w:rsidRPr="00274AF5">
              <w:t xml:space="preserve"> information regarding where and when their patients are admitted, discharged, or transferred from other care </w:t>
            </w:r>
            <w:r w:rsidR="0038527B">
              <w:t xml:space="preserve">settings </w:t>
            </w:r>
            <w:r w:rsidR="00AC0AB6" w:rsidRPr="00274AF5">
              <w:t xml:space="preserve">(emergency departments, hospitals, LTPAC, </w:t>
            </w:r>
            <w:r w:rsidR="0038527B">
              <w:t xml:space="preserve">etc.) While this information may </w:t>
            </w:r>
            <w:r w:rsidR="00AC0AB6" w:rsidRPr="00274AF5">
              <w:t>ultimately</w:t>
            </w:r>
            <w:r w:rsidR="0038527B">
              <w:t xml:space="preserve"> be</w:t>
            </w:r>
            <w:r w:rsidR="00B24305">
              <w:t xml:space="preserve">come </w:t>
            </w:r>
            <w:r w:rsidR="0038527B">
              <w:t>available</w:t>
            </w:r>
            <w:r w:rsidR="00B24305">
              <w:t xml:space="preserve"> through claims or other channels</w:t>
            </w:r>
            <w:r w:rsidR="0038527B">
              <w:t xml:space="preserve">, </w:t>
            </w:r>
            <w:r w:rsidR="00B24305">
              <w:t>providers need access to timely information to impact care.</w:t>
            </w:r>
          </w:p>
        </w:tc>
        <w:tc>
          <w:tcPr>
            <w:tcW w:w="5400" w:type="dxa"/>
          </w:tcPr>
          <w:p w:rsidR="00AC0AB6" w:rsidRPr="00274AF5" w:rsidRDefault="00AC0AB6" w:rsidP="00E47D31">
            <w:pPr>
              <w:rPr>
                <w:rFonts w:ascii="Calibri" w:eastAsia="Times New Roman" w:hAnsi="Calibri" w:cs="Times New Roman"/>
                <w:color w:val="000000"/>
              </w:rPr>
            </w:pPr>
          </w:p>
        </w:tc>
      </w:tr>
      <w:tr w:rsidR="00470D42" w:rsidRPr="00274AF5" w:rsidTr="009D137F">
        <w:tc>
          <w:tcPr>
            <w:tcW w:w="8388" w:type="dxa"/>
          </w:tcPr>
          <w:p w:rsidR="00470D42" w:rsidRPr="00FB54D1" w:rsidRDefault="00FB54D1" w:rsidP="00CF11EE">
            <w:pPr>
              <w:pStyle w:val="ListParagraph"/>
              <w:numPr>
                <w:ilvl w:val="0"/>
                <w:numId w:val="45"/>
              </w:numPr>
              <w:ind w:left="360"/>
              <w:rPr>
                <w:b/>
              </w:rPr>
            </w:pPr>
            <w:r w:rsidRPr="00FB54D1">
              <w:rPr>
                <w:b/>
              </w:rPr>
              <w:t>Articulate expectations that hospitals and health systems participating in federal accountable care models must participate in health information exchange activities.</w:t>
            </w:r>
            <w:r>
              <w:rPr>
                <w:b/>
              </w:rPr>
              <w:t xml:space="preserve"> </w:t>
            </w:r>
            <w:r w:rsidR="00E4611E" w:rsidRPr="00E4611E">
              <w:t>F</w:t>
            </w:r>
            <w:r w:rsidR="00F604FD" w:rsidRPr="00E4611E">
              <w:t>u</w:t>
            </w:r>
            <w:r w:rsidR="00F604FD">
              <w:t xml:space="preserve">ture </w:t>
            </w:r>
            <w:r w:rsidR="00E4611E">
              <w:t>requirements</w:t>
            </w:r>
            <w:r w:rsidR="00F604FD">
              <w:t xml:space="preserve"> for the </w:t>
            </w:r>
            <w:r w:rsidR="00E4611E">
              <w:t>Medicare Shared Savings program should include an expectation that participating</w:t>
            </w:r>
            <w:r w:rsidR="00F604FD">
              <w:t xml:space="preserve"> hospitals </w:t>
            </w:r>
            <w:r w:rsidR="00E4611E">
              <w:t xml:space="preserve">will </w:t>
            </w:r>
            <w:r w:rsidR="003106FD">
              <w:t>engage in health information exchange with all community providers to the degree that relevant technology options are available. At a minimum, hospitals could be expected to make</w:t>
            </w:r>
            <w:r w:rsidR="00F604FD">
              <w:t xml:space="preserve"> standardized electronic admission, discharge and transfer feed to</w:t>
            </w:r>
            <w:r w:rsidR="00584EAF">
              <w:t xml:space="preserve"> </w:t>
            </w:r>
            <w:r w:rsidR="00E4611E">
              <w:t>community partners.</w:t>
            </w:r>
          </w:p>
        </w:tc>
        <w:tc>
          <w:tcPr>
            <w:tcW w:w="5400" w:type="dxa"/>
          </w:tcPr>
          <w:p w:rsidR="00470D42" w:rsidRDefault="00470D42" w:rsidP="00933CFF">
            <w:pPr>
              <w:pStyle w:val="CommentText"/>
              <w:rPr>
                <w:sz w:val="22"/>
                <w:szCs w:val="22"/>
              </w:rPr>
            </w:pPr>
          </w:p>
        </w:tc>
      </w:tr>
      <w:tr w:rsidR="00B969A7" w:rsidRPr="00274AF5" w:rsidTr="009D137F">
        <w:tc>
          <w:tcPr>
            <w:tcW w:w="8388" w:type="dxa"/>
          </w:tcPr>
          <w:p w:rsidR="00B969A7" w:rsidRPr="00E55D18" w:rsidRDefault="00B969A7" w:rsidP="00CF11EE">
            <w:pPr>
              <w:pStyle w:val="ListParagraph"/>
              <w:numPr>
                <w:ilvl w:val="0"/>
                <w:numId w:val="45"/>
              </w:numPr>
              <w:ind w:left="360"/>
            </w:pPr>
            <w:r>
              <w:rPr>
                <w:b/>
              </w:rPr>
              <w:t>Increase p</w:t>
            </w:r>
            <w:r w:rsidRPr="001F7F69">
              <w:rPr>
                <w:b/>
              </w:rPr>
              <w:t xml:space="preserve">ublic </w:t>
            </w:r>
            <w:r>
              <w:rPr>
                <w:b/>
              </w:rPr>
              <w:t>transparency around institutions’ participation in health information exchange</w:t>
            </w:r>
            <w:r w:rsidRPr="001F7F69">
              <w:rPr>
                <w:b/>
              </w:rPr>
              <w:t>.</w:t>
            </w:r>
            <w:r>
              <w:t xml:space="preserve"> </w:t>
            </w:r>
            <w:r w:rsidRPr="00274AF5">
              <w:t>HHS</w:t>
            </w:r>
            <w:r>
              <w:t>/ONC</w:t>
            </w:r>
            <w:r w:rsidRPr="00274AF5">
              <w:t xml:space="preserve"> </w:t>
            </w:r>
            <w:r>
              <w:t xml:space="preserve">should explore public reporting options that would measure the degree to which hospitals and health systems are performing on specific measures around exchange. This could entail reporting </w:t>
            </w:r>
            <w:r w:rsidRPr="00274AF5">
              <w:t xml:space="preserve">transitions of care </w:t>
            </w:r>
            <w:r>
              <w:t>m</w:t>
            </w:r>
            <w:r w:rsidRPr="00274AF5">
              <w:t xml:space="preserve">easure </w:t>
            </w:r>
            <w:r>
              <w:t>results included in as part of inpatient quality reporting o</w:t>
            </w:r>
            <w:r w:rsidR="00FB54D1">
              <w:t xml:space="preserve">n the Hospital Compare Web site. </w:t>
            </w:r>
          </w:p>
        </w:tc>
        <w:tc>
          <w:tcPr>
            <w:tcW w:w="5400" w:type="dxa"/>
          </w:tcPr>
          <w:p w:rsidR="00B969A7" w:rsidRPr="00FB54D1" w:rsidRDefault="00FB54D1" w:rsidP="00DF7540">
            <w:pPr>
              <w:pStyle w:val="CommentText"/>
              <w:numPr>
                <w:ilvl w:val="3"/>
                <w:numId w:val="1"/>
              </w:numPr>
              <w:ind w:left="342"/>
              <w:rPr>
                <w:b/>
                <w:sz w:val="22"/>
                <w:szCs w:val="22"/>
              </w:rPr>
            </w:pPr>
            <w:r w:rsidRPr="00FB54D1">
              <w:rPr>
                <w:b/>
                <w:sz w:val="22"/>
                <w:szCs w:val="22"/>
              </w:rPr>
              <w:t xml:space="preserve">Consider removing: </w:t>
            </w:r>
            <w:r w:rsidR="007C20A0">
              <w:rPr>
                <w:sz w:val="22"/>
                <w:szCs w:val="22"/>
              </w:rPr>
              <w:t>May not have sufficient impact to warrant inclusion. ONC could follow up on this or other tools separately if it is not necessary to include in these recommendations.</w:t>
            </w:r>
          </w:p>
        </w:tc>
      </w:tr>
      <w:tr w:rsidR="00933CFF" w:rsidRPr="00274AF5" w:rsidTr="009D137F">
        <w:tc>
          <w:tcPr>
            <w:tcW w:w="8388" w:type="dxa"/>
          </w:tcPr>
          <w:p w:rsidR="00933CFF" w:rsidRPr="00274AF5" w:rsidRDefault="00933CFF" w:rsidP="00CF11EE">
            <w:pPr>
              <w:pStyle w:val="ListParagraph"/>
              <w:numPr>
                <w:ilvl w:val="0"/>
                <w:numId w:val="45"/>
              </w:numPr>
              <w:ind w:left="360"/>
            </w:pPr>
            <w:r w:rsidRPr="00DF7540">
              <w:rPr>
                <w:rFonts w:ascii="Calibri" w:eastAsia="Times New Roman" w:hAnsi="Calibri" w:cs="Times New Roman"/>
                <w:b/>
                <w:color w:val="000000"/>
              </w:rPr>
              <w:t>Include electronic transfer of data within hospital survey and certification standards around discharge summaries.</w:t>
            </w:r>
            <w:r w:rsidRPr="00DF7540">
              <w:rPr>
                <w:rFonts w:ascii="Calibri" w:eastAsia="Times New Roman" w:hAnsi="Calibri" w:cs="Times New Roman"/>
                <w:color w:val="000000"/>
              </w:rPr>
              <w:t xml:space="preserve"> CMS should update hospital survey and certification guidance to state surveyors to include send electronic admission/discharge/transfer notifications and electronic discharge summaries in a timely manner to the treating provider regardless of affiliation with the hospital.</w:t>
            </w:r>
          </w:p>
        </w:tc>
        <w:tc>
          <w:tcPr>
            <w:tcW w:w="5400" w:type="dxa"/>
          </w:tcPr>
          <w:p w:rsidR="00933CFF" w:rsidRPr="00274AF5" w:rsidRDefault="00933CFF" w:rsidP="00123067">
            <w:pPr>
              <w:pStyle w:val="CommentText"/>
              <w:ind w:left="306"/>
              <w:rPr>
                <w:sz w:val="22"/>
                <w:szCs w:val="22"/>
              </w:rPr>
            </w:pPr>
          </w:p>
        </w:tc>
      </w:tr>
      <w:tr w:rsidR="00470D42" w:rsidRPr="00274AF5" w:rsidTr="009D137F">
        <w:tc>
          <w:tcPr>
            <w:tcW w:w="8388" w:type="dxa"/>
          </w:tcPr>
          <w:p w:rsidR="00470D42" w:rsidRPr="005835C7" w:rsidRDefault="00E4611E" w:rsidP="00CF11EE">
            <w:pPr>
              <w:pStyle w:val="ListParagraph"/>
              <w:numPr>
                <w:ilvl w:val="0"/>
                <w:numId w:val="45"/>
              </w:numPr>
              <w:ind w:left="360"/>
            </w:pPr>
            <w:r w:rsidRPr="00E4611E">
              <w:rPr>
                <w:b/>
              </w:rPr>
              <w:t>Include patient event notifications in the objectives as part of the Meaningful Use program.</w:t>
            </w:r>
            <w:r>
              <w:t xml:space="preserve"> ONC should include patient event notifications as an objective under either Meaningful Use Stage 3 and establish new certification criteria to ensure an EHRs can generate a </w:t>
            </w:r>
            <w:r w:rsidR="00470D42" w:rsidRPr="005835C7">
              <w:t>real-time HL-7 ADT data</w:t>
            </w:r>
            <w:r>
              <w:t xml:space="preserve"> feed</w:t>
            </w:r>
            <w:r w:rsidR="00470D42" w:rsidRPr="005835C7">
              <w:t>.</w:t>
            </w:r>
          </w:p>
        </w:tc>
        <w:tc>
          <w:tcPr>
            <w:tcW w:w="5400" w:type="dxa"/>
          </w:tcPr>
          <w:p w:rsidR="00470D42" w:rsidRDefault="0053034E" w:rsidP="000B16A1">
            <w:pPr>
              <w:pStyle w:val="CommentText"/>
              <w:numPr>
                <w:ilvl w:val="0"/>
                <w:numId w:val="40"/>
              </w:numPr>
              <w:ind w:left="342"/>
              <w:rPr>
                <w:sz w:val="22"/>
                <w:szCs w:val="22"/>
              </w:rPr>
            </w:pPr>
            <w:r w:rsidRPr="0053034E">
              <w:rPr>
                <w:b/>
                <w:sz w:val="22"/>
                <w:szCs w:val="22"/>
              </w:rPr>
              <w:t>Consider Removing:</w:t>
            </w:r>
            <w:r>
              <w:rPr>
                <w:sz w:val="22"/>
                <w:szCs w:val="22"/>
              </w:rPr>
              <w:t xml:space="preserve"> </w:t>
            </w:r>
            <w:r w:rsidR="008E7A7D">
              <w:rPr>
                <w:sz w:val="22"/>
                <w:szCs w:val="22"/>
              </w:rPr>
              <w:t xml:space="preserve">This may not be appropriate for inclusion in Meaningful Use, as feeds are already available for meaningful encounters such as ER, </w:t>
            </w:r>
            <w:r w:rsidR="00DF7540">
              <w:rPr>
                <w:sz w:val="22"/>
                <w:szCs w:val="22"/>
              </w:rPr>
              <w:t>Hospital</w:t>
            </w:r>
            <w:r w:rsidR="008E7A7D">
              <w:rPr>
                <w:sz w:val="22"/>
                <w:szCs w:val="22"/>
              </w:rPr>
              <w:t xml:space="preserve">, etc. </w:t>
            </w:r>
          </w:p>
        </w:tc>
      </w:tr>
      <w:tr w:rsidR="00EE5B0F" w:rsidRPr="00274AF5" w:rsidTr="009D137F">
        <w:tc>
          <w:tcPr>
            <w:tcW w:w="8388" w:type="dxa"/>
          </w:tcPr>
          <w:p w:rsidR="00EE5B0F" w:rsidRPr="00274AF5" w:rsidRDefault="00EE5B0F" w:rsidP="00CF11EE">
            <w:pPr>
              <w:pStyle w:val="ListParagraph"/>
              <w:numPr>
                <w:ilvl w:val="0"/>
                <w:numId w:val="45"/>
              </w:numPr>
              <w:ind w:left="360"/>
            </w:pPr>
            <w:r>
              <w:rPr>
                <w:b/>
              </w:rPr>
              <w:t xml:space="preserve">Develop a scalable model for </w:t>
            </w:r>
            <w:r w:rsidRPr="00EA517C">
              <w:rPr>
                <w:b/>
              </w:rPr>
              <w:t>patient event notifications.</w:t>
            </w:r>
            <w:r>
              <w:t xml:space="preserve"> While m</w:t>
            </w:r>
            <w:r w:rsidRPr="00274AF5">
              <w:t xml:space="preserve">any communities with HIEs have successfully </w:t>
            </w:r>
            <w:r>
              <w:t xml:space="preserve">patient event notifications built on admission, discharge and transfer feeds from hospitals, </w:t>
            </w:r>
            <w:r w:rsidRPr="00274AF5">
              <w:t xml:space="preserve">there is a need for a lower cost and easily deployable option that is not dependent on the availability of robust HIE infrastructure at the community level. ONC should </w:t>
            </w:r>
            <w:r>
              <w:t>continue its current efforts to</w:t>
            </w:r>
            <w:r w:rsidRPr="00274AF5">
              <w:t xml:space="preserve"> develop a scalable architecture and implementation guides using HL7 standar</w:t>
            </w:r>
            <w:r>
              <w:t xml:space="preserve">ds and other re-usable modules </w:t>
            </w:r>
            <w:r w:rsidRPr="00274AF5">
              <w:t xml:space="preserve">which will notify an ACO or primary care provider when a patient is admitted or discharged from a hospital. </w:t>
            </w:r>
          </w:p>
        </w:tc>
        <w:tc>
          <w:tcPr>
            <w:tcW w:w="5400" w:type="dxa"/>
          </w:tcPr>
          <w:p w:rsidR="00EE5B0F" w:rsidRPr="007C20A0" w:rsidRDefault="00205715" w:rsidP="007C20A0">
            <w:pPr>
              <w:pStyle w:val="CommentText"/>
              <w:numPr>
                <w:ilvl w:val="0"/>
                <w:numId w:val="40"/>
              </w:numPr>
              <w:ind w:left="342"/>
              <w:rPr>
                <w:sz w:val="22"/>
                <w:szCs w:val="22"/>
              </w:rPr>
            </w:pPr>
            <w:r w:rsidRPr="007C20A0">
              <w:rPr>
                <w:b/>
                <w:sz w:val="22"/>
                <w:szCs w:val="22"/>
              </w:rPr>
              <w:t xml:space="preserve">Consider Removing: </w:t>
            </w:r>
            <w:r w:rsidRPr="007C20A0">
              <w:rPr>
                <w:sz w:val="22"/>
                <w:szCs w:val="22"/>
              </w:rPr>
              <w:t>This recommendation describes current program work ONC is doing. Other recommendations focused on ADT feeds may suffice to convey the WG’s interest in identifying notifications as an important strategy.</w:t>
            </w:r>
          </w:p>
        </w:tc>
      </w:tr>
      <w:tr w:rsidR="00CF11EE" w:rsidRPr="00274AF5" w:rsidTr="00DC019A">
        <w:tc>
          <w:tcPr>
            <w:tcW w:w="8388" w:type="dxa"/>
          </w:tcPr>
          <w:p w:rsidR="00CF11EE" w:rsidRPr="00EB6838" w:rsidRDefault="00CF11EE" w:rsidP="00CF11EE">
            <w:pPr>
              <w:pStyle w:val="ListParagraph"/>
              <w:numPr>
                <w:ilvl w:val="0"/>
                <w:numId w:val="45"/>
              </w:numPr>
              <w:ind w:left="360"/>
              <w:rPr>
                <w:b/>
              </w:rPr>
            </w:pPr>
            <w:r>
              <w:rPr>
                <w:b/>
              </w:rPr>
              <w:t xml:space="preserve">Develop guidance to facilitate exchange of protected data within </w:t>
            </w:r>
            <w:r w:rsidRPr="00EB6838">
              <w:rPr>
                <w:b/>
              </w:rPr>
              <w:t>ACOs.</w:t>
            </w:r>
            <w:r w:rsidRPr="00CF11EE">
              <w:t xml:space="preserve"> SAMHSA should consider whether ACOs and their participants could be treated as a single administrative entity to permit sharing of protected information with substance abuse facilities, or how ACOs could develop a model in which participants multiple QSOAs to facilitate sharing of protected information.</w:t>
            </w:r>
          </w:p>
        </w:tc>
        <w:tc>
          <w:tcPr>
            <w:tcW w:w="5400" w:type="dxa"/>
          </w:tcPr>
          <w:p w:rsidR="00CF11EE" w:rsidRDefault="00CF11EE" w:rsidP="00DC019A">
            <w:pPr>
              <w:pStyle w:val="CommentText"/>
              <w:ind w:left="306"/>
              <w:rPr>
                <w:rFonts w:ascii="Calibri" w:eastAsia="Times New Roman" w:hAnsi="Calibri" w:cs="Times New Roman"/>
                <w:color w:val="000000"/>
                <w:sz w:val="22"/>
                <w:szCs w:val="22"/>
              </w:rPr>
            </w:pPr>
          </w:p>
        </w:tc>
      </w:tr>
    </w:tbl>
    <w:p w:rsidR="00FA15FA" w:rsidRPr="00274AF5" w:rsidRDefault="00FA15FA" w:rsidP="00E47D31">
      <w:pPr>
        <w:rPr>
          <w:rFonts w:ascii="Calibri" w:eastAsia="Times New Roman" w:hAnsi="Calibri" w:cs="Times New Roman"/>
          <w:color w:val="000000"/>
        </w:rPr>
      </w:pPr>
    </w:p>
    <w:tbl>
      <w:tblPr>
        <w:tblStyle w:val="TableGrid"/>
        <w:tblW w:w="13788" w:type="dxa"/>
        <w:tblLook w:val="04A0"/>
      </w:tblPr>
      <w:tblGrid>
        <w:gridCol w:w="8388"/>
        <w:gridCol w:w="5400"/>
      </w:tblGrid>
      <w:tr w:rsidR="00655B97" w:rsidRPr="00274AF5" w:rsidTr="00EE5B0F">
        <w:tc>
          <w:tcPr>
            <w:tcW w:w="8388" w:type="dxa"/>
            <w:shd w:val="clear" w:color="auto" w:fill="D9D9D9" w:themeFill="background1" w:themeFillShade="D9"/>
          </w:tcPr>
          <w:p w:rsidR="00655B97" w:rsidRPr="00274AF5" w:rsidRDefault="00655B97" w:rsidP="008553DD">
            <w:pPr>
              <w:rPr>
                <w:bCs/>
                <w:i/>
              </w:rPr>
            </w:pPr>
            <w:r w:rsidRPr="00274AF5">
              <w:rPr>
                <w:bCs/>
                <w:i/>
              </w:rPr>
              <w:t>Original Text</w:t>
            </w:r>
          </w:p>
        </w:tc>
        <w:tc>
          <w:tcPr>
            <w:tcW w:w="5400" w:type="dxa"/>
            <w:shd w:val="clear" w:color="auto" w:fill="D9D9D9" w:themeFill="background1" w:themeFillShade="D9"/>
          </w:tcPr>
          <w:p w:rsidR="00655B97" w:rsidRPr="00274AF5" w:rsidRDefault="00655B97" w:rsidP="008553DD">
            <w:pPr>
              <w:pStyle w:val="CommentText"/>
              <w:rPr>
                <w:i/>
                <w:sz w:val="22"/>
                <w:szCs w:val="22"/>
              </w:rPr>
            </w:pPr>
            <w:r w:rsidRPr="00274AF5">
              <w:rPr>
                <w:i/>
                <w:sz w:val="22"/>
                <w:szCs w:val="22"/>
              </w:rPr>
              <w:t>Comments/Major Revisions</w:t>
            </w:r>
          </w:p>
        </w:tc>
      </w:tr>
      <w:tr w:rsidR="00655B97" w:rsidRPr="00274AF5" w:rsidTr="00EE5B0F">
        <w:tc>
          <w:tcPr>
            <w:tcW w:w="8388" w:type="dxa"/>
          </w:tcPr>
          <w:p w:rsidR="00655B97" w:rsidRPr="00274AF5" w:rsidRDefault="00655B97" w:rsidP="00CF0E58">
            <w:pPr>
              <w:pStyle w:val="ListParagraph"/>
              <w:numPr>
                <w:ilvl w:val="0"/>
                <w:numId w:val="29"/>
              </w:numPr>
              <w:ind w:left="360" w:hanging="180"/>
              <w:rPr>
                <w:b/>
                <w:bCs/>
              </w:rPr>
            </w:pPr>
            <w:r w:rsidRPr="00274AF5">
              <w:rPr>
                <w:b/>
                <w:bCs/>
              </w:rPr>
              <w:t xml:space="preserve">Data Liquidity for </w:t>
            </w:r>
            <w:proofErr w:type="gramStart"/>
            <w:r w:rsidRPr="00274AF5">
              <w:rPr>
                <w:b/>
                <w:bCs/>
              </w:rPr>
              <w:t>Accountable</w:t>
            </w:r>
            <w:proofErr w:type="gramEnd"/>
            <w:r w:rsidRPr="00274AF5">
              <w:rPr>
                <w:b/>
                <w:bCs/>
              </w:rPr>
              <w:t xml:space="preserve"> Care. </w:t>
            </w:r>
            <w:r w:rsidR="00B969A7">
              <w:rPr>
                <w:bCs/>
              </w:rPr>
              <w:t>P</w:t>
            </w:r>
            <w:r w:rsidRPr="00274AF5">
              <w:rPr>
                <w:bCs/>
              </w:rPr>
              <w:t>roviders in</w:t>
            </w:r>
            <w:r w:rsidR="00B969A7">
              <w:rPr>
                <w:bCs/>
              </w:rPr>
              <w:t xml:space="preserve"> </w:t>
            </w:r>
            <w:proofErr w:type="gramStart"/>
            <w:r w:rsidR="00B969A7">
              <w:rPr>
                <w:bCs/>
              </w:rPr>
              <w:t>accountable</w:t>
            </w:r>
            <w:proofErr w:type="gramEnd"/>
            <w:r w:rsidR="00B969A7">
              <w:rPr>
                <w:bCs/>
              </w:rPr>
              <w:t xml:space="preserve"> care arrangements must aggregate and manipulate data across a wide range of systems</w:t>
            </w:r>
            <w:r w:rsidRPr="00274AF5">
              <w:rPr>
                <w:bCs/>
              </w:rPr>
              <w:t xml:space="preserve"> to support a comprehensive view of the patient, deliver seamless care coordination across settings, and manage populations of attr</w:t>
            </w:r>
            <w:r w:rsidR="00B969A7">
              <w:rPr>
                <w:bCs/>
              </w:rPr>
              <w:t xml:space="preserve">ibuted patients. HHS/ONC should continue to use available levers, such as the health IT certification framework and related standards development priorities </w:t>
            </w:r>
            <w:r w:rsidRPr="00274AF5">
              <w:rPr>
                <w:bCs/>
              </w:rPr>
              <w:t xml:space="preserve">to drive interoperability across EHRs and </w:t>
            </w:r>
            <w:r w:rsidR="002D46F4">
              <w:rPr>
                <w:bCs/>
              </w:rPr>
              <w:t>facilitate</w:t>
            </w:r>
            <w:r w:rsidR="00B969A7">
              <w:rPr>
                <w:bCs/>
              </w:rPr>
              <w:t xml:space="preserve"> </w:t>
            </w:r>
            <w:r w:rsidR="002D46F4">
              <w:rPr>
                <w:bCs/>
              </w:rPr>
              <w:t>integration across different</w:t>
            </w:r>
            <w:r w:rsidRPr="00274AF5">
              <w:rPr>
                <w:bCs/>
              </w:rPr>
              <w:t xml:space="preserve"> HIT tools </w:t>
            </w:r>
            <w:r w:rsidR="002D46F4">
              <w:rPr>
                <w:bCs/>
              </w:rPr>
              <w:t xml:space="preserve">supporting an </w:t>
            </w:r>
            <w:proofErr w:type="gramStart"/>
            <w:r w:rsidR="001D48F4">
              <w:rPr>
                <w:bCs/>
              </w:rPr>
              <w:t>accountable</w:t>
            </w:r>
            <w:proofErr w:type="gramEnd"/>
            <w:r w:rsidR="001D48F4">
              <w:rPr>
                <w:bCs/>
              </w:rPr>
              <w:t xml:space="preserve"> care</w:t>
            </w:r>
            <w:r w:rsidR="002D46F4">
              <w:rPr>
                <w:bCs/>
              </w:rPr>
              <w:t xml:space="preserve"> ecosystem</w:t>
            </w:r>
            <w:r w:rsidR="001D48F4">
              <w:rPr>
                <w:bCs/>
              </w:rPr>
              <w:t>.</w:t>
            </w:r>
          </w:p>
        </w:tc>
        <w:tc>
          <w:tcPr>
            <w:tcW w:w="5400" w:type="dxa"/>
          </w:tcPr>
          <w:p w:rsidR="00655B97" w:rsidRPr="00274AF5" w:rsidRDefault="00655B97" w:rsidP="00E47D31">
            <w:pPr>
              <w:rPr>
                <w:rFonts w:ascii="Calibri" w:eastAsia="Times New Roman" w:hAnsi="Calibri" w:cs="Times New Roman"/>
                <w:color w:val="000000"/>
              </w:rPr>
            </w:pPr>
          </w:p>
        </w:tc>
      </w:tr>
      <w:tr w:rsidR="00655B97" w:rsidRPr="00274AF5" w:rsidTr="00EE5B0F">
        <w:tc>
          <w:tcPr>
            <w:tcW w:w="8388" w:type="dxa"/>
          </w:tcPr>
          <w:p w:rsidR="00655B97" w:rsidRPr="005E0BC8" w:rsidRDefault="002D46F4" w:rsidP="00CF11EE">
            <w:pPr>
              <w:pStyle w:val="ListParagraph"/>
              <w:numPr>
                <w:ilvl w:val="0"/>
                <w:numId w:val="11"/>
              </w:numPr>
              <w:ind w:left="360"/>
            </w:pPr>
            <w:r>
              <w:rPr>
                <w:b/>
              </w:rPr>
              <w:t>Drive greater specificity and structure in i</w:t>
            </w:r>
            <w:r w:rsidR="001F7F69" w:rsidRPr="001F7F69">
              <w:rPr>
                <w:b/>
              </w:rPr>
              <w:t>nteroperability standards.</w:t>
            </w:r>
            <w:r w:rsidR="001F7F69">
              <w:t xml:space="preserve"> </w:t>
            </w:r>
            <w:r>
              <w:t xml:space="preserve">Increasing availability of structured data is critical to </w:t>
            </w:r>
            <w:proofErr w:type="gramStart"/>
            <w:r>
              <w:t>accountable</w:t>
            </w:r>
            <w:proofErr w:type="gramEnd"/>
            <w:r>
              <w:t xml:space="preserve"> care infrastructure. </w:t>
            </w:r>
            <w:r w:rsidR="00655B97" w:rsidRPr="005E0BC8">
              <w:t>ONC should continue to develop more specificity in federally recognized int</w:t>
            </w:r>
            <w:r>
              <w:t xml:space="preserve">eroperability standards to promote </w:t>
            </w:r>
            <w:r w:rsidR="00CF11EE">
              <w:t>semantic interoperability and seamless</w:t>
            </w:r>
            <w:r w:rsidR="00655B97" w:rsidRPr="005E0BC8">
              <w:t xml:space="preserve"> flo</w:t>
            </w:r>
            <w:r w:rsidR="00CF11EE">
              <w:t>w of information across systems</w:t>
            </w:r>
            <w:r w:rsidR="00125DA9">
              <w:t xml:space="preserve">. ONC should increase specificity around transactional data </w:t>
            </w:r>
            <w:r w:rsidR="00655B97" w:rsidRPr="005E0BC8">
              <w:t>such as discrete HL7 data feeds for admissions, discharges and transfers, notifications, labs, prescriptions, etc.</w:t>
            </w:r>
            <w:r>
              <w:t>, as well as further specification of continuity of care document standards.</w:t>
            </w:r>
          </w:p>
        </w:tc>
        <w:tc>
          <w:tcPr>
            <w:tcW w:w="5400" w:type="dxa"/>
          </w:tcPr>
          <w:p w:rsidR="00A74B47" w:rsidRDefault="00A74B47" w:rsidP="00063192">
            <w:pPr>
              <w:pStyle w:val="CommentText"/>
              <w:rPr>
                <w:sz w:val="22"/>
                <w:szCs w:val="22"/>
              </w:rPr>
            </w:pPr>
          </w:p>
          <w:p w:rsidR="00125DA9" w:rsidRDefault="00125DA9" w:rsidP="00783C6A">
            <w:pPr>
              <w:pStyle w:val="CommentText"/>
              <w:tabs>
                <w:tab w:val="left" w:pos="2454"/>
                <w:tab w:val="left" w:pos="2867"/>
                <w:tab w:val="center" w:pos="3492"/>
              </w:tabs>
              <w:ind w:left="306"/>
              <w:rPr>
                <w:sz w:val="22"/>
                <w:szCs w:val="22"/>
              </w:rPr>
            </w:pPr>
            <w:r>
              <w:rPr>
                <w:sz w:val="22"/>
                <w:szCs w:val="22"/>
              </w:rPr>
              <w:tab/>
            </w:r>
            <w:r>
              <w:rPr>
                <w:sz w:val="22"/>
                <w:szCs w:val="22"/>
              </w:rPr>
              <w:tab/>
            </w:r>
          </w:p>
          <w:p w:rsidR="00BD5E60" w:rsidRPr="005E0BC8" w:rsidRDefault="00BD5E60" w:rsidP="00BD5E60">
            <w:pPr>
              <w:pStyle w:val="CommentText"/>
              <w:ind w:left="306"/>
              <w:rPr>
                <w:sz w:val="22"/>
                <w:szCs w:val="22"/>
              </w:rPr>
            </w:pPr>
          </w:p>
        </w:tc>
      </w:tr>
      <w:tr w:rsidR="004D49DC" w:rsidRPr="00274AF5" w:rsidTr="00EE5B0F">
        <w:tc>
          <w:tcPr>
            <w:tcW w:w="8388" w:type="dxa"/>
          </w:tcPr>
          <w:p w:rsidR="004D49DC" w:rsidRPr="00EE5B0F" w:rsidRDefault="002D46F4" w:rsidP="00CF0E58">
            <w:pPr>
              <w:pStyle w:val="ListParagraph"/>
              <w:numPr>
                <w:ilvl w:val="0"/>
                <w:numId w:val="11"/>
              </w:numPr>
              <w:ind w:left="360"/>
              <w:rPr>
                <w:b/>
              </w:rPr>
            </w:pPr>
            <w:r>
              <w:rPr>
                <w:b/>
              </w:rPr>
              <w:t xml:space="preserve">Encourage EHR functionality that allows for greater provider customization of workflows. </w:t>
            </w:r>
            <w:r w:rsidR="00837753" w:rsidRPr="00EE5B0F">
              <w:t xml:space="preserve">ONC should </w:t>
            </w:r>
            <w:r>
              <w:t>prioritize development of standardized functionality within EHRs that would allow for</w:t>
            </w:r>
            <w:r w:rsidR="004D49DC" w:rsidRPr="00EE5B0F">
              <w:t xml:space="preserve"> </w:t>
            </w:r>
            <w:r w:rsidR="00783C6A" w:rsidRPr="00EE5B0F">
              <w:t>customizable</w:t>
            </w:r>
            <w:r w:rsidR="004D49DC" w:rsidRPr="00EE5B0F">
              <w:t xml:space="preserve"> triggers within the workflow </w:t>
            </w:r>
            <w:r>
              <w:t>for</w:t>
            </w:r>
            <w:r w:rsidR="004D49DC" w:rsidRPr="00EE5B0F">
              <w:t xml:space="preserve"> providers to insert tools</w:t>
            </w:r>
            <w:r w:rsidR="00783C6A" w:rsidRPr="00EE5B0F">
              <w:t xml:space="preserve"> and directives.</w:t>
            </w:r>
          </w:p>
        </w:tc>
        <w:tc>
          <w:tcPr>
            <w:tcW w:w="5400" w:type="dxa"/>
          </w:tcPr>
          <w:p w:rsidR="004D49DC" w:rsidRPr="005835C7" w:rsidRDefault="002D46F4" w:rsidP="0053034E">
            <w:pPr>
              <w:pStyle w:val="CommentText"/>
              <w:numPr>
                <w:ilvl w:val="0"/>
                <w:numId w:val="12"/>
              </w:numPr>
              <w:ind w:left="306"/>
              <w:rPr>
                <w:sz w:val="22"/>
                <w:szCs w:val="22"/>
              </w:rPr>
            </w:pPr>
            <w:r w:rsidRPr="0053034E">
              <w:rPr>
                <w:sz w:val="22"/>
                <w:szCs w:val="22"/>
              </w:rPr>
              <w:t xml:space="preserve">This </w:t>
            </w:r>
            <w:r w:rsidR="00011790" w:rsidRPr="0053034E">
              <w:rPr>
                <w:sz w:val="22"/>
                <w:szCs w:val="22"/>
              </w:rPr>
              <w:t>could potentially build on</w:t>
            </w:r>
            <w:r w:rsidRPr="0053034E">
              <w:rPr>
                <w:sz w:val="22"/>
                <w:szCs w:val="22"/>
              </w:rPr>
              <w:t xml:space="preserve"> similar work being conducted within the structured data capture initiative that is part of the S&amp;I Initiative.</w:t>
            </w:r>
          </w:p>
        </w:tc>
      </w:tr>
      <w:tr w:rsidR="00655B97" w:rsidRPr="00274AF5" w:rsidTr="00EE5B0F">
        <w:tc>
          <w:tcPr>
            <w:tcW w:w="8388" w:type="dxa"/>
          </w:tcPr>
          <w:p w:rsidR="00655B97" w:rsidRPr="005E0BC8" w:rsidRDefault="00875393" w:rsidP="00875393">
            <w:pPr>
              <w:pStyle w:val="ListParagraph"/>
              <w:numPr>
                <w:ilvl w:val="0"/>
                <w:numId w:val="11"/>
              </w:numPr>
              <w:ind w:left="360"/>
            </w:pPr>
            <w:r>
              <w:rPr>
                <w:b/>
              </w:rPr>
              <w:t xml:space="preserve">Increasing access to </w:t>
            </w:r>
            <w:r w:rsidR="00011790">
              <w:rPr>
                <w:b/>
              </w:rPr>
              <w:t xml:space="preserve">EHR data </w:t>
            </w:r>
            <w:r>
              <w:rPr>
                <w:b/>
              </w:rPr>
              <w:t xml:space="preserve">and improving portability of data </w:t>
            </w:r>
            <w:r w:rsidR="00011790">
              <w:rPr>
                <w:b/>
              </w:rPr>
              <w:t>across systems</w:t>
            </w:r>
            <w:r w:rsidR="00783C6A">
              <w:rPr>
                <w:b/>
              </w:rPr>
              <w:t>.</w:t>
            </w:r>
            <w:r w:rsidR="00783C6A">
              <w:t xml:space="preserve"> </w:t>
            </w:r>
            <w:r w:rsidR="00A74B47" w:rsidRPr="005E0BC8">
              <w:t xml:space="preserve">The HIT </w:t>
            </w:r>
            <w:r w:rsidR="00783C6A">
              <w:t>Policy</w:t>
            </w:r>
            <w:r w:rsidR="00783C6A" w:rsidRPr="005E0BC8">
              <w:t xml:space="preserve"> </w:t>
            </w:r>
            <w:r w:rsidR="00A74B47" w:rsidRPr="005E0BC8">
              <w:t>Committee should consider options to implement standards being developed under the Data Access Framework (DAF) to develop a common API for HIT applications which would allow real-time sharing of information between applications. The HIT Policy Committee could then consider how these standards could be initially implemented as a part of future voluntary certification which would allow participating vendors to demonstrate that they can easily integrate with other applications.</w:t>
            </w:r>
          </w:p>
        </w:tc>
        <w:tc>
          <w:tcPr>
            <w:tcW w:w="5400" w:type="dxa"/>
          </w:tcPr>
          <w:p w:rsidR="00655B97" w:rsidRPr="001F7F69" w:rsidRDefault="00655B97" w:rsidP="00063192">
            <w:pPr>
              <w:pStyle w:val="CommentText"/>
              <w:rPr>
                <w:sz w:val="22"/>
                <w:szCs w:val="22"/>
              </w:rPr>
            </w:pPr>
          </w:p>
        </w:tc>
      </w:tr>
      <w:tr w:rsidR="00242D4E" w:rsidRPr="00274AF5" w:rsidTr="00EE5B0F">
        <w:tc>
          <w:tcPr>
            <w:tcW w:w="8388" w:type="dxa"/>
          </w:tcPr>
          <w:p w:rsidR="00242D4E" w:rsidRPr="001D48F4" w:rsidRDefault="00F5620D" w:rsidP="00CF0E58">
            <w:pPr>
              <w:pStyle w:val="ListParagraph"/>
              <w:numPr>
                <w:ilvl w:val="0"/>
                <w:numId w:val="11"/>
              </w:numPr>
              <w:ind w:left="360"/>
            </w:pPr>
            <w:r>
              <w:rPr>
                <w:b/>
              </w:rPr>
              <w:t>Strengthen m</w:t>
            </w:r>
            <w:r w:rsidR="001F7F69" w:rsidRPr="001F7F69">
              <w:rPr>
                <w:b/>
              </w:rPr>
              <w:t>easures for cross-vendor exchange.</w:t>
            </w:r>
            <w:r w:rsidR="001F7F69">
              <w:t xml:space="preserve"> </w:t>
            </w:r>
            <w:r w:rsidR="00242D4E" w:rsidRPr="00274AF5">
              <w:t>The HIT Standards Committee should strengthen measures around cross-vendor exchange for meeting HIT Policy Committee and HHS objectives around transitions of care in future stages of Meaningful Use.</w:t>
            </w:r>
          </w:p>
        </w:tc>
        <w:tc>
          <w:tcPr>
            <w:tcW w:w="5400" w:type="dxa"/>
          </w:tcPr>
          <w:p w:rsidR="00086945" w:rsidRPr="000B16A1" w:rsidRDefault="0053034E" w:rsidP="00203445">
            <w:pPr>
              <w:pStyle w:val="CommentText"/>
              <w:numPr>
                <w:ilvl w:val="0"/>
                <w:numId w:val="35"/>
              </w:numPr>
              <w:ind w:left="342"/>
              <w:rPr>
                <w:sz w:val="22"/>
                <w:szCs w:val="22"/>
              </w:rPr>
            </w:pPr>
            <w:r w:rsidRPr="0053034E">
              <w:rPr>
                <w:b/>
                <w:sz w:val="22"/>
                <w:szCs w:val="22"/>
              </w:rPr>
              <w:t xml:space="preserve">Consider Removing: </w:t>
            </w:r>
            <w:r w:rsidR="00203445" w:rsidRPr="00203445">
              <w:rPr>
                <w:sz w:val="22"/>
                <w:szCs w:val="22"/>
              </w:rPr>
              <w:t>C</w:t>
            </w:r>
            <w:r w:rsidRPr="00203445">
              <w:rPr>
                <w:sz w:val="22"/>
                <w:szCs w:val="22"/>
              </w:rPr>
              <w:t>ross</w:t>
            </w:r>
            <w:r>
              <w:rPr>
                <w:sz w:val="22"/>
                <w:szCs w:val="22"/>
              </w:rPr>
              <w:t xml:space="preserve">-vendor exchange </w:t>
            </w:r>
            <w:r w:rsidR="00203445">
              <w:rPr>
                <w:sz w:val="22"/>
                <w:szCs w:val="22"/>
              </w:rPr>
              <w:t>may not be the right way to approach this given problems with measurement and implementation. This measure is no longer proposed in MU Stage 3.</w:t>
            </w:r>
          </w:p>
        </w:tc>
      </w:tr>
      <w:tr w:rsidR="001D48F4" w:rsidRPr="00274AF5" w:rsidTr="00EE5B0F">
        <w:tc>
          <w:tcPr>
            <w:tcW w:w="8388" w:type="dxa"/>
          </w:tcPr>
          <w:p w:rsidR="001D48F4" w:rsidRPr="00274AF5" w:rsidRDefault="00F5620D" w:rsidP="00CF0E58">
            <w:pPr>
              <w:pStyle w:val="ListParagraph"/>
              <w:numPr>
                <w:ilvl w:val="0"/>
                <w:numId w:val="11"/>
              </w:numPr>
              <w:ind w:left="360"/>
            </w:pPr>
            <w:r>
              <w:rPr>
                <w:b/>
              </w:rPr>
              <w:t>Increase availability of data from r</w:t>
            </w:r>
            <w:r w:rsidR="001F7F69" w:rsidRPr="001F7F69">
              <w:rPr>
                <w:b/>
              </w:rPr>
              <w:t>emote monitoring devices.</w:t>
            </w:r>
            <w:r w:rsidR="001F7F69">
              <w:t xml:space="preserve"> </w:t>
            </w:r>
            <w:r w:rsidR="001D48F4" w:rsidRPr="00274AF5">
              <w:t>ONC and FDA should review barriers, and issues related beyond, linked to the use of patient focused remote monitoring devices payment, certification, quality, satisfaction, and how data from these can best be made available</w:t>
            </w:r>
            <w:r w:rsidR="001F7F69">
              <w:t xml:space="preserve"> to the clinicians of record.</w:t>
            </w:r>
          </w:p>
        </w:tc>
        <w:tc>
          <w:tcPr>
            <w:tcW w:w="5400" w:type="dxa"/>
          </w:tcPr>
          <w:p w:rsidR="001D48F4" w:rsidRDefault="001D48F4" w:rsidP="00CF0E58">
            <w:pPr>
              <w:pStyle w:val="ListParagraph"/>
              <w:numPr>
                <w:ilvl w:val="0"/>
                <w:numId w:val="13"/>
              </w:numPr>
              <w:ind w:left="306"/>
            </w:pPr>
            <w:r>
              <w:t>*</w:t>
            </w:r>
            <w:r w:rsidR="001F7F69">
              <w:t>ADDED</w:t>
            </w:r>
            <w:r>
              <w:t xml:space="preserve"> RECOMMENDATION*</w:t>
            </w:r>
          </w:p>
          <w:p w:rsidR="00203445" w:rsidRPr="00274AF5" w:rsidRDefault="00203445" w:rsidP="00CF0E58">
            <w:pPr>
              <w:pStyle w:val="ListParagraph"/>
              <w:numPr>
                <w:ilvl w:val="0"/>
                <w:numId w:val="13"/>
              </w:numPr>
              <w:ind w:left="306"/>
            </w:pPr>
            <w:r>
              <w:t xml:space="preserve">The HITPC has recently done work on this </w:t>
            </w:r>
            <w:proofErr w:type="gramStart"/>
            <w:r>
              <w:t>topic,</w:t>
            </w:r>
            <w:proofErr w:type="gramEnd"/>
            <w:r>
              <w:t xml:space="preserve"> recommendation would be to highlight importance of this work for accountable care models.</w:t>
            </w:r>
          </w:p>
        </w:tc>
      </w:tr>
      <w:tr w:rsidR="001F7F69" w:rsidRPr="00274AF5" w:rsidTr="00EE5B0F">
        <w:tc>
          <w:tcPr>
            <w:tcW w:w="8388" w:type="dxa"/>
          </w:tcPr>
          <w:p w:rsidR="001F7F69" w:rsidRPr="00274AF5" w:rsidRDefault="00875393" w:rsidP="00CF0E58">
            <w:pPr>
              <w:pStyle w:val="ListParagraph"/>
              <w:numPr>
                <w:ilvl w:val="0"/>
                <w:numId w:val="11"/>
              </w:numPr>
              <w:ind w:left="360"/>
            </w:pPr>
            <w:r w:rsidRPr="00875393">
              <w:rPr>
                <w:b/>
              </w:rPr>
              <w:t xml:space="preserve">Increase effectiveness of certification tools. </w:t>
            </w:r>
            <w:r w:rsidR="001F7F69" w:rsidRPr="00274AF5">
              <w:t>The HIT Standards Committee sho</w:t>
            </w:r>
            <w:r w:rsidR="00011790">
              <w:t>uld direct ONC or another HITSC</w:t>
            </w:r>
            <w:r w:rsidR="001F7F69" w:rsidRPr="00274AF5">
              <w:t xml:space="preserve"> workgroup to consider activities that build upon or complement the current certification process to increase vendor accountability for effectively implementing interoperability specifications. This group could consider several different mechanisms including:</w:t>
            </w:r>
          </w:p>
        </w:tc>
        <w:tc>
          <w:tcPr>
            <w:tcW w:w="5400" w:type="dxa"/>
          </w:tcPr>
          <w:p w:rsidR="001F7F69" w:rsidRPr="005375FC" w:rsidRDefault="001F7F69" w:rsidP="00203445">
            <w:pPr>
              <w:pStyle w:val="CommentText"/>
              <w:numPr>
                <w:ilvl w:val="0"/>
                <w:numId w:val="47"/>
              </w:numPr>
              <w:ind w:left="342"/>
              <w:rPr>
                <w:sz w:val="22"/>
                <w:szCs w:val="22"/>
              </w:rPr>
            </w:pPr>
            <w:r w:rsidRPr="005375FC">
              <w:rPr>
                <w:rFonts w:ascii="Calibri" w:eastAsia="Calibri" w:hAnsi="Calibri"/>
                <w:bCs/>
                <w:color w:val="000000" w:themeColor="text1"/>
                <w:kern w:val="24"/>
                <w:sz w:val="22"/>
                <w:szCs w:val="22"/>
              </w:rPr>
              <w:t xml:space="preserve">As we move beyond ONC CEHRT 2014 we need to be careful about how EHRT is defined. </w:t>
            </w:r>
            <w:r w:rsidR="00011790">
              <w:rPr>
                <w:rFonts w:ascii="Calibri" w:eastAsia="Calibri" w:hAnsi="Calibri"/>
                <w:bCs/>
                <w:color w:val="000000" w:themeColor="text1"/>
                <w:kern w:val="24"/>
                <w:sz w:val="22"/>
                <w:szCs w:val="22"/>
              </w:rPr>
              <w:t xml:space="preserve">Goal should be to </w:t>
            </w:r>
            <w:r w:rsidRPr="005375FC">
              <w:rPr>
                <w:rFonts w:ascii="Calibri" w:eastAsia="Calibri" w:hAnsi="Calibri"/>
                <w:bCs/>
                <w:color w:val="000000" w:themeColor="text1"/>
                <w:kern w:val="24"/>
                <w:sz w:val="22"/>
                <w:szCs w:val="22"/>
              </w:rPr>
              <w:t>exchange critical data among multiple HIT platforms, products, and product types. This means a clear focus on interoperability, which is under the aegis of the HITSC.</w:t>
            </w:r>
          </w:p>
        </w:tc>
      </w:tr>
      <w:tr w:rsidR="001F7F69" w:rsidRPr="00274AF5" w:rsidTr="00EE5B0F">
        <w:tc>
          <w:tcPr>
            <w:tcW w:w="8388" w:type="dxa"/>
          </w:tcPr>
          <w:p w:rsidR="001F7F69" w:rsidRPr="00274AF5" w:rsidRDefault="001F7F69" w:rsidP="00CF0E58">
            <w:pPr>
              <w:pStyle w:val="ListParagraph"/>
              <w:numPr>
                <w:ilvl w:val="0"/>
                <w:numId w:val="8"/>
              </w:numPr>
              <w:ind w:left="1080"/>
            </w:pPr>
            <w:r w:rsidRPr="00274AF5">
              <w:t xml:space="preserve">Developing an “accreditation” or “recognition” program for vendors who have demonstrated the ability to efficiently and easily share data across systems and within population health management platforms in practice (i.e. beyond demonstrating interoperability under controlled conditions). </w:t>
            </w:r>
          </w:p>
        </w:tc>
        <w:tc>
          <w:tcPr>
            <w:tcW w:w="5400" w:type="dxa"/>
          </w:tcPr>
          <w:p w:rsidR="001F7F69" w:rsidRPr="00D04476" w:rsidRDefault="001F7F69" w:rsidP="00203445">
            <w:pPr>
              <w:pStyle w:val="CommentText"/>
              <w:numPr>
                <w:ilvl w:val="0"/>
                <w:numId w:val="47"/>
              </w:numPr>
              <w:ind w:left="342"/>
              <w:rPr>
                <w:sz w:val="22"/>
                <w:szCs w:val="22"/>
              </w:rPr>
            </w:pPr>
            <w:r>
              <w:rPr>
                <w:rFonts w:ascii="Calibri" w:eastAsia="Calibri" w:hAnsi="Calibri"/>
                <w:b/>
                <w:bCs/>
                <w:color w:val="000000" w:themeColor="text1"/>
                <w:kern w:val="24"/>
                <w:sz w:val="22"/>
                <w:szCs w:val="22"/>
              </w:rPr>
              <w:t xml:space="preserve">Consider eliminating this concept: </w:t>
            </w:r>
            <w:r>
              <w:rPr>
                <w:rFonts w:ascii="Calibri" w:eastAsia="Calibri" w:hAnsi="Calibri"/>
                <w:color w:val="000000" w:themeColor="text1"/>
                <w:kern w:val="24"/>
                <w:sz w:val="22"/>
                <w:szCs w:val="22"/>
              </w:rPr>
              <w:t xml:space="preserve">1) The market will quickly figure out which vendors are truly willing to play in the interoperability space without yet another government run program (and all that this entails) 2) There is currently NCQA accreditation, ONC certification,  KLAS recognition, etc. Another recognition program may not bring much value, but would certainly add to burden and costs.   </w:t>
            </w:r>
          </w:p>
        </w:tc>
      </w:tr>
      <w:tr w:rsidR="001F7F69" w:rsidRPr="00274AF5" w:rsidTr="00EE5B0F">
        <w:tc>
          <w:tcPr>
            <w:tcW w:w="8388" w:type="dxa"/>
          </w:tcPr>
          <w:p w:rsidR="001F7F69" w:rsidRPr="00274AF5" w:rsidRDefault="001F7F69" w:rsidP="00CF0E58">
            <w:pPr>
              <w:pStyle w:val="ListParagraph"/>
              <w:numPr>
                <w:ilvl w:val="0"/>
                <w:numId w:val="8"/>
              </w:numPr>
              <w:ind w:left="1080"/>
            </w:pPr>
            <w:r w:rsidRPr="00274AF5">
              <w:t>Developing a more robust system for monitoring performance of certified products’ ability to effectively implement exchange in practice, e.g. through a system for identifying customer complaints, with an option to place vendor certification in a provisional status if identified concerns are not addressed.</w:t>
            </w:r>
          </w:p>
        </w:tc>
        <w:tc>
          <w:tcPr>
            <w:tcW w:w="5400" w:type="dxa"/>
          </w:tcPr>
          <w:p w:rsidR="005375FC" w:rsidRDefault="001F7F69" w:rsidP="00203445">
            <w:pPr>
              <w:pStyle w:val="CommentText"/>
              <w:numPr>
                <w:ilvl w:val="0"/>
                <w:numId w:val="47"/>
              </w:numPr>
              <w:ind w:left="342"/>
              <w:rPr>
                <w:rFonts w:ascii="Calibri" w:eastAsia="Calibri" w:hAnsi="Calibri"/>
                <w:b/>
                <w:bCs/>
                <w:color w:val="000000" w:themeColor="text1"/>
                <w:kern w:val="24"/>
                <w:sz w:val="22"/>
                <w:szCs w:val="22"/>
              </w:rPr>
            </w:pPr>
            <w:r w:rsidRPr="001F7F69">
              <w:rPr>
                <w:rFonts w:ascii="Calibri" w:eastAsia="Calibri" w:hAnsi="Calibri"/>
                <w:b/>
                <w:bCs/>
                <w:color w:val="000000" w:themeColor="text1"/>
                <w:kern w:val="24"/>
                <w:sz w:val="22"/>
                <w:szCs w:val="22"/>
              </w:rPr>
              <w:t>Consider limiting this recommendation solely to transparency:</w:t>
            </w:r>
            <w:r w:rsidRPr="001F7F69">
              <w:rPr>
                <w:rFonts w:ascii="Calibri" w:eastAsia="Calibri" w:hAnsi="Calibri"/>
                <w:bCs/>
                <w:color w:val="000000" w:themeColor="text1"/>
                <w:kern w:val="24"/>
                <w:sz w:val="22"/>
                <w:szCs w:val="22"/>
              </w:rPr>
              <w:t xml:space="preserve"> </w:t>
            </w:r>
            <w:r>
              <w:rPr>
                <w:rFonts w:ascii="Calibri" w:eastAsia="Calibri" w:hAnsi="Calibri"/>
                <w:bCs/>
                <w:color w:val="000000" w:themeColor="text1"/>
                <w:kern w:val="24"/>
                <w:sz w:val="22"/>
                <w:szCs w:val="22"/>
              </w:rPr>
              <w:t>W</w:t>
            </w:r>
            <w:r w:rsidRPr="001F7F69">
              <w:rPr>
                <w:rFonts w:ascii="Calibri" w:eastAsia="Calibri" w:hAnsi="Calibri"/>
                <w:bCs/>
                <w:color w:val="000000" w:themeColor="text1"/>
                <w:kern w:val="24"/>
                <w:sz w:val="22"/>
                <w:szCs w:val="22"/>
              </w:rPr>
              <w:t>hile concept is important, difficult to effectively tie it back to certification. The problem is that a vendor could meet the certification requirements to the letter while not really effectively supporting exchange in practice.</w:t>
            </w:r>
            <w:r w:rsidRPr="001F7F69">
              <w:rPr>
                <w:rFonts w:ascii="Calibri" w:eastAsia="Calibri" w:hAnsi="Calibri"/>
                <w:b/>
                <w:bCs/>
                <w:color w:val="000000" w:themeColor="text1"/>
                <w:kern w:val="24"/>
                <w:sz w:val="22"/>
                <w:szCs w:val="22"/>
              </w:rPr>
              <w:t xml:space="preserve"> </w:t>
            </w:r>
          </w:p>
          <w:p w:rsidR="001F7F69" w:rsidRPr="005375FC" w:rsidRDefault="001F7F69" w:rsidP="00203445">
            <w:pPr>
              <w:pStyle w:val="CommentText"/>
              <w:numPr>
                <w:ilvl w:val="0"/>
                <w:numId w:val="47"/>
              </w:numPr>
              <w:ind w:left="342"/>
              <w:rPr>
                <w:rFonts w:ascii="Calibri" w:eastAsia="Calibri" w:hAnsi="Calibri"/>
                <w:bCs/>
                <w:color w:val="000000" w:themeColor="text1"/>
                <w:kern w:val="24"/>
                <w:sz w:val="22"/>
                <w:szCs w:val="22"/>
              </w:rPr>
            </w:pPr>
            <w:r w:rsidRPr="005375FC">
              <w:rPr>
                <w:rFonts w:ascii="Calibri" w:eastAsia="Calibri" w:hAnsi="Calibri"/>
                <w:bCs/>
                <w:color w:val="000000" w:themeColor="text1"/>
                <w:kern w:val="24"/>
                <w:sz w:val="22"/>
                <w:szCs w:val="22"/>
              </w:rPr>
              <w:t>Could this be assessing how well customers do at ‘using the exchange’</w:t>
            </w:r>
            <w:r w:rsidR="005375FC">
              <w:rPr>
                <w:rFonts w:ascii="Calibri" w:eastAsia="Calibri" w:hAnsi="Calibri"/>
                <w:bCs/>
                <w:color w:val="000000" w:themeColor="text1"/>
                <w:kern w:val="24"/>
                <w:sz w:val="22"/>
                <w:szCs w:val="22"/>
              </w:rPr>
              <w:t>?</w:t>
            </w:r>
            <w:r w:rsidRPr="005375FC">
              <w:rPr>
                <w:rFonts w:ascii="Calibri" w:eastAsia="Calibri" w:hAnsi="Calibri"/>
                <w:bCs/>
                <w:color w:val="000000" w:themeColor="text1"/>
                <w:kern w:val="24"/>
                <w:sz w:val="22"/>
                <w:szCs w:val="22"/>
              </w:rPr>
              <w:t xml:space="preserve"> Certification can be technically com</w:t>
            </w:r>
            <w:r w:rsidR="005375FC">
              <w:rPr>
                <w:rFonts w:ascii="Calibri" w:eastAsia="Calibri" w:hAnsi="Calibri"/>
                <w:bCs/>
                <w:color w:val="000000" w:themeColor="text1"/>
                <w:kern w:val="24"/>
                <w:sz w:val="22"/>
                <w:szCs w:val="22"/>
              </w:rPr>
              <w:t>pliant but practically unusable.</w:t>
            </w:r>
          </w:p>
        </w:tc>
      </w:tr>
      <w:tr w:rsidR="001F7F69" w:rsidRPr="00274AF5" w:rsidTr="00EE5B0F">
        <w:tc>
          <w:tcPr>
            <w:tcW w:w="8388" w:type="dxa"/>
          </w:tcPr>
          <w:p w:rsidR="001F7F69" w:rsidRPr="00274AF5" w:rsidRDefault="001F7F69" w:rsidP="00203445">
            <w:pPr>
              <w:pStyle w:val="ListParagraph"/>
              <w:numPr>
                <w:ilvl w:val="0"/>
                <w:numId w:val="14"/>
              </w:numPr>
              <w:ind w:left="1080"/>
            </w:pPr>
            <w:r w:rsidRPr="00274AF5">
              <w:t>Developing additional testing procedures that demonstrate the technical ability to not only send data in a recognized manner, but also receive and make data computable within a receiving application.</w:t>
            </w:r>
          </w:p>
        </w:tc>
        <w:tc>
          <w:tcPr>
            <w:tcW w:w="5400" w:type="dxa"/>
          </w:tcPr>
          <w:p w:rsidR="001F7F69" w:rsidRPr="00D04476" w:rsidRDefault="00875393" w:rsidP="00203445">
            <w:pPr>
              <w:pStyle w:val="CommentText"/>
              <w:numPr>
                <w:ilvl w:val="0"/>
                <w:numId w:val="47"/>
              </w:numPr>
              <w:ind w:left="342"/>
              <w:rPr>
                <w:sz w:val="22"/>
                <w:szCs w:val="22"/>
              </w:rPr>
            </w:pPr>
            <w:r>
              <w:rPr>
                <w:rFonts w:ascii="Calibri" w:eastAsia="Calibri" w:hAnsi="Calibri"/>
                <w:color w:val="000000" w:themeColor="text1"/>
                <w:kern w:val="24"/>
                <w:sz w:val="22"/>
                <w:szCs w:val="22"/>
              </w:rPr>
              <w:t xml:space="preserve">2015 </w:t>
            </w:r>
            <w:r w:rsidR="00203445">
              <w:rPr>
                <w:rFonts w:ascii="Calibri" w:eastAsia="Calibri" w:hAnsi="Calibri"/>
                <w:color w:val="000000" w:themeColor="text1"/>
                <w:kern w:val="24"/>
                <w:sz w:val="22"/>
                <w:szCs w:val="22"/>
              </w:rPr>
              <w:t xml:space="preserve">Voluntary </w:t>
            </w:r>
            <w:r>
              <w:rPr>
                <w:rFonts w:ascii="Calibri" w:eastAsia="Calibri" w:hAnsi="Calibri"/>
                <w:color w:val="000000" w:themeColor="text1"/>
                <w:kern w:val="24"/>
                <w:sz w:val="22"/>
                <w:szCs w:val="22"/>
              </w:rPr>
              <w:t xml:space="preserve">NPRM includes </w:t>
            </w:r>
            <w:r w:rsidR="00203445">
              <w:rPr>
                <w:rFonts w:ascii="Calibri" w:eastAsia="Calibri" w:hAnsi="Calibri"/>
                <w:color w:val="000000" w:themeColor="text1"/>
                <w:kern w:val="24"/>
                <w:sz w:val="22"/>
                <w:szCs w:val="22"/>
              </w:rPr>
              <w:t>measure</w:t>
            </w:r>
            <w:r>
              <w:rPr>
                <w:rFonts w:ascii="Calibri" w:eastAsia="Calibri" w:hAnsi="Calibri"/>
                <w:color w:val="000000" w:themeColor="text1"/>
                <w:kern w:val="24"/>
                <w:sz w:val="22"/>
                <w:szCs w:val="22"/>
              </w:rPr>
              <w:t xml:space="preserve"> around </w:t>
            </w:r>
            <w:r w:rsidR="00203445">
              <w:rPr>
                <w:rFonts w:ascii="Calibri" w:eastAsia="Calibri" w:hAnsi="Calibri"/>
                <w:color w:val="000000" w:themeColor="text1"/>
                <w:kern w:val="24"/>
                <w:sz w:val="22"/>
                <w:szCs w:val="22"/>
              </w:rPr>
              <w:t>EHR capacity to receive CCDs.</w:t>
            </w:r>
          </w:p>
        </w:tc>
      </w:tr>
    </w:tbl>
    <w:p w:rsidR="00E06021" w:rsidRPr="00274AF5" w:rsidRDefault="0064385D" w:rsidP="000538D8">
      <w:pPr>
        <w:tabs>
          <w:tab w:val="left" w:pos="3802"/>
          <w:tab w:val="left" w:pos="7453"/>
        </w:tabs>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r>
    </w:p>
    <w:tbl>
      <w:tblPr>
        <w:tblStyle w:val="TableGrid"/>
        <w:tblW w:w="13788" w:type="dxa"/>
        <w:tblLook w:val="04A0"/>
      </w:tblPr>
      <w:tblGrid>
        <w:gridCol w:w="8388"/>
        <w:gridCol w:w="5400"/>
      </w:tblGrid>
      <w:tr w:rsidR="00E06021" w:rsidRPr="00274AF5" w:rsidTr="00063192">
        <w:tc>
          <w:tcPr>
            <w:tcW w:w="8388" w:type="dxa"/>
            <w:shd w:val="clear" w:color="auto" w:fill="D9D9D9" w:themeFill="background1" w:themeFillShade="D9"/>
          </w:tcPr>
          <w:p w:rsidR="00E06021" w:rsidRPr="00274AF5" w:rsidRDefault="00E06021" w:rsidP="008553DD">
            <w:pPr>
              <w:rPr>
                <w:bCs/>
                <w:i/>
              </w:rPr>
            </w:pPr>
            <w:r w:rsidRPr="00274AF5">
              <w:rPr>
                <w:bCs/>
                <w:i/>
              </w:rPr>
              <w:t>Original Text</w:t>
            </w:r>
          </w:p>
        </w:tc>
        <w:tc>
          <w:tcPr>
            <w:tcW w:w="5400" w:type="dxa"/>
            <w:shd w:val="clear" w:color="auto" w:fill="D9D9D9" w:themeFill="background1" w:themeFillShade="D9"/>
          </w:tcPr>
          <w:p w:rsidR="00E06021" w:rsidRPr="00274AF5" w:rsidRDefault="00E06021" w:rsidP="008553DD">
            <w:pPr>
              <w:pStyle w:val="CommentText"/>
              <w:rPr>
                <w:i/>
                <w:sz w:val="22"/>
                <w:szCs w:val="22"/>
              </w:rPr>
            </w:pPr>
            <w:r w:rsidRPr="00274AF5">
              <w:rPr>
                <w:i/>
                <w:sz w:val="22"/>
                <w:szCs w:val="22"/>
              </w:rPr>
              <w:t>Comments/Major Revisions</w:t>
            </w:r>
          </w:p>
        </w:tc>
      </w:tr>
      <w:tr w:rsidR="00E06021" w:rsidRPr="00274AF5" w:rsidTr="0053034E">
        <w:trPr>
          <w:trHeight w:val="890"/>
        </w:trPr>
        <w:tc>
          <w:tcPr>
            <w:tcW w:w="8388" w:type="dxa"/>
          </w:tcPr>
          <w:p w:rsidR="00E06021" w:rsidRPr="00274AF5" w:rsidRDefault="00F5620D" w:rsidP="00CF0E58">
            <w:pPr>
              <w:pStyle w:val="ListParagraph"/>
              <w:numPr>
                <w:ilvl w:val="0"/>
                <w:numId w:val="29"/>
              </w:numPr>
              <w:ind w:left="360" w:hanging="180"/>
            </w:pPr>
            <w:r>
              <w:rPr>
                <w:b/>
                <w:bCs/>
              </w:rPr>
              <w:t>Clinician u</w:t>
            </w:r>
            <w:r w:rsidR="00FD7993" w:rsidRPr="00274AF5">
              <w:rPr>
                <w:b/>
                <w:bCs/>
              </w:rPr>
              <w:t xml:space="preserve">se of data and </w:t>
            </w:r>
            <w:r w:rsidR="00FD7993">
              <w:rPr>
                <w:b/>
                <w:bCs/>
              </w:rPr>
              <w:t>information to improve care</w:t>
            </w:r>
            <w:r w:rsidR="00FD7993" w:rsidRPr="00274AF5">
              <w:rPr>
                <w:b/>
                <w:bCs/>
              </w:rPr>
              <w:t>.</w:t>
            </w:r>
            <w:r w:rsidR="00FD7993" w:rsidRPr="00274AF5">
              <w:t xml:space="preserve"> Organizations operating within </w:t>
            </w:r>
            <w:proofErr w:type="gramStart"/>
            <w:r w:rsidR="00FD7993" w:rsidRPr="00274AF5">
              <w:t>accountable</w:t>
            </w:r>
            <w:proofErr w:type="gramEnd"/>
            <w:r w:rsidR="00FD7993" w:rsidRPr="00274AF5">
              <w:t xml:space="preserve"> care models </w:t>
            </w:r>
            <w:r w:rsidR="00FD7993">
              <w:t>must develop systems that support</w:t>
            </w:r>
            <w:r w:rsidR="00FD7993" w:rsidRPr="00274AF5">
              <w:t xml:space="preserve"> clinicians</w:t>
            </w:r>
            <w:r>
              <w:t>’</w:t>
            </w:r>
            <w:r w:rsidR="00FD7993" w:rsidRPr="00274AF5">
              <w:t xml:space="preserve"> </w:t>
            </w:r>
            <w:r w:rsidR="00FD7993">
              <w:t xml:space="preserve">ability </w:t>
            </w:r>
            <w:r w:rsidR="00FD7993" w:rsidRPr="00274AF5">
              <w:t xml:space="preserve">to deliver </w:t>
            </w:r>
            <w:r w:rsidR="00FD7993">
              <w:t>effective synchronous and asynchronous care to patients by providing tools that deliver a longitudinal view of the patient, access to evidence-based guidelines, and other information.</w:t>
            </w:r>
          </w:p>
        </w:tc>
        <w:tc>
          <w:tcPr>
            <w:tcW w:w="5400" w:type="dxa"/>
          </w:tcPr>
          <w:p w:rsidR="00E06021" w:rsidRPr="00274AF5" w:rsidRDefault="00E06021" w:rsidP="00E06021">
            <w:pPr>
              <w:rPr>
                <w:rFonts w:ascii="Calibri" w:eastAsia="Times New Roman" w:hAnsi="Calibri" w:cs="Times New Roman"/>
                <w:color w:val="000000"/>
              </w:rPr>
            </w:pPr>
          </w:p>
        </w:tc>
      </w:tr>
      <w:tr w:rsidR="00E06021" w:rsidRPr="00274AF5" w:rsidTr="00011790">
        <w:trPr>
          <w:trHeight w:val="440"/>
        </w:trPr>
        <w:tc>
          <w:tcPr>
            <w:tcW w:w="8388" w:type="dxa"/>
          </w:tcPr>
          <w:p w:rsidR="005375FC" w:rsidRPr="00F87552" w:rsidRDefault="00F87552" w:rsidP="00F87552">
            <w:pPr>
              <w:pStyle w:val="ListParagraph"/>
              <w:numPr>
                <w:ilvl w:val="0"/>
                <w:numId w:val="24"/>
              </w:numPr>
              <w:rPr>
                <w:rFonts w:ascii="Calibri" w:eastAsia="Times New Roman" w:hAnsi="Calibri" w:cs="Times New Roman"/>
                <w:b/>
                <w:color w:val="000000"/>
              </w:rPr>
            </w:pPr>
            <w:r w:rsidRPr="00F87552">
              <w:rPr>
                <w:rFonts w:ascii="Calibri" w:eastAsia="Times New Roman" w:hAnsi="Calibri" w:cs="Times New Roman"/>
                <w:b/>
                <w:color w:val="000000"/>
              </w:rPr>
              <w:t>Accelerate progress on development of shared care plans.</w:t>
            </w:r>
            <w:r>
              <w:rPr>
                <w:rFonts w:ascii="Calibri" w:eastAsia="Times New Roman" w:hAnsi="Calibri" w:cs="Times New Roman"/>
                <w:b/>
                <w:color w:val="000000"/>
              </w:rPr>
              <w:t xml:space="preserve"> </w:t>
            </w:r>
            <w:r w:rsidR="00E06021" w:rsidRPr="00F87552">
              <w:rPr>
                <w:rFonts w:ascii="Calibri" w:eastAsia="Times New Roman" w:hAnsi="Calibri" w:cs="Times New Roman"/>
                <w:color w:val="000000"/>
              </w:rPr>
              <w:t xml:space="preserve">The HIT Policy Committee should task a workgroup or tiger team to </w:t>
            </w:r>
            <w:r w:rsidR="005375FC" w:rsidRPr="00F87552">
              <w:rPr>
                <w:rFonts w:ascii="Calibri" w:eastAsia="Times New Roman" w:hAnsi="Calibri" w:cs="Times New Roman"/>
                <w:color w:val="000000"/>
              </w:rPr>
              <w:t>make recommendations on</w:t>
            </w:r>
            <w:r w:rsidR="00E06021" w:rsidRPr="00F87552">
              <w:rPr>
                <w:rFonts w:ascii="Calibri" w:eastAsia="Times New Roman" w:hAnsi="Calibri" w:cs="Times New Roman"/>
                <w:color w:val="000000"/>
              </w:rPr>
              <w:t xml:space="preserve"> how to </w:t>
            </w:r>
            <w:r w:rsidR="005375FC" w:rsidRPr="00F87552">
              <w:rPr>
                <w:rFonts w:ascii="Calibri" w:eastAsia="Times New Roman" w:hAnsi="Calibri" w:cs="Times New Roman"/>
                <w:color w:val="000000"/>
              </w:rPr>
              <w:t>define electronic care planning; what policies, standards and programs are needed to support asynchronous and synchronous care planning; and how care team members including the patient/caregiver can adopt a shared process for developing and exchanging electronic care plans.  Key areas of focus include:</w:t>
            </w:r>
          </w:p>
          <w:p w:rsidR="005375FC" w:rsidRPr="005375FC" w:rsidRDefault="005375FC" w:rsidP="00CF0E58">
            <w:pPr>
              <w:pStyle w:val="ListParagraph"/>
              <w:numPr>
                <w:ilvl w:val="0"/>
                <w:numId w:val="34"/>
              </w:numPr>
              <w:rPr>
                <w:rFonts w:ascii="Calibri" w:eastAsia="Times New Roman" w:hAnsi="Calibri" w:cs="Times New Roman"/>
                <w:color w:val="000000"/>
              </w:rPr>
            </w:pPr>
            <w:r w:rsidRPr="005375FC">
              <w:rPr>
                <w:rFonts w:ascii="Calibri" w:eastAsia="Times New Roman" w:hAnsi="Calibri" w:cs="Times New Roman"/>
                <w:color w:val="000000"/>
              </w:rPr>
              <w:t>Developing a roadmap or trajectory for shared care planning in the short and long-term building on what is optimal for the patient/caregiver while considering existing and emerging policies, standards and programs</w:t>
            </w:r>
            <w:r w:rsidR="00D51F2D">
              <w:rPr>
                <w:rFonts w:ascii="Calibri" w:eastAsia="Times New Roman" w:hAnsi="Calibri" w:cs="Times New Roman"/>
                <w:color w:val="000000"/>
              </w:rPr>
              <w:t>.</w:t>
            </w:r>
          </w:p>
          <w:p w:rsidR="005375FC" w:rsidRPr="005375FC" w:rsidRDefault="005375FC" w:rsidP="00CF0E58">
            <w:pPr>
              <w:pStyle w:val="ListParagraph"/>
              <w:numPr>
                <w:ilvl w:val="0"/>
                <w:numId w:val="34"/>
              </w:numPr>
              <w:rPr>
                <w:rFonts w:ascii="Calibri" w:eastAsia="Times New Roman" w:hAnsi="Calibri" w:cs="Times New Roman"/>
                <w:color w:val="000000"/>
              </w:rPr>
            </w:pPr>
            <w:r w:rsidRPr="005375FC">
              <w:rPr>
                <w:rFonts w:ascii="Calibri" w:eastAsia="Times New Roman" w:hAnsi="Calibri" w:cs="Times New Roman"/>
                <w:color w:val="000000"/>
              </w:rPr>
              <w:t>Identifying an agreed upon term for the electronic care plan and the processes by which interdisciplinary care teams may develop, update, exchange and access the electronic care plan.</w:t>
            </w:r>
          </w:p>
          <w:p w:rsidR="005375FC" w:rsidRPr="005375FC" w:rsidRDefault="005375FC" w:rsidP="00CF0E58">
            <w:pPr>
              <w:pStyle w:val="ListParagraph"/>
              <w:numPr>
                <w:ilvl w:val="0"/>
                <w:numId w:val="34"/>
              </w:numPr>
              <w:rPr>
                <w:rFonts w:ascii="Calibri" w:eastAsia="Times New Roman" w:hAnsi="Calibri" w:cs="Times New Roman"/>
                <w:color w:val="000000"/>
              </w:rPr>
            </w:pPr>
            <w:r w:rsidRPr="005375FC">
              <w:rPr>
                <w:rFonts w:ascii="Calibri" w:eastAsia="Times New Roman" w:hAnsi="Calibri" w:cs="Times New Roman"/>
                <w:color w:val="000000"/>
              </w:rPr>
              <w:t>Determining the impact of these electronic care plan exchange processes on workflow and system r</w:t>
            </w:r>
            <w:r w:rsidR="00D51F2D">
              <w:rPr>
                <w:rFonts w:ascii="Calibri" w:eastAsia="Times New Roman" w:hAnsi="Calibri" w:cs="Times New Roman"/>
                <w:color w:val="000000"/>
              </w:rPr>
              <w:t>ollout across provider settings.</w:t>
            </w:r>
          </w:p>
          <w:p w:rsidR="00011790" w:rsidRPr="00011790" w:rsidRDefault="005375FC" w:rsidP="00CF0E58">
            <w:pPr>
              <w:pStyle w:val="ListParagraph"/>
              <w:numPr>
                <w:ilvl w:val="0"/>
                <w:numId w:val="34"/>
              </w:numPr>
              <w:rPr>
                <w:rFonts w:ascii="Calibri" w:eastAsia="Times New Roman" w:hAnsi="Calibri" w:cs="Times New Roman"/>
                <w:color w:val="000000"/>
              </w:rPr>
            </w:pPr>
            <w:r w:rsidRPr="005375FC">
              <w:rPr>
                <w:rFonts w:ascii="Calibri" w:eastAsia="Times New Roman" w:hAnsi="Calibri" w:cs="Times New Roman"/>
                <w:color w:val="000000"/>
              </w:rPr>
              <w:t>Identifying the governance strategies and implications for curating, managing and maintaining an electronic care plan.</w:t>
            </w:r>
          </w:p>
        </w:tc>
        <w:tc>
          <w:tcPr>
            <w:tcW w:w="5400" w:type="dxa"/>
          </w:tcPr>
          <w:p w:rsidR="0064385D" w:rsidRDefault="0064385D" w:rsidP="00CF0E58">
            <w:pPr>
              <w:pStyle w:val="CommentText"/>
              <w:numPr>
                <w:ilvl w:val="0"/>
                <w:numId w:val="15"/>
              </w:numPr>
              <w:ind w:left="306"/>
              <w:rPr>
                <w:sz w:val="22"/>
                <w:szCs w:val="22"/>
              </w:rPr>
            </w:pPr>
            <w:r w:rsidRPr="00D04476">
              <w:rPr>
                <w:b/>
                <w:sz w:val="22"/>
                <w:szCs w:val="22"/>
              </w:rPr>
              <w:t>Consider additional recommendation</w:t>
            </w:r>
            <w:r w:rsidR="00D04476">
              <w:rPr>
                <w:b/>
                <w:sz w:val="22"/>
                <w:szCs w:val="22"/>
              </w:rPr>
              <w:t>:</w:t>
            </w:r>
            <w:r>
              <w:rPr>
                <w:sz w:val="22"/>
                <w:szCs w:val="22"/>
              </w:rPr>
              <w:t xml:space="preserve"> </w:t>
            </w:r>
            <w:r w:rsidR="00033BEB">
              <w:rPr>
                <w:sz w:val="22"/>
                <w:szCs w:val="22"/>
              </w:rPr>
              <w:t>p</w:t>
            </w:r>
            <w:r>
              <w:rPr>
                <w:sz w:val="22"/>
                <w:szCs w:val="22"/>
              </w:rPr>
              <w:t xml:space="preserve">romote granting agencies (CMMI/AHRQ/HRSA/etc.) </w:t>
            </w:r>
            <w:r w:rsidR="00E06021" w:rsidRPr="00274AF5">
              <w:rPr>
                <w:sz w:val="22"/>
                <w:szCs w:val="22"/>
              </w:rPr>
              <w:t xml:space="preserve">in testing/piloting best practices for Shared Care plans that would support a </w:t>
            </w:r>
            <w:r>
              <w:rPr>
                <w:sz w:val="22"/>
                <w:szCs w:val="22"/>
              </w:rPr>
              <w:t>m</w:t>
            </w:r>
            <w:r w:rsidR="00E06021" w:rsidRPr="00274AF5">
              <w:rPr>
                <w:sz w:val="22"/>
                <w:szCs w:val="22"/>
              </w:rPr>
              <w:t xml:space="preserve">arket-based adoption of such tools. </w:t>
            </w:r>
          </w:p>
          <w:p w:rsidR="00E54E1B" w:rsidRDefault="00E54E1B" w:rsidP="00CF0E58">
            <w:pPr>
              <w:pStyle w:val="CommentText"/>
              <w:numPr>
                <w:ilvl w:val="0"/>
                <w:numId w:val="15"/>
              </w:numPr>
              <w:ind w:left="306"/>
              <w:rPr>
                <w:sz w:val="22"/>
                <w:szCs w:val="22"/>
              </w:rPr>
            </w:pPr>
            <w:r>
              <w:rPr>
                <w:b/>
                <w:sz w:val="22"/>
                <w:szCs w:val="22"/>
              </w:rPr>
              <w:t>Suggest that we need to make a recommendation to meet the more immediate need for shared care planning.</w:t>
            </w:r>
            <w:r>
              <w:rPr>
                <w:sz w:val="22"/>
                <w:szCs w:val="22"/>
              </w:rPr>
              <w:t xml:space="preserve">   </w:t>
            </w:r>
            <w:r w:rsidR="005307D0">
              <w:rPr>
                <w:sz w:val="22"/>
                <w:szCs w:val="22"/>
              </w:rPr>
              <w:t>Should we support or comment on the need to buil</w:t>
            </w:r>
            <w:r w:rsidR="00CC60DE">
              <w:rPr>
                <w:sz w:val="22"/>
                <w:szCs w:val="22"/>
              </w:rPr>
              <w:t>d on the HL7 Functional Model?</w:t>
            </w:r>
            <w:r w:rsidR="005307D0">
              <w:rPr>
                <w:sz w:val="22"/>
                <w:szCs w:val="22"/>
              </w:rPr>
              <w:t xml:space="preserve">  Once there is at least a basic model for a SCP, then users will include it in their workflows in the most effective way for them.   </w:t>
            </w:r>
          </w:p>
          <w:p w:rsidR="00E06021" w:rsidRPr="00274AF5" w:rsidRDefault="00011790" w:rsidP="00011790">
            <w:pPr>
              <w:pStyle w:val="CommentText"/>
              <w:tabs>
                <w:tab w:val="left" w:pos="1807"/>
              </w:tabs>
              <w:rPr>
                <w:sz w:val="22"/>
                <w:szCs w:val="22"/>
              </w:rPr>
            </w:pPr>
            <w:r>
              <w:rPr>
                <w:sz w:val="22"/>
                <w:szCs w:val="22"/>
              </w:rPr>
              <w:tab/>
            </w:r>
          </w:p>
        </w:tc>
      </w:tr>
      <w:tr w:rsidR="00E06021" w:rsidRPr="00274AF5" w:rsidTr="00063192">
        <w:tc>
          <w:tcPr>
            <w:tcW w:w="8388" w:type="dxa"/>
          </w:tcPr>
          <w:p w:rsidR="00E06021" w:rsidRPr="00274AF5" w:rsidRDefault="00D51F2D" w:rsidP="000B16A1">
            <w:pPr>
              <w:pStyle w:val="ListParagraph"/>
              <w:numPr>
                <w:ilvl w:val="0"/>
                <w:numId w:val="24"/>
              </w:numPr>
              <w:rPr>
                <w:rFonts w:ascii="Calibri" w:eastAsia="Times New Roman" w:hAnsi="Calibri" w:cs="Times New Roman"/>
                <w:color w:val="000000"/>
              </w:rPr>
            </w:pPr>
            <w:r>
              <w:rPr>
                <w:rFonts w:ascii="Calibri" w:eastAsia="Times New Roman" w:hAnsi="Calibri" w:cs="Times New Roman"/>
                <w:b/>
                <w:color w:val="000000"/>
              </w:rPr>
              <w:t>Incentivize</w:t>
            </w:r>
            <w:r w:rsidRPr="00D51F2D">
              <w:rPr>
                <w:rFonts w:ascii="Calibri" w:eastAsia="Times New Roman" w:hAnsi="Calibri" w:cs="Times New Roman"/>
                <w:b/>
                <w:color w:val="000000"/>
              </w:rPr>
              <w:t xml:space="preserve"> care plan usage.</w:t>
            </w:r>
            <w:r>
              <w:rPr>
                <w:rFonts w:ascii="Calibri" w:eastAsia="Times New Roman" w:hAnsi="Calibri" w:cs="Times New Roman"/>
                <w:color w:val="000000"/>
              </w:rPr>
              <w:t xml:space="preserve"> </w:t>
            </w:r>
            <w:r w:rsidR="00E06021" w:rsidRPr="00274AF5">
              <w:rPr>
                <w:rFonts w:ascii="Calibri" w:eastAsia="Times New Roman" w:hAnsi="Calibri" w:cs="Times New Roman"/>
                <w:color w:val="000000"/>
              </w:rPr>
              <w:t>For a future stage of Meaningful Use, consider an objective that providers must collaborate in the management of a common, patient-centered shared care plan for a specified portion of patients with chronic conditions.</w:t>
            </w:r>
          </w:p>
          <w:p w:rsidR="00E06021" w:rsidRPr="00274AF5" w:rsidRDefault="00E06021" w:rsidP="00E06021">
            <w:pPr>
              <w:rPr>
                <w:rFonts w:ascii="Calibri" w:eastAsia="Times New Roman" w:hAnsi="Calibri" w:cs="Times New Roman"/>
                <w:color w:val="000000"/>
              </w:rPr>
            </w:pPr>
          </w:p>
        </w:tc>
        <w:tc>
          <w:tcPr>
            <w:tcW w:w="5400" w:type="dxa"/>
          </w:tcPr>
          <w:p w:rsidR="00E06021" w:rsidRPr="0046217C" w:rsidRDefault="0046217C" w:rsidP="00CF0E58">
            <w:pPr>
              <w:pStyle w:val="CommentText"/>
              <w:numPr>
                <w:ilvl w:val="0"/>
                <w:numId w:val="16"/>
              </w:numPr>
              <w:ind w:left="306"/>
              <w:rPr>
                <w:sz w:val="22"/>
                <w:szCs w:val="22"/>
              </w:rPr>
            </w:pPr>
            <w:r w:rsidRPr="00D04476">
              <w:rPr>
                <w:b/>
                <w:sz w:val="22"/>
                <w:szCs w:val="22"/>
              </w:rPr>
              <w:t>Consider removing:</w:t>
            </w:r>
            <w:r>
              <w:rPr>
                <w:sz w:val="22"/>
                <w:szCs w:val="22"/>
              </w:rPr>
              <w:t xml:space="preserve"> t</w:t>
            </w:r>
            <w:r w:rsidR="00E06021" w:rsidRPr="00274AF5">
              <w:rPr>
                <w:sz w:val="22"/>
                <w:szCs w:val="22"/>
              </w:rPr>
              <w:t xml:space="preserve">his </w:t>
            </w:r>
            <w:r>
              <w:rPr>
                <w:sz w:val="22"/>
                <w:szCs w:val="22"/>
              </w:rPr>
              <w:t>should probably not be an</w:t>
            </w:r>
            <w:r w:rsidR="00E06021" w:rsidRPr="00274AF5">
              <w:rPr>
                <w:sz w:val="22"/>
                <w:szCs w:val="22"/>
              </w:rPr>
              <w:t xml:space="preserve"> MU requirement for the simple reason that once the technology is available and the payment incentives are aligned, the prov</w:t>
            </w:r>
            <w:r>
              <w:rPr>
                <w:sz w:val="22"/>
                <w:szCs w:val="22"/>
              </w:rPr>
              <w:t>ider community will be incentivized</w:t>
            </w:r>
            <w:r w:rsidR="00E06021" w:rsidRPr="00274AF5">
              <w:rPr>
                <w:sz w:val="22"/>
                <w:szCs w:val="22"/>
              </w:rPr>
              <w:t xml:space="preserve"> to do this in the name of good patient care. Adding </w:t>
            </w:r>
            <w:r>
              <w:rPr>
                <w:sz w:val="22"/>
                <w:szCs w:val="22"/>
              </w:rPr>
              <w:t xml:space="preserve">a </w:t>
            </w:r>
            <w:r w:rsidR="00E06021" w:rsidRPr="00274AF5">
              <w:rPr>
                <w:sz w:val="22"/>
                <w:szCs w:val="22"/>
              </w:rPr>
              <w:t xml:space="preserve">requirement to </w:t>
            </w:r>
            <w:r>
              <w:rPr>
                <w:sz w:val="22"/>
                <w:szCs w:val="22"/>
              </w:rPr>
              <w:t>the f</w:t>
            </w:r>
            <w:r w:rsidR="00E06021" w:rsidRPr="00274AF5">
              <w:rPr>
                <w:sz w:val="22"/>
                <w:szCs w:val="22"/>
              </w:rPr>
              <w:t xml:space="preserve">ederally </w:t>
            </w:r>
            <w:r w:rsidRPr="00274AF5">
              <w:rPr>
                <w:sz w:val="22"/>
                <w:szCs w:val="22"/>
              </w:rPr>
              <w:t>sponsored</w:t>
            </w:r>
            <w:r w:rsidR="00E06021" w:rsidRPr="00274AF5">
              <w:rPr>
                <w:sz w:val="22"/>
                <w:szCs w:val="22"/>
              </w:rPr>
              <w:t xml:space="preserve"> incentive or penalty program will not add value, but would be considered administratively burdensome.</w:t>
            </w:r>
          </w:p>
        </w:tc>
      </w:tr>
      <w:tr w:rsidR="00E06021" w:rsidRPr="00274AF5" w:rsidTr="00063192">
        <w:tc>
          <w:tcPr>
            <w:tcW w:w="8388" w:type="dxa"/>
          </w:tcPr>
          <w:p w:rsidR="00E06021" w:rsidRPr="00274AF5" w:rsidRDefault="00D51F2D" w:rsidP="000B16A1">
            <w:pPr>
              <w:pStyle w:val="ListParagraph"/>
              <w:numPr>
                <w:ilvl w:val="0"/>
                <w:numId w:val="24"/>
              </w:numPr>
            </w:pPr>
            <w:r w:rsidRPr="00D51F2D">
              <w:rPr>
                <w:b/>
              </w:rPr>
              <w:t>Coverage and eligibility data at the point of care.</w:t>
            </w:r>
            <w:r>
              <w:t xml:space="preserve"> </w:t>
            </w:r>
            <w:r w:rsidR="00E06021" w:rsidRPr="00274AF5">
              <w:t>ONC should explore standards/Meaningful Use objectives to promote the availability of coverage, eligibility and benefit data at the point of care to assist clinicians in making informed decisions about costs and referrals.</w:t>
            </w:r>
          </w:p>
          <w:p w:rsidR="00E06021" w:rsidRPr="00274AF5" w:rsidRDefault="00033BEB" w:rsidP="00033BEB">
            <w:pPr>
              <w:tabs>
                <w:tab w:val="left" w:pos="2367"/>
              </w:tabs>
              <w:rPr>
                <w:rFonts w:ascii="Calibri" w:eastAsia="Times New Roman" w:hAnsi="Calibri" w:cs="Times New Roman"/>
                <w:color w:val="000000"/>
              </w:rPr>
            </w:pPr>
            <w:r>
              <w:rPr>
                <w:rFonts w:ascii="Calibri" w:eastAsia="Times New Roman" w:hAnsi="Calibri" w:cs="Times New Roman"/>
                <w:color w:val="000000"/>
              </w:rPr>
              <w:tab/>
            </w:r>
          </w:p>
        </w:tc>
        <w:tc>
          <w:tcPr>
            <w:tcW w:w="5400" w:type="dxa"/>
          </w:tcPr>
          <w:p w:rsidR="00E06021" w:rsidRPr="00274AF5" w:rsidRDefault="00033BEB" w:rsidP="00CF0E58">
            <w:pPr>
              <w:pStyle w:val="CommentText"/>
              <w:numPr>
                <w:ilvl w:val="0"/>
                <w:numId w:val="17"/>
              </w:numPr>
              <w:ind w:left="306"/>
              <w:rPr>
                <w:sz w:val="22"/>
                <w:szCs w:val="22"/>
              </w:rPr>
            </w:pPr>
            <w:r w:rsidRPr="00D51F2D">
              <w:rPr>
                <w:b/>
                <w:sz w:val="22"/>
                <w:szCs w:val="22"/>
              </w:rPr>
              <w:t>Move recommendation:</w:t>
            </w:r>
            <w:r>
              <w:rPr>
                <w:sz w:val="22"/>
                <w:szCs w:val="22"/>
              </w:rPr>
              <w:t xml:space="preserve"> Should be covered under access to administrative data section. This is not a Meaningf</w:t>
            </w:r>
            <w:r w:rsidR="00011790">
              <w:rPr>
                <w:sz w:val="22"/>
                <w:szCs w:val="22"/>
              </w:rPr>
              <w:t>ul Use issue, but a payer issue and critical.</w:t>
            </w:r>
          </w:p>
        </w:tc>
      </w:tr>
      <w:tr w:rsidR="00E06021" w:rsidRPr="00274AF5" w:rsidTr="00063192">
        <w:tc>
          <w:tcPr>
            <w:tcW w:w="8388" w:type="dxa"/>
          </w:tcPr>
          <w:p w:rsidR="00E06021" w:rsidRPr="00274AF5" w:rsidRDefault="00D51F2D" w:rsidP="000B16A1">
            <w:pPr>
              <w:pStyle w:val="ListParagraph"/>
              <w:numPr>
                <w:ilvl w:val="0"/>
                <w:numId w:val="24"/>
              </w:numPr>
            </w:pPr>
            <w:r w:rsidRPr="00D51F2D">
              <w:rPr>
                <w:b/>
              </w:rPr>
              <w:t>Claims data at the point of care.</w:t>
            </w:r>
            <w:r>
              <w:t xml:space="preserve"> </w:t>
            </w:r>
            <w:r w:rsidR="00E06021" w:rsidRPr="00274AF5">
              <w:t>ONC should consider promoting adoption of standards/functionalit</w:t>
            </w:r>
            <w:r w:rsidR="0046217C">
              <w:t>y around the capacity to view and analyze</w:t>
            </w:r>
            <w:r w:rsidR="00E06021" w:rsidRPr="00274AF5">
              <w:t xml:space="preserve"> claims data within HIT applications.</w:t>
            </w:r>
          </w:p>
          <w:p w:rsidR="00E06021" w:rsidRPr="00274AF5" w:rsidRDefault="00E06021" w:rsidP="00E06021"/>
        </w:tc>
        <w:tc>
          <w:tcPr>
            <w:tcW w:w="5400" w:type="dxa"/>
          </w:tcPr>
          <w:p w:rsidR="00E06021" w:rsidRPr="00DB555C" w:rsidRDefault="0046217C" w:rsidP="00DB555C">
            <w:pPr>
              <w:pStyle w:val="CommentText"/>
              <w:numPr>
                <w:ilvl w:val="0"/>
                <w:numId w:val="18"/>
              </w:numPr>
              <w:ind w:left="306"/>
              <w:rPr>
                <w:sz w:val="22"/>
                <w:szCs w:val="22"/>
              </w:rPr>
            </w:pPr>
            <w:r w:rsidRPr="00D51F2D">
              <w:rPr>
                <w:b/>
                <w:sz w:val="22"/>
                <w:szCs w:val="22"/>
              </w:rPr>
              <w:t>Consider removing:</w:t>
            </w:r>
            <w:r>
              <w:rPr>
                <w:sz w:val="22"/>
                <w:szCs w:val="22"/>
              </w:rPr>
              <w:t xml:space="preserve"> </w:t>
            </w:r>
            <w:r w:rsidR="00DB555C">
              <w:rPr>
                <w:sz w:val="22"/>
                <w:szCs w:val="22"/>
              </w:rPr>
              <w:t>W</w:t>
            </w:r>
            <w:r w:rsidR="00DB555C" w:rsidRPr="00DB555C">
              <w:rPr>
                <w:sz w:val="22"/>
                <w:szCs w:val="22"/>
              </w:rPr>
              <w:t xml:space="preserve">e probably don’t want to drive </w:t>
            </w:r>
            <w:r w:rsidR="00DB555C">
              <w:rPr>
                <w:sz w:val="22"/>
                <w:szCs w:val="22"/>
              </w:rPr>
              <w:t>claims data into the EHR.</w:t>
            </w:r>
            <w:r w:rsidR="00E06021" w:rsidRPr="00274AF5">
              <w:rPr>
                <w:sz w:val="22"/>
                <w:szCs w:val="22"/>
              </w:rPr>
              <w:t xml:space="preserve"> Claims are u</w:t>
            </w:r>
            <w:r>
              <w:rPr>
                <w:sz w:val="22"/>
                <w:szCs w:val="22"/>
              </w:rPr>
              <w:t xml:space="preserve">seful, as stated above, </w:t>
            </w:r>
            <w:r w:rsidR="00E06021" w:rsidRPr="00274AF5">
              <w:rPr>
                <w:sz w:val="22"/>
                <w:szCs w:val="22"/>
              </w:rPr>
              <w:t xml:space="preserve">but not for clinical decision making at point of care because of the significant </w:t>
            </w:r>
            <w:proofErr w:type="spellStart"/>
            <w:r w:rsidR="00E06021" w:rsidRPr="00274AF5">
              <w:rPr>
                <w:sz w:val="22"/>
                <w:szCs w:val="22"/>
              </w:rPr>
              <w:t>t</w:t>
            </w:r>
            <w:r w:rsidR="00DB555C">
              <w:rPr>
                <w:sz w:val="22"/>
                <w:szCs w:val="22"/>
              </w:rPr>
              <w:t>imelag</w:t>
            </w:r>
            <w:proofErr w:type="spellEnd"/>
            <w:r w:rsidR="00DB555C">
              <w:rPr>
                <w:sz w:val="22"/>
                <w:szCs w:val="22"/>
              </w:rPr>
              <w:t xml:space="preserve"> associated with them.</w:t>
            </w:r>
          </w:p>
        </w:tc>
      </w:tr>
    </w:tbl>
    <w:p w:rsidR="00E06021" w:rsidRPr="00274AF5" w:rsidRDefault="00E06021" w:rsidP="000538D8">
      <w:pPr>
        <w:rPr>
          <w:rFonts w:ascii="Calibri" w:eastAsia="Times New Roman" w:hAnsi="Calibri" w:cs="Times New Roman"/>
          <w:color w:val="000000"/>
        </w:rPr>
      </w:pPr>
    </w:p>
    <w:tbl>
      <w:tblPr>
        <w:tblStyle w:val="TableGrid"/>
        <w:tblW w:w="13788" w:type="dxa"/>
        <w:tblLook w:val="04A0"/>
      </w:tblPr>
      <w:tblGrid>
        <w:gridCol w:w="8388"/>
        <w:gridCol w:w="5400"/>
      </w:tblGrid>
      <w:tr w:rsidR="00E06021" w:rsidRPr="00274AF5" w:rsidTr="00FD7993">
        <w:tc>
          <w:tcPr>
            <w:tcW w:w="8388" w:type="dxa"/>
            <w:shd w:val="clear" w:color="auto" w:fill="D9D9D9" w:themeFill="background1" w:themeFillShade="D9"/>
          </w:tcPr>
          <w:p w:rsidR="00E06021" w:rsidRPr="00274AF5" w:rsidRDefault="00E06021" w:rsidP="008553DD">
            <w:pPr>
              <w:rPr>
                <w:bCs/>
                <w:i/>
              </w:rPr>
            </w:pPr>
            <w:r w:rsidRPr="00274AF5">
              <w:rPr>
                <w:bCs/>
                <w:i/>
              </w:rPr>
              <w:t>Original Text</w:t>
            </w:r>
          </w:p>
        </w:tc>
        <w:tc>
          <w:tcPr>
            <w:tcW w:w="5400" w:type="dxa"/>
            <w:shd w:val="clear" w:color="auto" w:fill="D9D9D9" w:themeFill="background1" w:themeFillShade="D9"/>
          </w:tcPr>
          <w:p w:rsidR="00E06021" w:rsidRPr="00274AF5" w:rsidRDefault="00E06021" w:rsidP="008553DD">
            <w:pPr>
              <w:pStyle w:val="CommentText"/>
              <w:rPr>
                <w:i/>
                <w:sz w:val="22"/>
                <w:szCs w:val="22"/>
              </w:rPr>
            </w:pPr>
            <w:r w:rsidRPr="00274AF5">
              <w:rPr>
                <w:i/>
                <w:sz w:val="22"/>
                <w:szCs w:val="22"/>
              </w:rPr>
              <w:t>Comments/Major Revisions</w:t>
            </w:r>
          </w:p>
        </w:tc>
      </w:tr>
      <w:tr w:rsidR="00E06021" w:rsidRPr="00274AF5" w:rsidTr="00FD7993">
        <w:tc>
          <w:tcPr>
            <w:tcW w:w="8388" w:type="dxa"/>
          </w:tcPr>
          <w:p w:rsidR="00E06021" w:rsidRPr="0046217C" w:rsidRDefault="00E06021" w:rsidP="00CF0E58">
            <w:pPr>
              <w:pStyle w:val="ListParagraph"/>
              <w:numPr>
                <w:ilvl w:val="0"/>
                <w:numId w:val="29"/>
              </w:numPr>
              <w:ind w:left="360" w:hanging="180"/>
              <w:rPr>
                <w:b/>
                <w:bCs/>
              </w:rPr>
            </w:pPr>
            <w:r w:rsidRPr="00274AF5">
              <w:rPr>
                <w:b/>
                <w:bCs/>
              </w:rPr>
              <w:t xml:space="preserve">Administrative Simplification. </w:t>
            </w:r>
            <w:r w:rsidRPr="00274AF5">
              <w:rPr>
                <w:bCs/>
              </w:rPr>
              <w:t xml:space="preserve">Organizations participating in </w:t>
            </w:r>
            <w:proofErr w:type="gramStart"/>
            <w:r w:rsidRPr="00274AF5">
              <w:rPr>
                <w:bCs/>
              </w:rPr>
              <w:t>accountable</w:t>
            </w:r>
            <w:proofErr w:type="gramEnd"/>
            <w:r w:rsidRPr="00274AF5">
              <w:rPr>
                <w:bCs/>
              </w:rPr>
              <w:t xml:space="preserve"> care arrangements and other delivery system reform efforts are facing a significant burden associated with documentation and reporting to federal, state, and commercial entities implementing accountability mechanisms associated with these programs. </w:t>
            </w:r>
            <w:r w:rsidR="00F13582" w:rsidRPr="00F13582">
              <w:t>The administrative burden of reporting multiple measures to multiple organizations in different formats detracts from an ACO’s ability to use HIT to adopt Clinical Quality Improvement processes that will lead to  sustainable improvements in the overall process of providing care across the spectrum of patients than any</w:t>
            </w:r>
            <w:r w:rsidR="00F13582">
              <w:t xml:space="preserve"> one organization may serve. </w:t>
            </w:r>
          </w:p>
        </w:tc>
        <w:tc>
          <w:tcPr>
            <w:tcW w:w="5400" w:type="dxa"/>
          </w:tcPr>
          <w:p w:rsidR="00E06021" w:rsidRPr="00274AF5" w:rsidRDefault="00E06021" w:rsidP="0046217C">
            <w:pPr>
              <w:pStyle w:val="CommentText"/>
              <w:ind w:left="342"/>
              <w:rPr>
                <w:sz w:val="22"/>
                <w:szCs w:val="22"/>
              </w:rPr>
            </w:pPr>
          </w:p>
        </w:tc>
      </w:tr>
      <w:tr w:rsidR="00E06021" w:rsidRPr="00274AF5" w:rsidTr="00FD7993">
        <w:tc>
          <w:tcPr>
            <w:tcW w:w="8388" w:type="dxa"/>
          </w:tcPr>
          <w:p w:rsidR="00F13582" w:rsidRPr="00F13582" w:rsidRDefault="00D51F2D" w:rsidP="00F13582">
            <w:pPr>
              <w:pStyle w:val="ListParagraph"/>
              <w:numPr>
                <w:ilvl w:val="0"/>
                <w:numId w:val="30"/>
              </w:numPr>
              <w:rPr>
                <w:color w:val="44546A"/>
              </w:rPr>
            </w:pPr>
            <w:r w:rsidRPr="00D51F2D">
              <w:rPr>
                <w:b/>
              </w:rPr>
              <w:t>Reporting simplification.</w:t>
            </w:r>
            <w:r>
              <w:t xml:space="preserve"> </w:t>
            </w:r>
            <w:r w:rsidR="00F13582" w:rsidRPr="00F13582">
              <w:t xml:space="preserve">HHS should hasten its efforts to  standardize all measures required by its various agencies, departments, and programs and create a single central repository where these measures are can be made available to all interested entities. HHS should also continue to support efforts to align these measures with other payers so that all unique and relevant measures are submitted once by a given provider to the central repository where they can be accessed by other payers, thus eliminating the need to report performance measures to multiple payers in multiple formats.     </w:t>
            </w:r>
          </w:p>
        </w:tc>
        <w:tc>
          <w:tcPr>
            <w:tcW w:w="5400" w:type="dxa"/>
          </w:tcPr>
          <w:p w:rsidR="00E06021" w:rsidRPr="00274AF5" w:rsidRDefault="00033BEB" w:rsidP="00CF0E58">
            <w:pPr>
              <w:pStyle w:val="CommentText"/>
              <w:numPr>
                <w:ilvl w:val="0"/>
                <w:numId w:val="19"/>
              </w:numPr>
              <w:ind w:left="306"/>
              <w:rPr>
                <w:sz w:val="22"/>
                <w:szCs w:val="22"/>
              </w:rPr>
            </w:pPr>
            <w:r w:rsidRPr="00033BEB">
              <w:rPr>
                <w:b/>
                <w:sz w:val="22"/>
                <w:szCs w:val="22"/>
              </w:rPr>
              <w:t>Scope issue:</w:t>
            </w:r>
            <w:r>
              <w:rPr>
                <w:sz w:val="22"/>
                <w:szCs w:val="22"/>
              </w:rPr>
              <w:t xml:space="preserve"> </w:t>
            </w:r>
            <w:r w:rsidR="0046217C">
              <w:rPr>
                <w:sz w:val="22"/>
                <w:szCs w:val="22"/>
              </w:rPr>
              <w:t xml:space="preserve">This is an important sentiment, but does it </w:t>
            </w:r>
            <w:r w:rsidR="00E06021" w:rsidRPr="00274AF5">
              <w:rPr>
                <w:sz w:val="22"/>
                <w:szCs w:val="22"/>
              </w:rPr>
              <w:t>extend beyond HITPC’s scope?</w:t>
            </w:r>
            <w:r w:rsidR="005307D0">
              <w:rPr>
                <w:sz w:val="22"/>
                <w:szCs w:val="22"/>
              </w:rPr>
              <w:t xml:space="preserve"> </w:t>
            </w:r>
            <w:r w:rsidR="00011790">
              <w:rPr>
                <w:sz w:val="22"/>
                <w:szCs w:val="22"/>
              </w:rPr>
              <w:t>I</w:t>
            </w:r>
            <w:r w:rsidR="005307D0">
              <w:rPr>
                <w:sz w:val="22"/>
                <w:szCs w:val="22"/>
              </w:rPr>
              <w:t xml:space="preserve">f the HITPC is looking at policy to improve outcomes, this would be included in its scope.     </w:t>
            </w:r>
          </w:p>
          <w:p w:rsidR="00E06021" w:rsidRPr="00274AF5" w:rsidRDefault="00E06021" w:rsidP="001D48F4">
            <w:pPr>
              <w:pStyle w:val="CommentText"/>
              <w:rPr>
                <w:sz w:val="22"/>
                <w:szCs w:val="22"/>
              </w:rPr>
            </w:pPr>
          </w:p>
        </w:tc>
      </w:tr>
      <w:tr w:rsidR="00E06021" w:rsidRPr="00274AF5" w:rsidTr="00FD7993">
        <w:tc>
          <w:tcPr>
            <w:tcW w:w="8388" w:type="dxa"/>
          </w:tcPr>
          <w:p w:rsidR="00E06021" w:rsidRPr="00274AF5" w:rsidRDefault="00D51F2D" w:rsidP="00CF0E58">
            <w:pPr>
              <w:pStyle w:val="ListParagraph"/>
              <w:numPr>
                <w:ilvl w:val="0"/>
                <w:numId w:val="30"/>
              </w:numPr>
            </w:pPr>
            <w:r w:rsidRPr="00D51F2D">
              <w:rPr>
                <w:b/>
              </w:rPr>
              <w:t>Administrative procedures.</w:t>
            </w:r>
            <w:r>
              <w:t xml:space="preserve"> </w:t>
            </w:r>
            <w:r w:rsidR="00E06021" w:rsidRPr="00274AF5">
              <w:t>The HITSC should consider development of or building upon standards for administrative procedures associate</w:t>
            </w:r>
            <w:r w:rsidR="00033BEB">
              <w:t xml:space="preserve">d with the provision of care. </w:t>
            </w:r>
            <w:r w:rsidR="00E06021" w:rsidRPr="00274AF5">
              <w:t xml:space="preserve">Examples include prior authorization for medication and procedures, referrals for care, and certification requirements regarding necessity of care imposed on attending </w:t>
            </w:r>
            <w:r w:rsidR="00F13582" w:rsidRPr="00274AF5">
              <w:t>physicians</w:t>
            </w:r>
            <w:r w:rsidR="00E06021" w:rsidRPr="00274AF5">
              <w:t xml:space="preserve"> in the hospital setting.  </w:t>
            </w:r>
          </w:p>
        </w:tc>
        <w:tc>
          <w:tcPr>
            <w:tcW w:w="5400" w:type="dxa"/>
          </w:tcPr>
          <w:p w:rsidR="00033BEB" w:rsidRDefault="00033BEB" w:rsidP="00CF0E58">
            <w:pPr>
              <w:pStyle w:val="CommentText"/>
              <w:numPr>
                <w:ilvl w:val="0"/>
                <w:numId w:val="21"/>
              </w:numPr>
              <w:ind w:left="306"/>
              <w:rPr>
                <w:sz w:val="22"/>
                <w:szCs w:val="22"/>
              </w:rPr>
            </w:pPr>
            <w:r>
              <w:rPr>
                <w:sz w:val="22"/>
                <w:szCs w:val="22"/>
              </w:rPr>
              <w:t>*ADDED RECOMMENDATION*</w:t>
            </w:r>
          </w:p>
          <w:p w:rsidR="00E06021" w:rsidRPr="0046217C" w:rsidRDefault="00E06021" w:rsidP="00CF0E58">
            <w:pPr>
              <w:pStyle w:val="CommentText"/>
              <w:numPr>
                <w:ilvl w:val="0"/>
                <w:numId w:val="21"/>
              </w:numPr>
              <w:ind w:left="306"/>
              <w:rPr>
                <w:sz w:val="22"/>
                <w:szCs w:val="22"/>
              </w:rPr>
            </w:pPr>
            <w:r w:rsidRPr="00274AF5">
              <w:rPr>
                <w:sz w:val="22"/>
                <w:szCs w:val="22"/>
              </w:rPr>
              <w:t>CAQC is doing some of this, but slowly and</w:t>
            </w:r>
            <w:r w:rsidR="00033BEB">
              <w:rPr>
                <w:sz w:val="22"/>
                <w:szCs w:val="22"/>
              </w:rPr>
              <w:t xml:space="preserve"> without Federal recognition. </w:t>
            </w:r>
            <w:r w:rsidRPr="00274AF5">
              <w:rPr>
                <w:sz w:val="22"/>
                <w:szCs w:val="22"/>
              </w:rPr>
              <w:t>Meanwhile, there are a host of payers with a host of differ</w:t>
            </w:r>
            <w:r w:rsidR="00033BEB">
              <w:rPr>
                <w:sz w:val="22"/>
                <w:szCs w:val="22"/>
              </w:rPr>
              <w:t>ent procedures for Prior Auth.</w:t>
            </w:r>
            <w:r w:rsidRPr="00274AF5">
              <w:rPr>
                <w:sz w:val="22"/>
                <w:szCs w:val="22"/>
              </w:rPr>
              <w:t xml:space="preserve"> Some Medicaid programs still require downloading a form and faxing it in.     </w:t>
            </w:r>
          </w:p>
        </w:tc>
      </w:tr>
      <w:tr w:rsidR="00E06021" w:rsidRPr="00274AF5" w:rsidTr="00FD7993">
        <w:tc>
          <w:tcPr>
            <w:tcW w:w="8388" w:type="dxa"/>
          </w:tcPr>
          <w:p w:rsidR="00E06021" w:rsidRPr="00274AF5" w:rsidRDefault="00D51F2D" w:rsidP="00CF0E58">
            <w:pPr>
              <w:pStyle w:val="ListParagraph"/>
              <w:numPr>
                <w:ilvl w:val="0"/>
                <w:numId w:val="30"/>
              </w:numPr>
            </w:pPr>
            <w:r>
              <w:rPr>
                <w:b/>
              </w:rPr>
              <w:t>Review regulatory burden</w:t>
            </w:r>
            <w:r w:rsidRPr="00D51F2D">
              <w:rPr>
                <w:b/>
              </w:rPr>
              <w:t>.</w:t>
            </w:r>
            <w:r>
              <w:t xml:space="preserve"> </w:t>
            </w:r>
            <w:r w:rsidR="00E06021" w:rsidRPr="00274AF5">
              <w:t xml:space="preserve">The HITPC should task a workgroup to review and evaluate the efficacy and burden of all of the CMS documentation requirements for each patient encounter within the health care system and make recommendation to CMS regarding which are important for patient care and which represent mostly administrative burden.  </w:t>
            </w:r>
          </w:p>
        </w:tc>
        <w:tc>
          <w:tcPr>
            <w:tcW w:w="5400" w:type="dxa"/>
          </w:tcPr>
          <w:p w:rsidR="00033BEB" w:rsidRDefault="00033BEB" w:rsidP="00CF0E58">
            <w:pPr>
              <w:pStyle w:val="CommentText"/>
              <w:numPr>
                <w:ilvl w:val="0"/>
                <w:numId w:val="22"/>
              </w:numPr>
              <w:rPr>
                <w:sz w:val="22"/>
                <w:szCs w:val="22"/>
              </w:rPr>
            </w:pPr>
            <w:r>
              <w:rPr>
                <w:sz w:val="22"/>
                <w:szCs w:val="22"/>
              </w:rPr>
              <w:t>*ADDED RECOMMENDATION*</w:t>
            </w:r>
          </w:p>
          <w:p w:rsidR="00E06021" w:rsidRPr="00CC60DE" w:rsidRDefault="0046217C" w:rsidP="00CC60DE">
            <w:pPr>
              <w:pStyle w:val="ListParagraph"/>
              <w:numPr>
                <w:ilvl w:val="0"/>
                <w:numId w:val="22"/>
              </w:numPr>
            </w:pPr>
            <w:r w:rsidRPr="00CC60DE">
              <w:rPr>
                <w:b/>
              </w:rPr>
              <w:t>Consider removing:</w:t>
            </w:r>
            <w:r>
              <w:t xml:space="preserve"> </w:t>
            </w:r>
            <w:r w:rsidR="00CC60DE" w:rsidRPr="00CC60DE">
              <w:t xml:space="preserve">This may be over-reaching, but important to recognize how the burden detracts from value that users experience from EHR use and adds to practices that undermine good care  e.g. like “cut and paste.” </w:t>
            </w:r>
          </w:p>
        </w:tc>
      </w:tr>
      <w:tr w:rsidR="00CC60DE" w:rsidRPr="00274AF5" w:rsidTr="00DC019A">
        <w:tc>
          <w:tcPr>
            <w:tcW w:w="8388" w:type="dxa"/>
          </w:tcPr>
          <w:p w:rsidR="00CC60DE" w:rsidRDefault="00CC60DE" w:rsidP="00DC019A">
            <w:pPr>
              <w:pStyle w:val="ListParagraph"/>
              <w:numPr>
                <w:ilvl w:val="0"/>
                <w:numId w:val="30"/>
              </w:numPr>
              <w:rPr>
                <w:b/>
              </w:rPr>
            </w:pPr>
            <w:r w:rsidRPr="00D51F2D">
              <w:rPr>
                <w:b/>
              </w:rPr>
              <w:t>Clinical decision support efficacy.</w:t>
            </w:r>
            <w:r>
              <w:t xml:space="preserve"> </w:t>
            </w:r>
            <w:r w:rsidRPr="00274AF5">
              <w:t xml:space="preserve">ONC should conduct an evaluation of the efficacy of existing CDS tools and consider approaches to improve same.      </w:t>
            </w:r>
          </w:p>
        </w:tc>
        <w:tc>
          <w:tcPr>
            <w:tcW w:w="5400" w:type="dxa"/>
          </w:tcPr>
          <w:p w:rsidR="00CC60DE" w:rsidRDefault="00CC60DE" w:rsidP="00DC019A">
            <w:pPr>
              <w:pStyle w:val="CommentText"/>
              <w:numPr>
                <w:ilvl w:val="0"/>
                <w:numId w:val="23"/>
              </w:numPr>
              <w:ind w:left="306"/>
              <w:rPr>
                <w:sz w:val="22"/>
                <w:szCs w:val="22"/>
              </w:rPr>
            </w:pPr>
            <w:r>
              <w:rPr>
                <w:sz w:val="22"/>
                <w:szCs w:val="22"/>
              </w:rPr>
              <w:t>*ADDED RECOMMENDATION*</w:t>
            </w:r>
          </w:p>
          <w:p w:rsidR="00CC60DE" w:rsidRDefault="00CC60DE" w:rsidP="00DC019A">
            <w:pPr>
              <w:pStyle w:val="CommentText"/>
              <w:numPr>
                <w:ilvl w:val="0"/>
                <w:numId w:val="22"/>
              </w:numPr>
              <w:rPr>
                <w:sz w:val="22"/>
                <w:szCs w:val="22"/>
              </w:rPr>
            </w:pPr>
          </w:p>
        </w:tc>
      </w:tr>
    </w:tbl>
    <w:p w:rsidR="00655B97" w:rsidRDefault="00655B97" w:rsidP="00655B97"/>
    <w:sectPr w:rsidR="00655B97" w:rsidSect="008E41EA">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15" w:rsidRDefault="00205715" w:rsidP="000650DB">
      <w:pPr>
        <w:spacing w:after="0" w:line="240" w:lineRule="auto"/>
      </w:pPr>
      <w:r>
        <w:separator/>
      </w:r>
    </w:p>
  </w:endnote>
  <w:endnote w:type="continuationSeparator" w:id="0">
    <w:p w:rsidR="00205715" w:rsidRDefault="00205715" w:rsidP="000650DB">
      <w:pPr>
        <w:spacing w:after="0" w:line="240" w:lineRule="auto"/>
      </w:pPr>
      <w:r>
        <w:continuationSeparator/>
      </w:r>
    </w:p>
  </w:endnote>
  <w:endnote w:type="continuationNotice" w:id="1">
    <w:p w:rsidR="00205715" w:rsidRDefault="0020571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248165"/>
      <w:docPartObj>
        <w:docPartGallery w:val="Page Numbers (Bottom of Page)"/>
        <w:docPartUnique/>
      </w:docPartObj>
    </w:sdtPr>
    <w:sdtEndPr>
      <w:rPr>
        <w:noProof/>
      </w:rPr>
    </w:sdtEndPr>
    <w:sdtContent>
      <w:p w:rsidR="005835C7" w:rsidRDefault="00057195">
        <w:pPr>
          <w:pStyle w:val="Footer"/>
          <w:jc w:val="right"/>
        </w:pPr>
        <w:r>
          <w:fldChar w:fldCharType="begin"/>
        </w:r>
        <w:r w:rsidR="005835C7">
          <w:instrText xml:space="preserve"> PAGE   \* MERGEFORMAT </w:instrText>
        </w:r>
        <w:r>
          <w:fldChar w:fldCharType="separate"/>
        </w:r>
        <w:r w:rsidR="007D6B4C">
          <w:rPr>
            <w:noProof/>
          </w:rPr>
          <w:t>11</w:t>
        </w:r>
        <w:r>
          <w:rPr>
            <w:noProof/>
          </w:rPr>
          <w:fldChar w:fldCharType="end"/>
        </w:r>
      </w:p>
    </w:sdtContent>
  </w:sdt>
  <w:p w:rsidR="005835C7" w:rsidRDefault="00583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15" w:rsidRDefault="00205715" w:rsidP="000650DB">
      <w:pPr>
        <w:spacing w:after="0" w:line="240" w:lineRule="auto"/>
      </w:pPr>
      <w:r>
        <w:separator/>
      </w:r>
    </w:p>
  </w:footnote>
  <w:footnote w:type="continuationSeparator" w:id="0">
    <w:p w:rsidR="00205715" w:rsidRDefault="00205715" w:rsidP="000650DB">
      <w:pPr>
        <w:spacing w:after="0" w:line="240" w:lineRule="auto"/>
      </w:pPr>
      <w:r>
        <w:continuationSeparator/>
      </w:r>
    </w:p>
  </w:footnote>
  <w:footnote w:type="continuationNotice" w:id="1">
    <w:p w:rsidR="00205715" w:rsidRDefault="0020571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468730"/>
      <w:docPartObj>
        <w:docPartGallery w:val="Watermarks"/>
        <w:docPartUnique/>
      </w:docPartObj>
    </w:sdtPr>
    <w:sdtContent>
      <w:p w:rsidR="005835C7" w:rsidRDefault="0005719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792"/>
    <w:multiLevelType w:val="hybridMultilevel"/>
    <w:tmpl w:val="7D907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4B322E"/>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83A3C"/>
    <w:multiLevelType w:val="hybridMultilevel"/>
    <w:tmpl w:val="89E0D3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2E3300"/>
    <w:multiLevelType w:val="hybridMultilevel"/>
    <w:tmpl w:val="C194CBA8"/>
    <w:lvl w:ilvl="0" w:tplc="04090013">
      <w:start w:val="1"/>
      <w:numFmt w:val="upperRoman"/>
      <w:lvlText w:val="%1."/>
      <w:lvlJc w:val="right"/>
      <w:pPr>
        <w:ind w:left="720" w:hanging="360"/>
      </w:pPr>
    </w:lvl>
    <w:lvl w:ilvl="1" w:tplc="A064AB6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552AAF0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70409"/>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47629"/>
    <w:multiLevelType w:val="hybridMultilevel"/>
    <w:tmpl w:val="CD38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9647F"/>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73300"/>
    <w:multiLevelType w:val="hybridMultilevel"/>
    <w:tmpl w:val="30406672"/>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22C39"/>
    <w:multiLevelType w:val="hybridMultilevel"/>
    <w:tmpl w:val="7B285144"/>
    <w:lvl w:ilvl="0" w:tplc="F90621C2">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36190D"/>
    <w:multiLevelType w:val="hybridMultilevel"/>
    <w:tmpl w:val="7DBC2D4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3E01449"/>
    <w:multiLevelType w:val="hybridMultilevel"/>
    <w:tmpl w:val="2C96BC94"/>
    <w:lvl w:ilvl="0" w:tplc="1310B278">
      <w:start w:val="1"/>
      <w:numFmt w:val="lowerLetter"/>
      <w:lvlText w:val="%1."/>
      <w:lvlJc w:val="left"/>
      <w:pPr>
        <w:ind w:left="1080" w:hanging="360"/>
      </w:pPr>
      <w:rPr>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892236"/>
    <w:multiLevelType w:val="hybridMultilevel"/>
    <w:tmpl w:val="90429BE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81428"/>
    <w:multiLevelType w:val="hybridMultilevel"/>
    <w:tmpl w:val="3DD0D3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1D73B7"/>
    <w:multiLevelType w:val="hybridMultilevel"/>
    <w:tmpl w:val="974254D6"/>
    <w:lvl w:ilvl="0" w:tplc="1A4EAAC4">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3A5D97"/>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C0822"/>
    <w:multiLevelType w:val="hybridMultilevel"/>
    <w:tmpl w:val="727C72E4"/>
    <w:lvl w:ilvl="0" w:tplc="02386D9C">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FF73E5"/>
    <w:multiLevelType w:val="hybridMultilevel"/>
    <w:tmpl w:val="EC4E0312"/>
    <w:lvl w:ilvl="0" w:tplc="A064AB6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4524A"/>
    <w:multiLevelType w:val="hybridMultilevel"/>
    <w:tmpl w:val="3B94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0C2247"/>
    <w:multiLevelType w:val="hybridMultilevel"/>
    <w:tmpl w:val="64080020"/>
    <w:lvl w:ilvl="0" w:tplc="1156866C">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C43A40"/>
    <w:multiLevelType w:val="hybridMultilevel"/>
    <w:tmpl w:val="CA9C6EF6"/>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nsid w:val="379A5851"/>
    <w:multiLevelType w:val="hybridMultilevel"/>
    <w:tmpl w:val="662AE730"/>
    <w:lvl w:ilvl="0" w:tplc="04090019">
      <w:start w:val="1"/>
      <w:numFmt w:val="lowerLetter"/>
      <w:lvlText w:val="%1."/>
      <w:lvlJc w:val="left"/>
      <w:pPr>
        <w:ind w:left="1080" w:hanging="360"/>
      </w:pPr>
      <w:rPr>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14485D"/>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631EB"/>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85A73"/>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E52FC"/>
    <w:multiLevelType w:val="hybridMultilevel"/>
    <w:tmpl w:val="420AEBD4"/>
    <w:lvl w:ilvl="0" w:tplc="A064AB6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A09BE"/>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610AE"/>
    <w:multiLevelType w:val="hybridMultilevel"/>
    <w:tmpl w:val="06E85D3C"/>
    <w:lvl w:ilvl="0" w:tplc="552AAF08">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F118B5"/>
    <w:multiLevelType w:val="hybridMultilevel"/>
    <w:tmpl w:val="8E746E7A"/>
    <w:lvl w:ilvl="0" w:tplc="BE88155A">
      <w:start w:val="1"/>
      <w:numFmt w:val="lowerLetter"/>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8">
    <w:nsid w:val="49440753"/>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9F6CA5"/>
    <w:multiLevelType w:val="hybridMultilevel"/>
    <w:tmpl w:val="D9C04436"/>
    <w:lvl w:ilvl="0" w:tplc="0409000F">
      <w:start w:val="1"/>
      <w:numFmt w:val="decimal"/>
      <w:lvlText w:val="%1."/>
      <w:lvlJc w:val="left"/>
      <w:pPr>
        <w:ind w:left="1080" w:hanging="360"/>
      </w:pPr>
      <w:rPr>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D0169E2"/>
    <w:multiLevelType w:val="hybridMultilevel"/>
    <w:tmpl w:val="BEEE638C"/>
    <w:lvl w:ilvl="0" w:tplc="552AAF08">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2710DA"/>
    <w:multiLevelType w:val="hybridMultilevel"/>
    <w:tmpl w:val="5AAAA964"/>
    <w:lvl w:ilvl="0" w:tplc="BE88155A">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E220B7"/>
    <w:multiLevelType w:val="hybridMultilevel"/>
    <w:tmpl w:val="0D4A2C2A"/>
    <w:lvl w:ilvl="0" w:tplc="BDB4535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204FCE"/>
    <w:multiLevelType w:val="hybridMultilevel"/>
    <w:tmpl w:val="97702760"/>
    <w:lvl w:ilvl="0" w:tplc="FA8C8B2E">
      <w:start w:val="1"/>
      <w:numFmt w:val="decimal"/>
      <w:lvlText w:val="%1."/>
      <w:lvlJc w:val="left"/>
      <w:pPr>
        <w:tabs>
          <w:tab w:val="num" w:pos="720"/>
        </w:tabs>
        <w:ind w:left="720" w:hanging="360"/>
      </w:pPr>
    </w:lvl>
    <w:lvl w:ilvl="1" w:tplc="01161F32" w:tentative="1">
      <w:start w:val="1"/>
      <w:numFmt w:val="decimal"/>
      <w:lvlText w:val="%2."/>
      <w:lvlJc w:val="left"/>
      <w:pPr>
        <w:tabs>
          <w:tab w:val="num" w:pos="1440"/>
        </w:tabs>
        <w:ind w:left="1440" w:hanging="360"/>
      </w:pPr>
    </w:lvl>
    <w:lvl w:ilvl="2" w:tplc="2FF073CA" w:tentative="1">
      <w:start w:val="1"/>
      <w:numFmt w:val="decimal"/>
      <w:lvlText w:val="%3."/>
      <w:lvlJc w:val="left"/>
      <w:pPr>
        <w:tabs>
          <w:tab w:val="num" w:pos="2160"/>
        </w:tabs>
        <w:ind w:left="2160" w:hanging="360"/>
      </w:pPr>
    </w:lvl>
    <w:lvl w:ilvl="3" w:tplc="AC48FB8A" w:tentative="1">
      <w:start w:val="1"/>
      <w:numFmt w:val="decimal"/>
      <w:lvlText w:val="%4."/>
      <w:lvlJc w:val="left"/>
      <w:pPr>
        <w:tabs>
          <w:tab w:val="num" w:pos="2880"/>
        </w:tabs>
        <w:ind w:left="2880" w:hanging="360"/>
      </w:pPr>
    </w:lvl>
    <w:lvl w:ilvl="4" w:tplc="7D605CD6" w:tentative="1">
      <w:start w:val="1"/>
      <w:numFmt w:val="decimal"/>
      <w:lvlText w:val="%5."/>
      <w:lvlJc w:val="left"/>
      <w:pPr>
        <w:tabs>
          <w:tab w:val="num" w:pos="3600"/>
        </w:tabs>
        <w:ind w:left="3600" w:hanging="360"/>
      </w:pPr>
    </w:lvl>
    <w:lvl w:ilvl="5" w:tplc="0FA80D84" w:tentative="1">
      <w:start w:val="1"/>
      <w:numFmt w:val="decimal"/>
      <w:lvlText w:val="%6."/>
      <w:lvlJc w:val="left"/>
      <w:pPr>
        <w:tabs>
          <w:tab w:val="num" w:pos="4320"/>
        </w:tabs>
        <w:ind w:left="4320" w:hanging="360"/>
      </w:pPr>
    </w:lvl>
    <w:lvl w:ilvl="6" w:tplc="E4B21710" w:tentative="1">
      <w:start w:val="1"/>
      <w:numFmt w:val="decimal"/>
      <w:lvlText w:val="%7."/>
      <w:lvlJc w:val="left"/>
      <w:pPr>
        <w:tabs>
          <w:tab w:val="num" w:pos="5040"/>
        </w:tabs>
        <w:ind w:left="5040" w:hanging="360"/>
      </w:pPr>
    </w:lvl>
    <w:lvl w:ilvl="7" w:tplc="47FE6B34" w:tentative="1">
      <w:start w:val="1"/>
      <w:numFmt w:val="decimal"/>
      <w:lvlText w:val="%8."/>
      <w:lvlJc w:val="left"/>
      <w:pPr>
        <w:tabs>
          <w:tab w:val="num" w:pos="5760"/>
        </w:tabs>
        <w:ind w:left="5760" w:hanging="360"/>
      </w:pPr>
    </w:lvl>
    <w:lvl w:ilvl="8" w:tplc="16AAFBA0" w:tentative="1">
      <w:start w:val="1"/>
      <w:numFmt w:val="decimal"/>
      <w:lvlText w:val="%9."/>
      <w:lvlJc w:val="left"/>
      <w:pPr>
        <w:tabs>
          <w:tab w:val="num" w:pos="6480"/>
        </w:tabs>
        <w:ind w:left="6480" w:hanging="360"/>
      </w:pPr>
    </w:lvl>
  </w:abstractNum>
  <w:abstractNum w:abstractNumId="34">
    <w:nsid w:val="5B575437"/>
    <w:multiLevelType w:val="hybridMultilevel"/>
    <w:tmpl w:val="0C8A5A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6F05B6"/>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F86700"/>
    <w:multiLevelType w:val="hybridMultilevel"/>
    <w:tmpl w:val="B8867DB8"/>
    <w:lvl w:ilvl="0" w:tplc="614AE6FA">
      <w:start w:val="1"/>
      <w:numFmt w:val="lowerLetter"/>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E5C3144"/>
    <w:multiLevelType w:val="multilevel"/>
    <w:tmpl w:val="E6AA943C"/>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3201E03"/>
    <w:multiLevelType w:val="hybridMultilevel"/>
    <w:tmpl w:val="88F2427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CA4656"/>
    <w:multiLevelType w:val="hybridMultilevel"/>
    <w:tmpl w:val="257EA982"/>
    <w:lvl w:ilvl="0" w:tplc="541AD85E">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95953"/>
    <w:multiLevelType w:val="hybridMultilevel"/>
    <w:tmpl w:val="BE36AE88"/>
    <w:lvl w:ilvl="0" w:tplc="2AE29304">
      <w:start w:val="1"/>
      <w:numFmt w:val="decimal"/>
      <w:lvlText w:val="%1."/>
      <w:lvlJc w:val="left"/>
      <w:pPr>
        <w:ind w:left="882" w:hanging="360"/>
      </w:pPr>
      <w:rPr>
        <w:b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1">
    <w:nsid w:val="6EA57130"/>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0477EA"/>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0C0F0B"/>
    <w:multiLevelType w:val="hybridMultilevel"/>
    <w:tmpl w:val="8C56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157EF3"/>
    <w:multiLevelType w:val="hybridMultilevel"/>
    <w:tmpl w:val="DFD8ED6A"/>
    <w:lvl w:ilvl="0" w:tplc="04090019">
      <w:start w:val="1"/>
      <w:numFmt w:val="lowerLetter"/>
      <w:lvlText w:val="%1."/>
      <w:lvlJc w:val="left"/>
      <w:pPr>
        <w:ind w:left="1080" w:hanging="360"/>
      </w:pPr>
      <w:rPr>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757048"/>
    <w:multiLevelType w:val="hybridMultilevel"/>
    <w:tmpl w:val="7B285144"/>
    <w:lvl w:ilvl="0" w:tplc="F90621C2">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473D97"/>
    <w:multiLevelType w:val="hybridMultilevel"/>
    <w:tmpl w:val="E9782A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7"/>
  </w:num>
  <w:num w:numId="3">
    <w:abstractNumId w:val="42"/>
  </w:num>
  <w:num w:numId="4">
    <w:abstractNumId w:val="38"/>
  </w:num>
  <w:num w:numId="5">
    <w:abstractNumId w:val="39"/>
  </w:num>
  <w:num w:numId="6">
    <w:abstractNumId w:val="13"/>
  </w:num>
  <w:num w:numId="7">
    <w:abstractNumId w:val="20"/>
  </w:num>
  <w:num w:numId="8">
    <w:abstractNumId w:val="7"/>
  </w:num>
  <w:num w:numId="9">
    <w:abstractNumId w:val="12"/>
  </w:num>
  <w:num w:numId="10">
    <w:abstractNumId w:val="4"/>
  </w:num>
  <w:num w:numId="11">
    <w:abstractNumId w:val="10"/>
  </w:num>
  <w:num w:numId="12">
    <w:abstractNumId w:val="28"/>
  </w:num>
  <w:num w:numId="13">
    <w:abstractNumId w:val="41"/>
  </w:num>
  <w:num w:numId="14">
    <w:abstractNumId w:val="11"/>
  </w:num>
  <w:num w:numId="15">
    <w:abstractNumId w:val="14"/>
  </w:num>
  <w:num w:numId="16">
    <w:abstractNumId w:val="6"/>
  </w:num>
  <w:num w:numId="17">
    <w:abstractNumId w:val="35"/>
  </w:num>
  <w:num w:numId="18">
    <w:abstractNumId w:val="22"/>
  </w:num>
  <w:num w:numId="19">
    <w:abstractNumId w:val="23"/>
  </w:num>
  <w:num w:numId="20">
    <w:abstractNumId w:val="25"/>
  </w:num>
  <w:num w:numId="21">
    <w:abstractNumId w:val="1"/>
  </w:num>
  <w:num w:numId="22">
    <w:abstractNumId w:val="34"/>
  </w:num>
  <w:num w:numId="23">
    <w:abstractNumId w:val="43"/>
  </w:num>
  <w:num w:numId="24">
    <w:abstractNumId w:val="27"/>
  </w:num>
  <w:num w:numId="25">
    <w:abstractNumId w:val="5"/>
  </w:num>
  <w:num w:numId="26">
    <w:abstractNumId w:val="32"/>
  </w:num>
  <w:num w:numId="27">
    <w:abstractNumId w:val="45"/>
  </w:num>
  <w:num w:numId="28">
    <w:abstractNumId w:val="44"/>
  </w:num>
  <w:num w:numId="29">
    <w:abstractNumId w:val="18"/>
  </w:num>
  <w:num w:numId="30">
    <w:abstractNumId w:val="36"/>
  </w:num>
  <w:num w:numId="31">
    <w:abstractNumId w:val="8"/>
  </w:num>
  <w:num w:numId="32">
    <w:abstractNumId w:val="46"/>
  </w:num>
  <w:num w:numId="33">
    <w:abstractNumId w:val="9"/>
  </w:num>
  <w:num w:numId="34">
    <w:abstractNumId w:val="19"/>
  </w:num>
  <w:num w:numId="35">
    <w:abstractNumId w:val="21"/>
  </w:num>
  <w:num w:numId="36">
    <w:abstractNumId w:val="30"/>
  </w:num>
  <w:num w:numId="37">
    <w:abstractNumId w:val="37"/>
  </w:num>
  <w:num w:numId="38">
    <w:abstractNumId w:val="15"/>
  </w:num>
  <w:num w:numId="39">
    <w:abstractNumId w:val="29"/>
  </w:num>
  <w:num w:numId="40">
    <w:abstractNumId w:val="26"/>
  </w:num>
  <w:num w:numId="41">
    <w:abstractNumId w:val="31"/>
  </w:num>
  <w:num w:numId="42">
    <w:abstractNumId w:val="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4"/>
  </w:num>
  <w:num w:numId="46">
    <w:abstractNumId w:val="16"/>
  </w:num>
  <w:num w:numId="47">
    <w:abstractNumId w:val="40"/>
  </w:num>
  <w:num w:numId="48">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rsids>
    <w:rsidRoot w:val="000650DB"/>
    <w:rsid w:val="0000509B"/>
    <w:rsid w:val="00011790"/>
    <w:rsid w:val="000162DB"/>
    <w:rsid w:val="0002148F"/>
    <w:rsid w:val="0003220A"/>
    <w:rsid w:val="00033BEB"/>
    <w:rsid w:val="00035BF9"/>
    <w:rsid w:val="000414A8"/>
    <w:rsid w:val="00050D79"/>
    <w:rsid w:val="000538D8"/>
    <w:rsid w:val="00057195"/>
    <w:rsid w:val="000624D2"/>
    <w:rsid w:val="00063192"/>
    <w:rsid w:val="000643EA"/>
    <w:rsid w:val="000650DB"/>
    <w:rsid w:val="00070583"/>
    <w:rsid w:val="00074B48"/>
    <w:rsid w:val="00075B72"/>
    <w:rsid w:val="00077BE5"/>
    <w:rsid w:val="00085238"/>
    <w:rsid w:val="000852F6"/>
    <w:rsid w:val="00086693"/>
    <w:rsid w:val="00086945"/>
    <w:rsid w:val="00087758"/>
    <w:rsid w:val="00093F66"/>
    <w:rsid w:val="00095D36"/>
    <w:rsid w:val="000A1C13"/>
    <w:rsid w:val="000B13EE"/>
    <w:rsid w:val="000B16A1"/>
    <w:rsid w:val="000B2136"/>
    <w:rsid w:val="000B2EF2"/>
    <w:rsid w:val="000B49B2"/>
    <w:rsid w:val="000B5A6E"/>
    <w:rsid w:val="000C6178"/>
    <w:rsid w:val="000D1473"/>
    <w:rsid w:val="000D67A0"/>
    <w:rsid w:val="000D70FE"/>
    <w:rsid w:val="000E1728"/>
    <w:rsid w:val="000E748E"/>
    <w:rsid w:val="000F6C7A"/>
    <w:rsid w:val="00111AD9"/>
    <w:rsid w:val="00125DA9"/>
    <w:rsid w:val="00126B96"/>
    <w:rsid w:val="001330E5"/>
    <w:rsid w:val="0014030E"/>
    <w:rsid w:val="00141399"/>
    <w:rsid w:val="00164EC3"/>
    <w:rsid w:val="0017175F"/>
    <w:rsid w:val="00174948"/>
    <w:rsid w:val="00174D64"/>
    <w:rsid w:val="00180AA9"/>
    <w:rsid w:val="00181E3D"/>
    <w:rsid w:val="00191C46"/>
    <w:rsid w:val="00195A10"/>
    <w:rsid w:val="001A2284"/>
    <w:rsid w:val="001C1E73"/>
    <w:rsid w:val="001C4E0F"/>
    <w:rsid w:val="001D35E9"/>
    <w:rsid w:val="001D48F4"/>
    <w:rsid w:val="001D4D2D"/>
    <w:rsid w:val="001E1AE6"/>
    <w:rsid w:val="001F3144"/>
    <w:rsid w:val="001F7F69"/>
    <w:rsid w:val="00203445"/>
    <w:rsid w:val="00204266"/>
    <w:rsid w:val="00205715"/>
    <w:rsid w:val="00206F14"/>
    <w:rsid w:val="002103FF"/>
    <w:rsid w:val="002212A7"/>
    <w:rsid w:val="00236A76"/>
    <w:rsid w:val="00242D4E"/>
    <w:rsid w:val="002522DE"/>
    <w:rsid w:val="00257146"/>
    <w:rsid w:val="00264254"/>
    <w:rsid w:val="002714BB"/>
    <w:rsid w:val="00274AF5"/>
    <w:rsid w:val="00282A99"/>
    <w:rsid w:val="00287401"/>
    <w:rsid w:val="00292375"/>
    <w:rsid w:val="002A071E"/>
    <w:rsid w:val="002B30F6"/>
    <w:rsid w:val="002C0534"/>
    <w:rsid w:val="002C3FB7"/>
    <w:rsid w:val="002D333B"/>
    <w:rsid w:val="002D46F4"/>
    <w:rsid w:val="002D7E6D"/>
    <w:rsid w:val="00307DB0"/>
    <w:rsid w:val="003106FD"/>
    <w:rsid w:val="003108C9"/>
    <w:rsid w:val="00334DB0"/>
    <w:rsid w:val="00344CEA"/>
    <w:rsid w:val="00346A9D"/>
    <w:rsid w:val="00356E82"/>
    <w:rsid w:val="00367A2B"/>
    <w:rsid w:val="0038527B"/>
    <w:rsid w:val="003930CF"/>
    <w:rsid w:val="003A2CF8"/>
    <w:rsid w:val="003B39B0"/>
    <w:rsid w:val="003B4595"/>
    <w:rsid w:val="003B6DB2"/>
    <w:rsid w:val="003C5C7A"/>
    <w:rsid w:val="003D6B15"/>
    <w:rsid w:val="00405C10"/>
    <w:rsid w:val="00407816"/>
    <w:rsid w:val="0041780E"/>
    <w:rsid w:val="00432979"/>
    <w:rsid w:val="00432FE6"/>
    <w:rsid w:val="00435699"/>
    <w:rsid w:val="00441EF0"/>
    <w:rsid w:val="0046217C"/>
    <w:rsid w:val="004626CD"/>
    <w:rsid w:val="00465BEF"/>
    <w:rsid w:val="00465C37"/>
    <w:rsid w:val="004670CC"/>
    <w:rsid w:val="00470D42"/>
    <w:rsid w:val="004726F5"/>
    <w:rsid w:val="00476E03"/>
    <w:rsid w:val="004A0FFD"/>
    <w:rsid w:val="004A7CA6"/>
    <w:rsid w:val="004B21AC"/>
    <w:rsid w:val="004C13C3"/>
    <w:rsid w:val="004C1D6F"/>
    <w:rsid w:val="004C3442"/>
    <w:rsid w:val="004C5E0A"/>
    <w:rsid w:val="004C6EC2"/>
    <w:rsid w:val="004D49DC"/>
    <w:rsid w:val="004D75FE"/>
    <w:rsid w:val="004D77C3"/>
    <w:rsid w:val="004F3634"/>
    <w:rsid w:val="00505813"/>
    <w:rsid w:val="00507A6E"/>
    <w:rsid w:val="00515B66"/>
    <w:rsid w:val="00522E8D"/>
    <w:rsid w:val="0053034E"/>
    <w:rsid w:val="005307D0"/>
    <w:rsid w:val="00532F93"/>
    <w:rsid w:val="005375FC"/>
    <w:rsid w:val="00543AA9"/>
    <w:rsid w:val="00555507"/>
    <w:rsid w:val="005566E6"/>
    <w:rsid w:val="0057760B"/>
    <w:rsid w:val="0057793E"/>
    <w:rsid w:val="0058249D"/>
    <w:rsid w:val="005835C7"/>
    <w:rsid w:val="00584EAF"/>
    <w:rsid w:val="00586830"/>
    <w:rsid w:val="005B0763"/>
    <w:rsid w:val="005B2AB0"/>
    <w:rsid w:val="005B744D"/>
    <w:rsid w:val="005C56AA"/>
    <w:rsid w:val="005C6EF7"/>
    <w:rsid w:val="005C7AEB"/>
    <w:rsid w:val="005D12AC"/>
    <w:rsid w:val="005D2B5A"/>
    <w:rsid w:val="005D4BAF"/>
    <w:rsid w:val="005D4E77"/>
    <w:rsid w:val="005D515B"/>
    <w:rsid w:val="005E0BC8"/>
    <w:rsid w:val="005F52AF"/>
    <w:rsid w:val="0060006A"/>
    <w:rsid w:val="006009F9"/>
    <w:rsid w:val="006055D8"/>
    <w:rsid w:val="00611EE8"/>
    <w:rsid w:val="00624204"/>
    <w:rsid w:val="00624F60"/>
    <w:rsid w:val="00625B1B"/>
    <w:rsid w:val="006264D0"/>
    <w:rsid w:val="00630EFD"/>
    <w:rsid w:val="00631679"/>
    <w:rsid w:val="006350A0"/>
    <w:rsid w:val="0064385D"/>
    <w:rsid w:val="00655B97"/>
    <w:rsid w:val="00657332"/>
    <w:rsid w:val="00680058"/>
    <w:rsid w:val="00683B77"/>
    <w:rsid w:val="006916B4"/>
    <w:rsid w:val="00695FE0"/>
    <w:rsid w:val="006A30E1"/>
    <w:rsid w:val="006A6FE0"/>
    <w:rsid w:val="006A706C"/>
    <w:rsid w:val="006B3541"/>
    <w:rsid w:val="006C5B17"/>
    <w:rsid w:val="006D05E0"/>
    <w:rsid w:val="006D1970"/>
    <w:rsid w:val="006E3C2D"/>
    <w:rsid w:val="006E5B5E"/>
    <w:rsid w:val="006F5E07"/>
    <w:rsid w:val="006F600B"/>
    <w:rsid w:val="00701BA6"/>
    <w:rsid w:val="00724201"/>
    <w:rsid w:val="00730BD0"/>
    <w:rsid w:val="00737A54"/>
    <w:rsid w:val="00740848"/>
    <w:rsid w:val="00740B4F"/>
    <w:rsid w:val="00756E77"/>
    <w:rsid w:val="007662DF"/>
    <w:rsid w:val="00783C6A"/>
    <w:rsid w:val="007A1AE3"/>
    <w:rsid w:val="007A41D6"/>
    <w:rsid w:val="007A798A"/>
    <w:rsid w:val="007B161B"/>
    <w:rsid w:val="007B2E59"/>
    <w:rsid w:val="007C20A0"/>
    <w:rsid w:val="007C72EF"/>
    <w:rsid w:val="007C73A4"/>
    <w:rsid w:val="007D6B4C"/>
    <w:rsid w:val="007E5ED0"/>
    <w:rsid w:val="0080486E"/>
    <w:rsid w:val="00806B78"/>
    <w:rsid w:val="00807194"/>
    <w:rsid w:val="00807C12"/>
    <w:rsid w:val="00822B97"/>
    <w:rsid w:val="00825E63"/>
    <w:rsid w:val="008335C5"/>
    <w:rsid w:val="00837753"/>
    <w:rsid w:val="00845E5D"/>
    <w:rsid w:val="00847DB8"/>
    <w:rsid w:val="00853889"/>
    <w:rsid w:val="00854AE6"/>
    <w:rsid w:val="008553DD"/>
    <w:rsid w:val="00857F50"/>
    <w:rsid w:val="00867239"/>
    <w:rsid w:val="00870E16"/>
    <w:rsid w:val="00871676"/>
    <w:rsid w:val="00874925"/>
    <w:rsid w:val="00875393"/>
    <w:rsid w:val="00884F3C"/>
    <w:rsid w:val="008922FD"/>
    <w:rsid w:val="008A6F6B"/>
    <w:rsid w:val="008B211D"/>
    <w:rsid w:val="008C13BE"/>
    <w:rsid w:val="008C5629"/>
    <w:rsid w:val="008C5654"/>
    <w:rsid w:val="008C690A"/>
    <w:rsid w:val="008D123F"/>
    <w:rsid w:val="008E0B64"/>
    <w:rsid w:val="008E41EA"/>
    <w:rsid w:val="008E79DB"/>
    <w:rsid w:val="008E7A7D"/>
    <w:rsid w:val="008F1365"/>
    <w:rsid w:val="00900C2D"/>
    <w:rsid w:val="0090644E"/>
    <w:rsid w:val="00914715"/>
    <w:rsid w:val="00916291"/>
    <w:rsid w:val="0092160D"/>
    <w:rsid w:val="00924848"/>
    <w:rsid w:val="00927242"/>
    <w:rsid w:val="009318ED"/>
    <w:rsid w:val="00933CFF"/>
    <w:rsid w:val="009357AA"/>
    <w:rsid w:val="009421E5"/>
    <w:rsid w:val="0096232F"/>
    <w:rsid w:val="00964F9C"/>
    <w:rsid w:val="00967F95"/>
    <w:rsid w:val="00984070"/>
    <w:rsid w:val="00987B62"/>
    <w:rsid w:val="00992E22"/>
    <w:rsid w:val="009B09C2"/>
    <w:rsid w:val="009C205A"/>
    <w:rsid w:val="009C4D74"/>
    <w:rsid w:val="009C655F"/>
    <w:rsid w:val="009D137F"/>
    <w:rsid w:val="009D6CB6"/>
    <w:rsid w:val="009E37CC"/>
    <w:rsid w:val="009E6F1E"/>
    <w:rsid w:val="009E6F7C"/>
    <w:rsid w:val="009E7E62"/>
    <w:rsid w:val="009F51F0"/>
    <w:rsid w:val="009F6383"/>
    <w:rsid w:val="009F7897"/>
    <w:rsid w:val="00A02193"/>
    <w:rsid w:val="00A03D95"/>
    <w:rsid w:val="00A104D4"/>
    <w:rsid w:val="00A11203"/>
    <w:rsid w:val="00A130EB"/>
    <w:rsid w:val="00A34CA2"/>
    <w:rsid w:val="00A5249D"/>
    <w:rsid w:val="00A6529D"/>
    <w:rsid w:val="00A655CA"/>
    <w:rsid w:val="00A65EBD"/>
    <w:rsid w:val="00A67735"/>
    <w:rsid w:val="00A706CD"/>
    <w:rsid w:val="00A74B47"/>
    <w:rsid w:val="00A76BB8"/>
    <w:rsid w:val="00A81732"/>
    <w:rsid w:val="00A858B7"/>
    <w:rsid w:val="00A93F17"/>
    <w:rsid w:val="00AA617F"/>
    <w:rsid w:val="00AC057E"/>
    <w:rsid w:val="00AC0AB6"/>
    <w:rsid w:val="00AC1ACF"/>
    <w:rsid w:val="00AC5ED9"/>
    <w:rsid w:val="00AD25DC"/>
    <w:rsid w:val="00AD7DCA"/>
    <w:rsid w:val="00AE2A62"/>
    <w:rsid w:val="00AE2D32"/>
    <w:rsid w:val="00AE51B7"/>
    <w:rsid w:val="00AF6241"/>
    <w:rsid w:val="00B1726C"/>
    <w:rsid w:val="00B225F8"/>
    <w:rsid w:val="00B24305"/>
    <w:rsid w:val="00B26677"/>
    <w:rsid w:val="00B376FB"/>
    <w:rsid w:val="00B50C60"/>
    <w:rsid w:val="00B71CC1"/>
    <w:rsid w:val="00B767DF"/>
    <w:rsid w:val="00B80F2F"/>
    <w:rsid w:val="00B81285"/>
    <w:rsid w:val="00B81DEC"/>
    <w:rsid w:val="00B87178"/>
    <w:rsid w:val="00B969A7"/>
    <w:rsid w:val="00BA091A"/>
    <w:rsid w:val="00BA0992"/>
    <w:rsid w:val="00BB74CD"/>
    <w:rsid w:val="00BC2D69"/>
    <w:rsid w:val="00BC5043"/>
    <w:rsid w:val="00BC6AB6"/>
    <w:rsid w:val="00BD4CEC"/>
    <w:rsid w:val="00BD5E60"/>
    <w:rsid w:val="00BE0A8D"/>
    <w:rsid w:val="00BE0FF3"/>
    <w:rsid w:val="00BE1173"/>
    <w:rsid w:val="00BF4435"/>
    <w:rsid w:val="00BF6F86"/>
    <w:rsid w:val="00C04954"/>
    <w:rsid w:val="00C04F94"/>
    <w:rsid w:val="00C0537D"/>
    <w:rsid w:val="00C11E31"/>
    <w:rsid w:val="00C11FA8"/>
    <w:rsid w:val="00C1261D"/>
    <w:rsid w:val="00C2550F"/>
    <w:rsid w:val="00C2729B"/>
    <w:rsid w:val="00C33A48"/>
    <w:rsid w:val="00C60DE4"/>
    <w:rsid w:val="00C64257"/>
    <w:rsid w:val="00C746D6"/>
    <w:rsid w:val="00C917AF"/>
    <w:rsid w:val="00C92E83"/>
    <w:rsid w:val="00CA1F35"/>
    <w:rsid w:val="00CB36AB"/>
    <w:rsid w:val="00CC60DE"/>
    <w:rsid w:val="00CE3C2F"/>
    <w:rsid w:val="00CF0E58"/>
    <w:rsid w:val="00CF11EE"/>
    <w:rsid w:val="00CF4095"/>
    <w:rsid w:val="00D00DB0"/>
    <w:rsid w:val="00D04476"/>
    <w:rsid w:val="00D0798F"/>
    <w:rsid w:val="00D10EF3"/>
    <w:rsid w:val="00D17565"/>
    <w:rsid w:val="00D24907"/>
    <w:rsid w:val="00D26142"/>
    <w:rsid w:val="00D26FA0"/>
    <w:rsid w:val="00D31156"/>
    <w:rsid w:val="00D34AC9"/>
    <w:rsid w:val="00D417AD"/>
    <w:rsid w:val="00D51F2D"/>
    <w:rsid w:val="00D5692A"/>
    <w:rsid w:val="00D62C29"/>
    <w:rsid w:val="00D6482B"/>
    <w:rsid w:val="00D65948"/>
    <w:rsid w:val="00D73096"/>
    <w:rsid w:val="00D7649E"/>
    <w:rsid w:val="00D81F45"/>
    <w:rsid w:val="00D82F70"/>
    <w:rsid w:val="00D9211A"/>
    <w:rsid w:val="00D93155"/>
    <w:rsid w:val="00D94604"/>
    <w:rsid w:val="00D95137"/>
    <w:rsid w:val="00D954C0"/>
    <w:rsid w:val="00D955A9"/>
    <w:rsid w:val="00D97A4A"/>
    <w:rsid w:val="00DA3779"/>
    <w:rsid w:val="00DA477D"/>
    <w:rsid w:val="00DA6F45"/>
    <w:rsid w:val="00DB2695"/>
    <w:rsid w:val="00DB555C"/>
    <w:rsid w:val="00DF3FAB"/>
    <w:rsid w:val="00DF7540"/>
    <w:rsid w:val="00E03521"/>
    <w:rsid w:val="00E06021"/>
    <w:rsid w:val="00E07815"/>
    <w:rsid w:val="00E1050A"/>
    <w:rsid w:val="00E14204"/>
    <w:rsid w:val="00E37F03"/>
    <w:rsid w:val="00E45C32"/>
    <w:rsid w:val="00E4611E"/>
    <w:rsid w:val="00E46858"/>
    <w:rsid w:val="00E47D31"/>
    <w:rsid w:val="00E520C0"/>
    <w:rsid w:val="00E5293D"/>
    <w:rsid w:val="00E54E1B"/>
    <w:rsid w:val="00E55D18"/>
    <w:rsid w:val="00E6364B"/>
    <w:rsid w:val="00E65A0F"/>
    <w:rsid w:val="00E7333F"/>
    <w:rsid w:val="00E8108E"/>
    <w:rsid w:val="00E852DE"/>
    <w:rsid w:val="00E92C91"/>
    <w:rsid w:val="00E93713"/>
    <w:rsid w:val="00EA517C"/>
    <w:rsid w:val="00EB05E5"/>
    <w:rsid w:val="00EB0FB8"/>
    <w:rsid w:val="00EB1C45"/>
    <w:rsid w:val="00EB6838"/>
    <w:rsid w:val="00EC0976"/>
    <w:rsid w:val="00EC5E9C"/>
    <w:rsid w:val="00EC6945"/>
    <w:rsid w:val="00ED5FA6"/>
    <w:rsid w:val="00ED61CB"/>
    <w:rsid w:val="00EE0151"/>
    <w:rsid w:val="00EE5B0F"/>
    <w:rsid w:val="00EF0872"/>
    <w:rsid w:val="00EF0B84"/>
    <w:rsid w:val="00F13582"/>
    <w:rsid w:val="00F27A99"/>
    <w:rsid w:val="00F31122"/>
    <w:rsid w:val="00F31A1A"/>
    <w:rsid w:val="00F44FBD"/>
    <w:rsid w:val="00F529A7"/>
    <w:rsid w:val="00F54A8C"/>
    <w:rsid w:val="00F5620D"/>
    <w:rsid w:val="00F563D2"/>
    <w:rsid w:val="00F57CB0"/>
    <w:rsid w:val="00F604FD"/>
    <w:rsid w:val="00F63723"/>
    <w:rsid w:val="00F7623A"/>
    <w:rsid w:val="00F76833"/>
    <w:rsid w:val="00F770A8"/>
    <w:rsid w:val="00F77E2F"/>
    <w:rsid w:val="00F87552"/>
    <w:rsid w:val="00F87CA1"/>
    <w:rsid w:val="00F9022F"/>
    <w:rsid w:val="00F90F62"/>
    <w:rsid w:val="00FA15FA"/>
    <w:rsid w:val="00FA79F8"/>
    <w:rsid w:val="00FB54D1"/>
    <w:rsid w:val="00FD7993"/>
    <w:rsid w:val="00FE0AC4"/>
    <w:rsid w:val="00FE3ADE"/>
    <w:rsid w:val="00FF0E85"/>
    <w:rsid w:val="00FF7F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95"/>
  </w:style>
  <w:style w:type="paragraph" w:styleId="Heading1">
    <w:name w:val="heading 1"/>
    <w:basedOn w:val="Normal"/>
    <w:next w:val="Normal"/>
    <w:link w:val="Heading1Char"/>
    <w:uiPriority w:val="9"/>
    <w:qFormat/>
    <w:rsid w:val="007B2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DB"/>
    <w:pPr>
      <w:ind w:left="720"/>
      <w:contextualSpacing/>
    </w:pPr>
  </w:style>
  <w:style w:type="paragraph" w:styleId="Header">
    <w:name w:val="header"/>
    <w:basedOn w:val="Normal"/>
    <w:link w:val="HeaderChar"/>
    <w:uiPriority w:val="99"/>
    <w:unhideWhenUsed/>
    <w:rsid w:val="00065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0DB"/>
  </w:style>
  <w:style w:type="paragraph" w:styleId="Footer">
    <w:name w:val="footer"/>
    <w:basedOn w:val="Normal"/>
    <w:link w:val="FooterChar"/>
    <w:uiPriority w:val="99"/>
    <w:unhideWhenUsed/>
    <w:rsid w:val="0006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0DB"/>
  </w:style>
  <w:style w:type="character" w:styleId="CommentReference">
    <w:name w:val="annotation reference"/>
    <w:basedOn w:val="DefaultParagraphFont"/>
    <w:uiPriority w:val="99"/>
    <w:semiHidden/>
    <w:unhideWhenUsed/>
    <w:rsid w:val="0000509B"/>
    <w:rPr>
      <w:sz w:val="16"/>
      <w:szCs w:val="16"/>
    </w:rPr>
  </w:style>
  <w:style w:type="paragraph" w:styleId="CommentText">
    <w:name w:val="annotation text"/>
    <w:basedOn w:val="Normal"/>
    <w:link w:val="CommentTextChar"/>
    <w:uiPriority w:val="99"/>
    <w:unhideWhenUsed/>
    <w:rsid w:val="00B81285"/>
    <w:pPr>
      <w:spacing w:line="240" w:lineRule="auto"/>
    </w:pPr>
    <w:rPr>
      <w:sz w:val="20"/>
      <w:szCs w:val="20"/>
    </w:rPr>
  </w:style>
  <w:style w:type="character" w:customStyle="1" w:styleId="CommentTextChar">
    <w:name w:val="Comment Text Char"/>
    <w:basedOn w:val="DefaultParagraphFont"/>
    <w:link w:val="CommentText"/>
    <w:uiPriority w:val="99"/>
    <w:rsid w:val="0000509B"/>
    <w:rPr>
      <w:sz w:val="20"/>
      <w:szCs w:val="20"/>
    </w:rPr>
  </w:style>
  <w:style w:type="paragraph" w:styleId="CommentSubject">
    <w:name w:val="annotation subject"/>
    <w:basedOn w:val="CommentText"/>
    <w:next w:val="CommentText"/>
    <w:link w:val="CommentSubjectChar"/>
    <w:uiPriority w:val="99"/>
    <w:semiHidden/>
    <w:unhideWhenUsed/>
    <w:rsid w:val="0000509B"/>
    <w:rPr>
      <w:b/>
      <w:bCs/>
    </w:rPr>
  </w:style>
  <w:style w:type="character" w:customStyle="1" w:styleId="CommentSubjectChar">
    <w:name w:val="Comment Subject Char"/>
    <w:basedOn w:val="CommentTextChar"/>
    <w:link w:val="CommentSubject"/>
    <w:uiPriority w:val="99"/>
    <w:semiHidden/>
    <w:rsid w:val="0000509B"/>
    <w:rPr>
      <w:b/>
      <w:bCs/>
      <w:sz w:val="20"/>
      <w:szCs w:val="20"/>
    </w:rPr>
  </w:style>
  <w:style w:type="paragraph" w:styleId="Revision">
    <w:name w:val="Revision"/>
    <w:hidden/>
    <w:uiPriority w:val="99"/>
    <w:semiHidden/>
    <w:rsid w:val="0000509B"/>
    <w:pPr>
      <w:spacing w:after="0" w:line="240" w:lineRule="auto"/>
    </w:pPr>
  </w:style>
  <w:style w:type="paragraph" w:styleId="BalloonText">
    <w:name w:val="Balloon Text"/>
    <w:basedOn w:val="Normal"/>
    <w:link w:val="BalloonTextChar"/>
    <w:uiPriority w:val="99"/>
    <w:semiHidden/>
    <w:unhideWhenUsed/>
    <w:rsid w:val="0000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9B"/>
    <w:rPr>
      <w:rFonts w:ascii="Tahoma" w:hAnsi="Tahoma" w:cs="Tahoma"/>
      <w:sz w:val="16"/>
      <w:szCs w:val="16"/>
    </w:rPr>
  </w:style>
  <w:style w:type="table" w:styleId="TableGrid">
    <w:name w:val="Table Grid"/>
    <w:basedOn w:val="TableNormal"/>
    <w:uiPriority w:val="59"/>
    <w:rsid w:val="00BA0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2E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B2E59"/>
    <w:pPr>
      <w:outlineLvl w:val="9"/>
    </w:pPr>
    <w:rPr>
      <w:lang w:eastAsia="ja-JP"/>
    </w:rPr>
  </w:style>
  <w:style w:type="paragraph" w:styleId="TOC2">
    <w:name w:val="toc 2"/>
    <w:basedOn w:val="Normal"/>
    <w:next w:val="Normal"/>
    <w:autoRedefine/>
    <w:uiPriority w:val="39"/>
    <w:unhideWhenUsed/>
    <w:rsid w:val="007B2E59"/>
    <w:pPr>
      <w:spacing w:after="100"/>
      <w:ind w:left="220"/>
    </w:pPr>
  </w:style>
  <w:style w:type="character" w:styleId="Hyperlink">
    <w:name w:val="Hyperlink"/>
    <w:basedOn w:val="DefaultParagraphFont"/>
    <w:uiPriority w:val="99"/>
    <w:unhideWhenUsed/>
    <w:rsid w:val="007B2E59"/>
    <w:rPr>
      <w:color w:val="0000FF" w:themeColor="hyperlink"/>
      <w:u w:val="single"/>
    </w:rPr>
  </w:style>
  <w:style w:type="paragraph" w:styleId="TOC1">
    <w:name w:val="toc 1"/>
    <w:basedOn w:val="Normal"/>
    <w:next w:val="Normal"/>
    <w:autoRedefine/>
    <w:uiPriority w:val="39"/>
    <w:semiHidden/>
    <w:unhideWhenUsed/>
    <w:rsid w:val="007B2E5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2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DB"/>
    <w:pPr>
      <w:ind w:left="720"/>
      <w:contextualSpacing/>
    </w:pPr>
  </w:style>
  <w:style w:type="paragraph" w:styleId="Header">
    <w:name w:val="header"/>
    <w:basedOn w:val="Normal"/>
    <w:link w:val="HeaderChar"/>
    <w:uiPriority w:val="99"/>
    <w:unhideWhenUsed/>
    <w:rsid w:val="00065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0DB"/>
  </w:style>
  <w:style w:type="paragraph" w:styleId="Footer">
    <w:name w:val="footer"/>
    <w:basedOn w:val="Normal"/>
    <w:link w:val="FooterChar"/>
    <w:uiPriority w:val="99"/>
    <w:unhideWhenUsed/>
    <w:rsid w:val="0006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0DB"/>
  </w:style>
  <w:style w:type="character" w:styleId="CommentReference">
    <w:name w:val="annotation reference"/>
    <w:basedOn w:val="DefaultParagraphFont"/>
    <w:uiPriority w:val="99"/>
    <w:semiHidden/>
    <w:unhideWhenUsed/>
    <w:rsid w:val="0000509B"/>
    <w:rPr>
      <w:sz w:val="16"/>
      <w:szCs w:val="16"/>
    </w:rPr>
  </w:style>
  <w:style w:type="paragraph" w:styleId="CommentText">
    <w:name w:val="annotation text"/>
    <w:basedOn w:val="Normal"/>
    <w:link w:val="CommentTextChar"/>
    <w:uiPriority w:val="99"/>
    <w:unhideWhenUsed/>
    <w:rsid w:val="00B81285"/>
    <w:pPr>
      <w:spacing w:line="240" w:lineRule="auto"/>
    </w:pPr>
    <w:rPr>
      <w:sz w:val="20"/>
      <w:szCs w:val="20"/>
    </w:rPr>
  </w:style>
  <w:style w:type="character" w:customStyle="1" w:styleId="CommentTextChar">
    <w:name w:val="Comment Text Char"/>
    <w:basedOn w:val="DefaultParagraphFont"/>
    <w:link w:val="CommentText"/>
    <w:uiPriority w:val="99"/>
    <w:rsid w:val="0000509B"/>
    <w:rPr>
      <w:sz w:val="20"/>
      <w:szCs w:val="20"/>
    </w:rPr>
  </w:style>
  <w:style w:type="paragraph" w:styleId="CommentSubject">
    <w:name w:val="annotation subject"/>
    <w:basedOn w:val="CommentText"/>
    <w:next w:val="CommentText"/>
    <w:link w:val="CommentSubjectChar"/>
    <w:uiPriority w:val="99"/>
    <w:semiHidden/>
    <w:unhideWhenUsed/>
    <w:rsid w:val="0000509B"/>
    <w:rPr>
      <w:b/>
      <w:bCs/>
    </w:rPr>
  </w:style>
  <w:style w:type="character" w:customStyle="1" w:styleId="CommentSubjectChar">
    <w:name w:val="Comment Subject Char"/>
    <w:basedOn w:val="CommentTextChar"/>
    <w:link w:val="CommentSubject"/>
    <w:uiPriority w:val="99"/>
    <w:semiHidden/>
    <w:rsid w:val="0000509B"/>
    <w:rPr>
      <w:b/>
      <w:bCs/>
      <w:sz w:val="20"/>
      <w:szCs w:val="20"/>
    </w:rPr>
  </w:style>
  <w:style w:type="paragraph" w:styleId="Revision">
    <w:name w:val="Revision"/>
    <w:hidden/>
    <w:uiPriority w:val="99"/>
    <w:semiHidden/>
    <w:rsid w:val="0000509B"/>
    <w:pPr>
      <w:spacing w:after="0" w:line="240" w:lineRule="auto"/>
    </w:pPr>
  </w:style>
  <w:style w:type="paragraph" w:styleId="BalloonText">
    <w:name w:val="Balloon Text"/>
    <w:basedOn w:val="Normal"/>
    <w:link w:val="BalloonTextChar"/>
    <w:uiPriority w:val="99"/>
    <w:semiHidden/>
    <w:unhideWhenUsed/>
    <w:rsid w:val="0000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9B"/>
    <w:rPr>
      <w:rFonts w:ascii="Tahoma" w:hAnsi="Tahoma" w:cs="Tahoma"/>
      <w:sz w:val="16"/>
      <w:szCs w:val="16"/>
    </w:rPr>
  </w:style>
  <w:style w:type="table" w:styleId="TableGrid">
    <w:name w:val="Table Grid"/>
    <w:basedOn w:val="TableNormal"/>
    <w:uiPriority w:val="59"/>
    <w:rsid w:val="00BA0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2E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B2E59"/>
    <w:pPr>
      <w:outlineLvl w:val="9"/>
    </w:pPr>
    <w:rPr>
      <w:lang w:eastAsia="ja-JP"/>
    </w:rPr>
  </w:style>
  <w:style w:type="paragraph" w:styleId="TOC2">
    <w:name w:val="toc 2"/>
    <w:basedOn w:val="Normal"/>
    <w:next w:val="Normal"/>
    <w:autoRedefine/>
    <w:uiPriority w:val="39"/>
    <w:unhideWhenUsed/>
    <w:rsid w:val="007B2E59"/>
    <w:pPr>
      <w:spacing w:after="100"/>
      <w:ind w:left="220"/>
    </w:pPr>
  </w:style>
  <w:style w:type="character" w:styleId="Hyperlink">
    <w:name w:val="Hyperlink"/>
    <w:basedOn w:val="DefaultParagraphFont"/>
    <w:uiPriority w:val="99"/>
    <w:unhideWhenUsed/>
    <w:rsid w:val="007B2E59"/>
    <w:rPr>
      <w:color w:val="0000FF" w:themeColor="hyperlink"/>
      <w:u w:val="single"/>
    </w:rPr>
  </w:style>
  <w:style w:type="paragraph" w:styleId="TOC1">
    <w:name w:val="toc 1"/>
    <w:basedOn w:val="Normal"/>
    <w:next w:val="Normal"/>
    <w:autoRedefine/>
    <w:uiPriority w:val="39"/>
    <w:semiHidden/>
    <w:unhideWhenUsed/>
    <w:rsid w:val="007B2E59"/>
    <w:pPr>
      <w:spacing w:after="100"/>
    </w:pPr>
  </w:style>
</w:styles>
</file>

<file path=word/webSettings.xml><?xml version="1.0" encoding="utf-8"?>
<w:webSettings xmlns:r="http://schemas.openxmlformats.org/officeDocument/2006/relationships" xmlns:w="http://schemas.openxmlformats.org/wordprocessingml/2006/main">
  <w:divs>
    <w:div w:id="20321210">
      <w:bodyDiv w:val="1"/>
      <w:marLeft w:val="0"/>
      <w:marRight w:val="0"/>
      <w:marTop w:val="0"/>
      <w:marBottom w:val="0"/>
      <w:divBdr>
        <w:top w:val="none" w:sz="0" w:space="0" w:color="auto"/>
        <w:left w:val="none" w:sz="0" w:space="0" w:color="auto"/>
        <w:bottom w:val="none" w:sz="0" w:space="0" w:color="auto"/>
        <w:right w:val="none" w:sz="0" w:space="0" w:color="auto"/>
      </w:divBdr>
    </w:div>
    <w:div w:id="26030717">
      <w:bodyDiv w:val="1"/>
      <w:marLeft w:val="0"/>
      <w:marRight w:val="0"/>
      <w:marTop w:val="0"/>
      <w:marBottom w:val="0"/>
      <w:divBdr>
        <w:top w:val="none" w:sz="0" w:space="0" w:color="auto"/>
        <w:left w:val="none" w:sz="0" w:space="0" w:color="auto"/>
        <w:bottom w:val="none" w:sz="0" w:space="0" w:color="auto"/>
        <w:right w:val="none" w:sz="0" w:space="0" w:color="auto"/>
      </w:divBdr>
      <w:divsChild>
        <w:div w:id="810632953">
          <w:marLeft w:val="547"/>
          <w:marRight w:val="0"/>
          <w:marTop w:val="0"/>
          <w:marBottom w:val="0"/>
          <w:divBdr>
            <w:top w:val="none" w:sz="0" w:space="0" w:color="auto"/>
            <w:left w:val="none" w:sz="0" w:space="0" w:color="auto"/>
            <w:bottom w:val="none" w:sz="0" w:space="0" w:color="auto"/>
            <w:right w:val="none" w:sz="0" w:space="0" w:color="auto"/>
          </w:divBdr>
        </w:div>
        <w:div w:id="1692956476">
          <w:marLeft w:val="547"/>
          <w:marRight w:val="0"/>
          <w:marTop w:val="0"/>
          <w:marBottom w:val="0"/>
          <w:divBdr>
            <w:top w:val="none" w:sz="0" w:space="0" w:color="auto"/>
            <w:left w:val="none" w:sz="0" w:space="0" w:color="auto"/>
            <w:bottom w:val="none" w:sz="0" w:space="0" w:color="auto"/>
            <w:right w:val="none" w:sz="0" w:space="0" w:color="auto"/>
          </w:divBdr>
        </w:div>
        <w:div w:id="129136518">
          <w:marLeft w:val="547"/>
          <w:marRight w:val="0"/>
          <w:marTop w:val="0"/>
          <w:marBottom w:val="0"/>
          <w:divBdr>
            <w:top w:val="none" w:sz="0" w:space="0" w:color="auto"/>
            <w:left w:val="none" w:sz="0" w:space="0" w:color="auto"/>
            <w:bottom w:val="none" w:sz="0" w:space="0" w:color="auto"/>
            <w:right w:val="none" w:sz="0" w:space="0" w:color="auto"/>
          </w:divBdr>
        </w:div>
      </w:divsChild>
    </w:div>
    <w:div w:id="40174260">
      <w:bodyDiv w:val="1"/>
      <w:marLeft w:val="0"/>
      <w:marRight w:val="0"/>
      <w:marTop w:val="0"/>
      <w:marBottom w:val="0"/>
      <w:divBdr>
        <w:top w:val="none" w:sz="0" w:space="0" w:color="auto"/>
        <w:left w:val="none" w:sz="0" w:space="0" w:color="auto"/>
        <w:bottom w:val="none" w:sz="0" w:space="0" w:color="auto"/>
        <w:right w:val="none" w:sz="0" w:space="0" w:color="auto"/>
      </w:divBdr>
      <w:divsChild>
        <w:div w:id="1620407818">
          <w:marLeft w:val="806"/>
          <w:marRight w:val="0"/>
          <w:marTop w:val="106"/>
          <w:marBottom w:val="0"/>
          <w:divBdr>
            <w:top w:val="none" w:sz="0" w:space="0" w:color="auto"/>
            <w:left w:val="none" w:sz="0" w:space="0" w:color="auto"/>
            <w:bottom w:val="none" w:sz="0" w:space="0" w:color="auto"/>
            <w:right w:val="none" w:sz="0" w:space="0" w:color="auto"/>
          </w:divBdr>
        </w:div>
        <w:div w:id="566837718">
          <w:marLeft w:val="806"/>
          <w:marRight w:val="0"/>
          <w:marTop w:val="106"/>
          <w:marBottom w:val="0"/>
          <w:divBdr>
            <w:top w:val="none" w:sz="0" w:space="0" w:color="auto"/>
            <w:left w:val="none" w:sz="0" w:space="0" w:color="auto"/>
            <w:bottom w:val="none" w:sz="0" w:space="0" w:color="auto"/>
            <w:right w:val="none" w:sz="0" w:space="0" w:color="auto"/>
          </w:divBdr>
        </w:div>
        <w:div w:id="2116363158">
          <w:marLeft w:val="806"/>
          <w:marRight w:val="0"/>
          <w:marTop w:val="106"/>
          <w:marBottom w:val="0"/>
          <w:divBdr>
            <w:top w:val="none" w:sz="0" w:space="0" w:color="auto"/>
            <w:left w:val="none" w:sz="0" w:space="0" w:color="auto"/>
            <w:bottom w:val="none" w:sz="0" w:space="0" w:color="auto"/>
            <w:right w:val="none" w:sz="0" w:space="0" w:color="auto"/>
          </w:divBdr>
        </w:div>
        <w:div w:id="60181599">
          <w:marLeft w:val="806"/>
          <w:marRight w:val="0"/>
          <w:marTop w:val="106"/>
          <w:marBottom w:val="0"/>
          <w:divBdr>
            <w:top w:val="none" w:sz="0" w:space="0" w:color="auto"/>
            <w:left w:val="none" w:sz="0" w:space="0" w:color="auto"/>
            <w:bottom w:val="none" w:sz="0" w:space="0" w:color="auto"/>
            <w:right w:val="none" w:sz="0" w:space="0" w:color="auto"/>
          </w:divBdr>
        </w:div>
      </w:divsChild>
    </w:div>
    <w:div w:id="47343263">
      <w:bodyDiv w:val="1"/>
      <w:marLeft w:val="0"/>
      <w:marRight w:val="0"/>
      <w:marTop w:val="0"/>
      <w:marBottom w:val="0"/>
      <w:divBdr>
        <w:top w:val="none" w:sz="0" w:space="0" w:color="auto"/>
        <w:left w:val="none" w:sz="0" w:space="0" w:color="auto"/>
        <w:bottom w:val="none" w:sz="0" w:space="0" w:color="auto"/>
        <w:right w:val="none" w:sz="0" w:space="0" w:color="auto"/>
      </w:divBdr>
    </w:div>
    <w:div w:id="48842620">
      <w:bodyDiv w:val="1"/>
      <w:marLeft w:val="0"/>
      <w:marRight w:val="0"/>
      <w:marTop w:val="0"/>
      <w:marBottom w:val="0"/>
      <w:divBdr>
        <w:top w:val="none" w:sz="0" w:space="0" w:color="auto"/>
        <w:left w:val="none" w:sz="0" w:space="0" w:color="auto"/>
        <w:bottom w:val="none" w:sz="0" w:space="0" w:color="auto"/>
        <w:right w:val="none" w:sz="0" w:space="0" w:color="auto"/>
      </w:divBdr>
    </w:div>
    <w:div w:id="136000356">
      <w:bodyDiv w:val="1"/>
      <w:marLeft w:val="0"/>
      <w:marRight w:val="0"/>
      <w:marTop w:val="0"/>
      <w:marBottom w:val="0"/>
      <w:divBdr>
        <w:top w:val="none" w:sz="0" w:space="0" w:color="auto"/>
        <w:left w:val="none" w:sz="0" w:space="0" w:color="auto"/>
        <w:bottom w:val="none" w:sz="0" w:space="0" w:color="auto"/>
        <w:right w:val="none" w:sz="0" w:space="0" w:color="auto"/>
      </w:divBdr>
    </w:div>
    <w:div w:id="187523698">
      <w:bodyDiv w:val="1"/>
      <w:marLeft w:val="0"/>
      <w:marRight w:val="0"/>
      <w:marTop w:val="0"/>
      <w:marBottom w:val="0"/>
      <w:divBdr>
        <w:top w:val="none" w:sz="0" w:space="0" w:color="auto"/>
        <w:left w:val="none" w:sz="0" w:space="0" w:color="auto"/>
        <w:bottom w:val="none" w:sz="0" w:space="0" w:color="auto"/>
        <w:right w:val="none" w:sz="0" w:space="0" w:color="auto"/>
      </w:divBdr>
      <w:divsChild>
        <w:div w:id="578835232">
          <w:marLeft w:val="547"/>
          <w:marRight w:val="0"/>
          <w:marTop w:val="0"/>
          <w:marBottom w:val="0"/>
          <w:divBdr>
            <w:top w:val="none" w:sz="0" w:space="0" w:color="auto"/>
            <w:left w:val="none" w:sz="0" w:space="0" w:color="auto"/>
            <w:bottom w:val="none" w:sz="0" w:space="0" w:color="auto"/>
            <w:right w:val="none" w:sz="0" w:space="0" w:color="auto"/>
          </w:divBdr>
        </w:div>
      </w:divsChild>
    </w:div>
    <w:div w:id="238367322">
      <w:bodyDiv w:val="1"/>
      <w:marLeft w:val="0"/>
      <w:marRight w:val="0"/>
      <w:marTop w:val="0"/>
      <w:marBottom w:val="0"/>
      <w:divBdr>
        <w:top w:val="none" w:sz="0" w:space="0" w:color="auto"/>
        <w:left w:val="none" w:sz="0" w:space="0" w:color="auto"/>
        <w:bottom w:val="none" w:sz="0" w:space="0" w:color="auto"/>
        <w:right w:val="none" w:sz="0" w:space="0" w:color="auto"/>
      </w:divBdr>
      <w:divsChild>
        <w:div w:id="358052128">
          <w:marLeft w:val="547"/>
          <w:marRight w:val="0"/>
          <w:marTop w:val="0"/>
          <w:marBottom w:val="0"/>
          <w:divBdr>
            <w:top w:val="none" w:sz="0" w:space="0" w:color="auto"/>
            <w:left w:val="none" w:sz="0" w:space="0" w:color="auto"/>
            <w:bottom w:val="none" w:sz="0" w:space="0" w:color="auto"/>
            <w:right w:val="none" w:sz="0" w:space="0" w:color="auto"/>
          </w:divBdr>
        </w:div>
      </w:divsChild>
    </w:div>
    <w:div w:id="327294622">
      <w:bodyDiv w:val="1"/>
      <w:marLeft w:val="0"/>
      <w:marRight w:val="0"/>
      <w:marTop w:val="0"/>
      <w:marBottom w:val="0"/>
      <w:divBdr>
        <w:top w:val="none" w:sz="0" w:space="0" w:color="auto"/>
        <w:left w:val="none" w:sz="0" w:space="0" w:color="auto"/>
        <w:bottom w:val="none" w:sz="0" w:space="0" w:color="auto"/>
        <w:right w:val="none" w:sz="0" w:space="0" w:color="auto"/>
      </w:divBdr>
    </w:div>
    <w:div w:id="356396170">
      <w:bodyDiv w:val="1"/>
      <w:marLeft w:val="0"/>
      <w:marRight w:val="0"/>
      <w:marTop w:val="0"/>
      <w:marBottom w:val="0"/>
      <w:divBdr>
        <w:top w:val="none" w:sz="0" w:space="0" w:color="auto"/>
        <w:left w:val="none" w:sz="0" w:space="0" w:color="auto"/>
        <w:bottom w:val="none" w:sz="0" w:space="0" w:color="auto"/>
        <w:right w:val="none" w:sz="0" w:space="0" w:color="auto"/>
      </w:divBdr>
      <w:divsChild>
        <w:div w:id="1101026386">
          <w:marLeft w:val="547"/>
          <w:marRight w:val="0"/>
          <w:marTop w:val="106"/>
          <w:marBottom w:val="0"/>
          <w:divBdr>
            <w:top w:val="none" w:sz="0" w:space="0" w:color="auto"/>
            <w:left w:val="none" w:sz="0" w:space="0" w:color="auto"/>
            <w:bottom w:val="none" w:sz="0" w:space="0" w:color="auto"/>
            <w:right w:val="none" w:sz="0" w:space="0" w:color="auto"/>
          </w:divBdr>
        </w:div>
        <w:div w:id="829295420">
          <w:marLeft w:val="547"/>
          <w:marRight w:val="0"/>
          <w:marTop w:val="106"/>
          <w:marBottom w:val="0"/>
          <w:divBdr>
            <w:top w:val="none" w:sz="0" w:space="0" w:color="auto"/>
            <w:left w:val="none" w:sz="0" w:space="0" w:color="auto"/>
            <w:bottom w:val="none" w:sz="0" w:space="0" w:color="auto"/>
            <w:right w:val="none" w:sz="0" w:space="0" w:color="auto"/>
          </w:divBdr>
        </w:div>
        <w:div w:id="38095519">
          <w:marLeft w:val="547"/>
          <w:marRight w:val="0"/>
          <w:marTop w:val="106"/>
          <w:marBottom w:val="0"/>
          <w:divBdr>
            <w:top w:val="none" w:sz="0" w:space="0" w:color="auto"/>
            <w:left w:val="none" w:sz="0" w:space="0" w:color="auto"/>
            <w:bottom w:val="none" w:sz="0" w:space="0" w:color="auto"/>
            <w:right w:val="none" w:sz="0" w:space="0" w:color="auto"/>
          </w:divBdr>
        </w:div>
        <w:div w:id="236405781">
          <w:marLeft w:val="547"/>
          <w:marRight w:val="0"/>
          <w:marTop w:val="106"/>
          <w:marBottom w:val="0"/>
          <w:divBdr>
            <w:top w:val="none" w:sz="0" w:space="0" w:color="auto"/>
            <w:left w:val="none" w:sz="0" w:space="0" w:color="auto"/>
            <w:bottom w:val="none" w:sz="0" w:space="0" w:color="auto"/>
            <w:right w:val="none" w:sz="0" w:space="0" w:color="auto"/>
          </w:divBdr>
        </w:div>
        <w:div w:id="942802920">
          <w:marLeft w:val="547"/>
          <w:marRight w:val="0"/>
          <w:marTop w:val="106"/>
          <w:marBottom w:val="0"/>
          <w:divBdr>
            <w:top w:val="none" w:sz="0" w:space="0" w:color="auto"/>
            <w:left w:val="none" w:sz="0" w:space="0" w:color="auto"/>
            <w:bottom w:val="none" w:sz="0" w:space="0" w:color="auto"/>
            <w:right w:val="none" w:sz="0" w:space="0" w:color="auto"/>
          </w:divBdr>
        </w:div>
        <w:div w:id="337930354">
          <w:marLeft w:val="547"/>
          <w:marRight w:val="0"/>
          <w:marTop w:val="106"/>
          <w:marBottom w:val="0"/>
          <w:divBdr>
            <w:top w:val="none" w:sz="0" w:space="0" w:color="auto"/>
            <w:left w:val="none" w:sz="0" w:space="0" w:color="auto"/>
            <w:bottom w:val="none" w:sz="0" w:space="0" w:color="auto"/>
            <w:right w:val="none" w:sz="0" w:space="0" w:color="auto"/>
          </w:divBdr>
        </w:div>
      </w:divsChild>
    </w:div>
    <w:div w:id="387650389">
      <w:bodyDiv w:val="1"/>
      <w:marLeft w:val="0"/>
      <w:marRight w:val="0"/>
      <w:marTop w:val="0"/>
      <w:marBottom w:val="0"/>
      <w:divBdr>
        <w:top w:val="none" w:sz="0" w:space="0" w:color="auto"/>
        <w:left w:val="none" w:sz="0" w:space="0" w:color="auto"/>
        <w:bottom w:val="none" w:sz="0" w:space="0" w:color="auto"/>
        <w:right w:val="none" w:sz="0" w:space="0" w:color="auto"/>
      </w:divBdr>
      <w:divsChild>
        <w:div w:id="1983145948">
          <w:marLeft w:val="547"/>
          <w:marRight w:val="0"/>
          <w:marTop w:val="0"/>
          <w:marBottom w:val="0"/>
          <w:divBdr>
            <w:top w:val="none" w:sz="0" w:space="0" w:color="auto"/>
            <w:left w:val="none" w:sz="0" w:space="0" w:color="auto"/>
            <w:bottom w:val="none" w:sz="0" w:space="0" w:color="auto"/>
            <w:right w:val="none" w:sz="0" w:space="0" w:color="auto"/>
          </w:divBdr>
        </w:div>
      </w:divsChild>
    </w:div>
    <w:div w:id="414212018">
      <w:bodyDiv w:val="1"/>
      <w:marLeft w:val="0"/>
      <w:marRight w:val="0"/>
      <w:marTop w:val="0"/>
      <w:marBottom w:val="0"/>
      <w:divBdr>
        <w:top w:val="none" w:sz="0" w:space="0" w:color="auto"/>
        <w:left w:val="none" w:sz="0" w:space="0" w:color="auto"/>
        <w:bottom w:val="none" w:sz="0" w:space="0" w:color="auto"/>
        <w:right w:val="none" w:sz="0" w:space="0" w:color="auto"/>
      </w:divBdr>
      <w:divsChild>
        <w:div w:id="1481533254">
          <w:marLeft w:val="547"/>
          <w:marRight w:val="0"/>
          <w:marTop w:val="0"/>
          <w:marBottom w:val="0"/>
          <w:divBdr>
            <w:top w:val="none" w:sz="0" w:space="0" w:color="auto"/>
            <w:left w:val="none" w:sz="0" w:space="0" w:color="auto"/>
            <w:bottom w:val="none" w:sz="0" w:space="0" w:color="auto"/>
            <w:right w:val="none" w:sz="0" w:space="0" w:color="auto"/>
          </w:divBdr>
        </w:div>
        <w:div w:id="688020650">
          <w:marLeft w:val="547"/>
          <w:marRight w:val="0"/>
          <w:marTop w:val="0"/>
          <w:marBottom w:val="0"/>
          <w:divBdr>
            <w:top w:val="none" w:sz="0" w:space="0" w:color="auto"/>
            <w:left w:val="none" w:sz="0" w:space="0" w:color="auto"/>
            <w:bottom w:val="none" w:sz="0" w:space="0" w:color="auto"/>
            <w:right w:val="none" w:sz="0" w:space="0" w:color="auto"/>
          </w:divBdr>
        </w:div>
      </w:divsChild>
    </w:div>
    <w:div w:id="435175492">
      <w:bodyDiv w:val="1"/>
      <w:marLeft w:val="0"/>
      <w:marRight w:val="0"/>
      <w:marTop w:val="0"/>
      <w:marBottom w:val="0"/>
      <w:divBdr>
        <w:top w:val="none" w:sz="0" w:space="0" w:color="auto"/>
        <w:left w:val="none" w:sz="0" w:space="0" w:color="auto"/>
        <w:bottom w:val="none" w:sz="0" w:space="0" w:color="auto"/>
        <w:right w:val="none" w:sz="0" w:space="0" w:color="auto"/>
      </w:divBdr>
    </w:div>
    <w:div w:id="455567241">
      <w:bodyDiv w:val="1"/>
      <w:marLeft w:val="0"/>
      <w:marRight w:val="0"/>
      <w:marTop w:val="0"/>
      <w:marBottom w:val="0"/>
      <w:divBdr>
        <w:top w:val="none" w:sz="0" w:space="0" w:color="auto"/>
        <w:left w:val="none" w:sz="0" w:space="0" w:color="auto"/>
        <w:bottom w:val="none" w:sz="0" w:space="0" w:color="auto"/>
        <w:right w:val="none" w:sz="0" w:space="0" w:color="auto"/>
      </w:divBdr>
    </w:div>
    <w:div w:id="461193643">
      <w:bodyDiv w:val="1"/>
      <w:marLeft w:val="0"/>
      <w:marRight w:val="0"/>
      <w:marTop w:val="0"/>
      <w:marBottom w:val="0"/>
      <w:divBdr>
        <w:top w:val="none" w:sz="0" w:space="0" w:color="auto"/>
        <w:left w:val="none" w:sz="0" w:space="0" w:color="auto"/>
        <w:bottom w:val="none" w:sz="0" w:space="0" w:color="auto"/>
        <w:right w:val="none" w:sz="0" w:space="0" w:color="auto"/>
      </w:divBdr>
    </w:div>
    <w:div w:id="519783847">
      <w:bodyDiv w:val="1"/>
      <w:marLeft w:val="0"/>
      <w:marRight w:val="0"/>
      <w:marTop w:val="0"/>
      <w:marBottom w:val="0"/>
      <w:divBdr>
        <w:top w:val="none" w:sz="0" w:space="0" w:color="auto"/>
        <w:left w:val="none" w:sz="0" w:space="0" w:color="auto"/>
        <w:bottom w:val="none" w:sz="0" w:space="0" w:color="auto"/>
        <w:right w:val="none" w:sz="0" w:space="0" w:color="auto"/>
      </w:divBdr>
    </w:div>
    <w:div w:id="607544713">
      <w:bodyDiv w:val="1"/>
      <w:marLeft w:val="0"/>
      <w:marRight w:val="0"/>
      <w:marTop w:val="0"/>
      <w:marBottom w:val="0"/>
      <w:divBdr>
        <w:top w:val="none" w:sz="0" w:space="0" w:color="auto"/>
        <w:left w:val="none" w:sz="0" w:space="0" w:color="auto"/>
        <w:bottom w:val="none" w:sz="0" w:space="0" w:color="auto"/>
        <w:right w:val="none" w:sz="0" w:space="0" w:color="auto"/>
      </w:divBdr>
    </w:div>
    <w:div w:id="617373925">
      <w:bodyDiv w:val="1"/>
      <w:marLeft w:val="0"/>
      <w:marRight w:val="0"/>
      <w:marTop w:val="0"/>
      <w:marBottom w:val="0"/>
      <w:divBdr>
        <w:top w:val="none" w:sz="0" w:space="0" w:color="auto"/>
        <w:left w:val="none" w:sz="0" w:space="0" w:color="auto"/>
        <w:bottom w:val="none" w:sz="0" w:space="0" w:color="auto"/>
        <w:right w:val="none" w:sz="0" w:space="0" w:color="auto"/>
      </w:divBdr>
    </w:div>
    <w:div w:id="622270394">
      <w:bodyDiv w:val="1"/>
      <w:marLeft w:val="0"/>
      <w:marRight w:val="0"/>
      <w:marTop w:val="0"/>
      <w:marBottom w:val="0"/>
      <w:divBdr>
        <w:top w:val="none" w:sz="0" w:space="0" w:color="auto"/>
        <w:left w:val="none" w:sz="0" w:space="0" w:color="auto"/>
        <w:bottom w:val="none" w:sz="0" w:space="0" w:color="auto"/>
        <w:right w:val="none" w:sz="0" w:space="0" w:color="auto"/>
      </w:divBdr>
    </w:div>
    <w:div w:id="660697176">
      <w:bodyDiv w:val="1"/>
      <w:marLeft w:val="0"/>
      <w:marRight w:val="0"/>
      <w:marTop w:val="0"/>
      <w:marBottom w:val="0"/>
      <w:divBdr>
        <w:top w:val="none" w:sz="0" w:space="0" w:color="auto"/>
        <w:left w:val="none" w:sz="0" w:space="0" w:color="auto"/>
        <w:bottom w:val="none" w:sz="0" w:space="0" w:color="auto"/>
        <w:right w:val="none" w:sz="0" w:space="0" w:color="auto"/>
      </w:divBdr>
      <w:divsChild>
        <w:div w:id="1955011869">
          <w:marLeft w:val="547"/>
          <w:marRight w:val="0"/>
          <w:marTop w:val="0"/>
          <w:marBottom w:val="0"/>
          <w:divBdr>
            <w:top w:val="none" w:sz="0" w:space="0" w:color="auto"/>
            <w:left w:val="none" w:sz="0" w:space="0" w:color="auto"/>
            <w:bottom w:val="none" w:sz="0" w:space="0" w:color="auto"/>
            <w:right w:val="none" w:sz="0" w:space="0" w:color="auto"/>
          </w:divBdr>
        </w:div>
        <w:div w:id="1116412171">
          <w:marLeft w:val="547"/>
          <w:marRight w:val="0"/>
          <w:marTop w:val="0"/>
          <w:marBottom w:val="0"/>
          <w:divBdr>
            <w:top w:val="none" w:sz="0" w:space="0" w:color="auto"/>
            <w:left w:val="none" w:sz="0" w:space="0" w:color="auto"/>
            <w:bottom w:val="none" w:sz="0" w:space="0" w:color="auto"/>
            <w:right w:val="none" w:sz="0" w:space="0" w:color="auto"/>
          </w:divBdr>
        </w:div>
        <w:div w:id="12810537">
          <w:marLeft w:val="547"/>
          <w:marRight w:val="0"/>
          <w:marTop w:val="0"/>
          <w:marBottom w:val="0"/>
          <w:divBdr>
            <w:top w:val="none" w:sz="0" w:space="0" w:color="auto"/>
            <w:left w:val="none" w:sz="0" w:space="0" w:color="auto"/>
            <w:bottom w:val="none" w:sz="0" w:space="0" w:color="auto"/>
            <w:right w:val="none" w:sz="0" w:space="0" w:color="auto"/>
          </w:divBdr>
        </w:div>
        <w:div w:id="1937710003">
          <w:marLeft w:val="547"/>
          <w:marRight w:val="0"/>
          <w:marTop w:val="0"/>
          <w:marBottom w:val="0"/>
          <w:divBdr>
            <w:top w:val="none" w:sz="0" w:space="0" w:color="auto"/>
            <w:left w:val="none" w:sz="0" w:space="0" w:color="auto"/>
            <w:bottom w:val="none" w:sz="0" w:space="0" w:color="auto"/>
            <w:right w:val="none" w:sz="0" w:space="0" w:color="auto"/>
          </w:divBdr>
        </w:div>
        <w:div w:id="1653218743">
          <w:marLeft w:val="547"/>
          <w:marRight w:val="0"/>
          <w:marTop w:val="0"/>
          <w:marBottom w:val="0"/>
          <w:divBdr>
            <w:top w:val="none" w:sz="0" w:space="0" w:color="auto"/>
            <w:left w:val="none" w:sz="0" w:space="0" w:color="auto"/>
            <w:bottom w:val="none" w:sz="0" w:space="0" w:color="auto"/>
            <w:right w:val="none" w:sz="0" w:space="0" w:color="auto"/>
          </w:divBdr>
        </w:div>
      </w:divsChild>
    </w:div>
    <w:div w:id="689646730">
      <w:bodyDiv w:val="1"/>
      <w:marLeft w:val="0"/>
      <w:marRight w:val="0"/>
      <w:marTop w:val="0"/>
      <w:marBottom w:val="0"/>
      <w:divBdr>
        <w:top w:val="none" w:sz="0" w:space="0" w:color="auto"/>
        <w:left w:val="none" w:sz="0" w:space="0" w:color="auto"/>
        <w:bottom w:val="none" w:sz="0" w:space="0" w:color="auto"/>
        <w:right w:val="none" w:sz="0" w:space="0" w:color="auto"/>
      </w:divBdr>
    </w:div>
    <w:div w:id="704521313">
      <w:bodyDiv w:val="1"/>
      <w:marLeft w:val="0"/>
      <w:marRight w:val="0"/>
      <w:marTop w:val="0"/>
      <w:marBottom w:val="0"/>
      <w:divBdr>
        <w:top w:val="none" w:sz="0" w:space="0" w:color="auto"/>
        <w:left w:val="none" w:sz="0" w:space="0" w:color="auto"/>
        <w:bottom w:val="none" w:sz="0" w:space="0" w:color="auto"/>
        <w:right w:val="none" w:sz="0" w:space="0" w:color="auto"/>
      </w:divBdr>
    </w:div>
    <w:div w:id="843205605">
      <w:bodyDiv w:val="1"/>
      <w:marLeft w:val="0"/>
      <w:marRight w:val="0"/>
      <w:marTop w:val="0"/>
      <w:marBottom w:val="0"/>
      <w:divBdr>
        <w:top w:val="none" w:sz="0" w:space="0" w:color="auto"/>
        <w:left w:val="none" w:sz="0" w:space="0" w:color="auto"/>
        <w:bottom w:val="none" w:sz="0" w:space="0" w:color="auto"/>
        <w:right w:val="none" w:sz="0" w:space="0" w:color="auto"/>
      </w:divBdr>
    </w:div>
    <w:div w:id="859704944">
      <w:bodyDiv w:val="1"/>
      <w:marLeft w:val="0"/>
      <w:marRight w:val="0"/>
      <w:marTop w:val="0"/>
      <w:marBottom w:val="0"/>
      <w:divBdr>
        <w:top w:val="none" w:sz="0" w:space="0" w:color="auto"/>
        <w:left w:val="none" w:sz="0" w:space="0" w:color="auto"/>
        <w:bottom w:val="none" w:sz="0" w:space="0" w:color="auto"/>
        <w:right w:val="none" w:sz="0" w:space="0" w:color="auto"/>
      </w:divBdr>
    </w:div>
    <w:div w:id="861482211">
      <w:bodyDiv w:val="1"/>
      <w:marLeft w:val="0"/>
      <w:marRight w:val="0"/>
      <w:marTop w:val="0"/>
      <w:marBottom w:val="0"/>
      <w:divBdr>
        <w:top w:val="none" w:sz="0" w:space="0" w:color="auto"/>
        <w:left w:val="none" w:sz="0" w:space="0" w:color="auto"/>
        <w:bottom w:val="none" w:sz="0" w:space="0" w:color="auto"/>
        <w:right w:val="none" w:sz="0" w:space="0" w:color="auto"/>
      </w:divBdr>
      <w:divsChild>
        <w:div w:id="1774936949">
          <w:marLeft w:val="720"/>
          <w:marRight w:val="0"/>
          <w:marTop w:val="115"/>
          <w:marBottom w:val="0"/>
          <w:divBdr>
            <w:top w:val="none" w:sz="0" w:space="0" w:color="auto"/>
            <w:left w:val="none" w:sz="0" w:space="0" w:color="auto"/>
            <w:bottom w:val="none" w:sz="0" w:space="0" w:color="auto"/>
            <w:right w:val="none" w:sz="0" w:space="0" w:color="auto"/>
          </w:divBdr>
        </w:div>
        <w:div w:id="1155686886">
          <w:marLeft w:val="720"/>
          <w:marRight w:val="0"/>
          <w:marTop w:val="115"/>
          <w:marBottom w:val="0"/>
          <w:divBdr>
            <w:top w:val="none" w:sz="0" w:space="0" w:color="auto"/>
            <w:left w:val="none" w:sz="0" w:space="0" w:color="auto"/>
            <w:bottom w:val="none" w:sz="0" w:space="0" w:color="auto"/>
            <w:right w:val="none" w:sz="0" w:space="0" w:color="auto"/>
          </w:divBdr>
        </w:div>
        <w:div w:id="46995231">
          <w:marLeft w:val="720"/>
          <w:marRight w:val="0"/>
          <w:marTop w:val="115"/>
          <w:marBottom w:val="0"/>
          <w:divBdr>
            <w:top w:val="none" w:sz="0" w:space="0" w:color="auto"/>
            <w:left w:val="none" w:sz="0" w:space="0" w:color="auto"/>
            <w:bottom w:val="none" w:sz="0" w:space="0" w:color="auto"/>
            <w:right w:val="none" w:sz="0" w:space="0" w:color="auto"/>
          </w:divBdr>
        </w:div>
        <w:div w:id="640765490">
          <w:marLeft w:val="720"/>
          <w:marRight w:val="0"/>
          <w:marTop w:val="115"/>
          <w:marBottom w:val="0"/>
          <w:divBdr>
            <w:top w:val="none" w:sz="0" w:space="0" w:color="auto"/>
            <w:left w:val="none" w:sz="0" w:space="0" w:color="auto"/>
            <w:bottom w:val="none" w:sz="0" w:space="0" w:color="auto"/>
            <w:right w:val="none" w:sz="0" w:space="0" w:color="auto"/>
          </w:divBdr>
        </w:div>
        <w:div w:id="950092579">
          <w:marLeft w:val="720"/>
          <w:marRight w:val="0"/>
          <w:marTop w:val="115"/>
          <w:marBottom w:val="0"/>
          <w:divBdr>
            <w:top w:val="none" w:sz="0" w:space="0" w:color="auto"/>
            <w:left w:val="none" w:sz="0" w:space="0" w:color="auto"/>
            <w:bottom w:val="none" w:sz="0" w:space="0" w:color="auto"/>
            <w:right w:val="none" w:sz="0" w:space="0" w:color="auto"/>
          </w:divBdr>
        </w:div>
      </w:divsChild>
    </w:div>
    <w:div w:id="879631076">
      <w:bodyDiv w:val="1"/>
      <w:marLeft w:val="0"/>
      <w:marRight w:val="0"/>
      <w:marTop w:val="0"/>
      <w:marBottom w:val="0"/>
      <w:divBdr>
        <w:top w:val="none" w:sz="0" w:space="0" w:color="auto"/>
        <w:left w:val="none" w:sz="0" w:space="0" w:color="auto"/>
        <w:bottom w:val="none" w:sz="0" w:space="0" w:color="auto"/>
        <w:right w:val="none" w:sz="0" w:space="0" w:color="auto"/>
      </w:divBdr>
    </w:div>
    <w:div w:id="955720261">
      <w:bodyDiv w:val="1"/>
      <w:marLeft w:val="0"/>
      <w:marRight w:val="0"/>
      <w:marTop w:val="0"/>
      <w:marBottom w:val="0"/>
      <w:divBdr>
        <w:top w:val="none" w:sz="0" w:space="0" w:color="auto"/>
        <w:left w:val="none" w:sz="0" w:space="0" w:color="auto"/>
        <w:bottom w:val="none" w:sz="0" w:space="0" w:color="auto"/>
        <w:right w:val="none" w:sz="0" w:space="0" w:color="auto"/>
      </w:divBdr>
    </w:div>
    <w:div w:id="974336728">
      <w:bodyDiv w:val="1"/>
      <w:marLeft w:val="0"/>
      <w:marRight w:val="0"/>
      <w:marTop w:val="0"/>
      <w:marBottom w:val="0"/>
      <w:divBdr>
        <w:top w:val="none" w:sz="0" w:space="0" w:color="auto"/>
        <w:left w:val="none" w:sz="0" w:space="0" w:color="auto"/>
        <w:bottom w:val="none" w:sz="0" w:space="0" w:color="auto"/>
        <w:right w:val="none" w:sz="0" w:space="0" w:color="auto"/>
      </w:divBdr>
    </w:div>
    <w:div w:id="974603370">
      <w:bodyDiv w:val="1"/>
      <w:marLeft w:val="0"/>
      <w:marRight w:val="0"/>
      <w:marTop w:val="0"/>
      <w:marBottom w:val="0"/>
      <w:divBdr>
        <w:top w:val="none" w:sz="0" w:space="0" w:color="auto"/>
        <w:left w:val="none" w:sz="0" w:space="0" w:color="auto"/>
        <w:bottom w:val="none" w:sz="0" w:space="0" w:color="auto"/>
        <w:right w:val="none" w:sz="0" w:space="0" w:color="auto"/>
      </w:divBdr>
      <w:divsChild>
        <w:div w:id="2136026473">
          <w:marLeft w:val="547"/>
          <w:marRight w:val="0"/>
          <w:marTop w:val="0"/>
          <w:marBottom w:val="0"/>
          <w:divBdr>
            <w:top w:val="none" w:sz="0" w:space="0" w:color="auto"/>
            <w:left w:val="none" w:sz="0" w:space="0" w:color="auto"/>
            <w:bottom w:val="none" w:sz="0" w:space="0" w:color="auto"/>
            <w:right w:val="none" w:sz="0" w:space="0" w:color="auto"/>
          </w:divBdr>
        </w:div>
      </w:divsChild>
    </w:div>
    <w:div w:id="1049456358">
      <w:bodyDiv w:val="1"/>
      <w:marLeft w:val="0"/>
      <w:marRight w:val="0"/>
      <w:marTop w:val="0"/>
      <w:marBottom w:val="0"/>
      <w:divBdr>
        <w:top w:val="none" w:sz="0" w:space="0" w:color="auto"/>
        <w:left w:val="none" w:sz="0" w:space="0" w:color="auto"/>
        <w:bottom w:val="none" w:sz="0" w:space="0" w:color="auto"/>
        <w:right w:val="none" w:sz="0" w:space="0" w:color="auto"/>
      </w:divBdr>
    </w:div>
    <w:div w:id="1064640094">
      <w:bodyDiv w:val="1"/>
      <w:marLeft w:val="0"/>
      <w:marRight w:val="0"/>
      <w:marTop w:val="0"/>
      <w:marBottom w:val="0"/>
      <w:divBdr>
        <w:top w:val="none" w:sz="0" w:space="0" w:color="auto"/>
        <w:left w:val="none" w:sz="0" w:space="0" w:color="auto"/>
        <w:bottom w:val="none" w:sz="0" w:space="0" w:color="auto"/>
        <w:right w:val="none" w:sz="0" w:space="0" w:color="auto"/>
      </w:divBdr>
      <w:divsChild>
        <w:div w:id="849291849">
          <w:marLeft w:val="547"/>
          <w:marRight w:val="0"/>
          <w:marTop w:val="0"/>
          <w:marBottom w:val="0"/>
          <w:divBdr>
            <w:top w:val="none" w:sz="0" w:space="0" w:color="auto"/>
            <w:left w:val="none" w:sz="0" w:space="0" w:color="auto"/>
            <w:bottom w:val="none" w:sz="0" w:space="0" w:color="auto"/>
            <w:right w:val="none" w:sz="0" w:space="0" w:color="auto"/>
          </w:divBdr>
        </w:div>
      </w:divsChild>
    </w:div>
    <w:div w:id="1075859850">
      <w:bodyDiv w:val="1"/>
      <w:marLeft w:val="0"/>
      <w:marRight w:val="0"/>
      <w:marTop w:val="0"/>
      <w:marBottom w:val="0"/>
      <w:divBdr>
        <w:top w:val="none" w:sz="0" w:space="0" w:color="auto"/>
        <w:left w:val="none" w:sz="0" w:space="0" w:color="auto"/>
        <w:bottom w:val="none" w:sz="0" w:space="0" w:color="auto"/>
        <w:right w:val="none" w:sz="0" w:space="0" w:color="auto"/>
      </w:divBdr>
    </w:div>
    <w:div w:id="1135224417">
      <w:bodyDiv w:val="1"/>
      <w:marLeft w:val="0"/>
      <w:marRight w:val="0"/>
      <w:marTop w:val="0"/>
      <w:marBottom w:val="0"/>
      <w:divBdr>
        <w:top w:val="none" w:sz="0" w:space="0" w:color="auto"/>
        <w:left w:val="none" w:sz="0" w:space="0" w:color="auto"/>
        <w:bottom w:val="none" w:sz="0" w:space="0" w:color="auto"/>
        <w:right w:val="none" w:sz="0" w:space="0" w:color="auto"/>
      </w:divBdr>
      <w:divsChild>
        <w:div w:id="1212420912">
          <w:marLeft w:val="547"/>
          <w:marRight w:val="0"/>
          <w:marTop w:val="0"/>
          <w:marBottom w:val="0"/>
          <w:divBdr>
            <w:top w:val="none" w:sz="0" w:space="0" w:color="auto"/>
            <w:left w:val="none" w:sz="0" w:space="0" w:color="auto"/>
            <w:bottom w:val="none" w:sz="0" w:space="0" w:color="auto"/>
            <w:right w:val="none" w:sz="0" w:space="0" w:color="auto"/>
          </w:divBdr>
        </w:div>
        <w:div w:id="1009672121">
          <w:marLeft w:val="547"/>
          <w:marRight w:val="0"/>
          <w:marTop w:val="0"/>
          <w:marBottom w:val="0"/>
          <w:divBdr>
            <w:top w:val="none" w:sz="0" w:space="0" w:color="auto"/>
            <w:left w:val="none" w:sz="0" w:space="0" w:color="auto"/>
            <w:bottom w:val="none" w:sz="0" w:space="0" w:color="auto"/>
            <w:right w:val="none" w:sz="0" w:space="0" w:color="auto"/>
          </w:divBdr>
        </w:div>
        <w:div w:id="68504416">
          <w:marLeft w:val="547"/>
          <w:marRight w:val="0"/>
          <w:marTop w:val="0"/>
          <w:marBottom w:val="0"/>
          <w:divBdr>
            <w:top w:val="none" w:sz="0" w:space="0" w:color="auto"/>
            <w:left w:val="none" w:sz="0" w:space="0" w:color="auto"/>
            <w:bottom w:val="none" w:sz="0" w:space="0" w:color="auto"/>
            <w:right w:val="none" w:sz="0" w:space="0" w:color="auto"/>
          </w:divBdr>
        </w:div>
      </w:divsChild>
    </w:div>
    <w:div w:id="1138717652">
      <w:bodyDiv w:val="1"/>
      <w:marLeft w:val="0"/>
      <w:marRight w:val="0"/>
      <w:marTop w:val="0"/>
      <w:marBottom w:val="0"/>
      <w:divBdr>
        <w:top w:val="none" w:sz="0" w:space="0" w:color="auto"/>
        <w:left w:val="none" w:sz="0" w:space="0" w:color="auto"/>
        <w:bottom w:val="none" w:sz="0" w:space="0" w:color="auto"/>
        <w:right w:val="none" w:sz="0" w:space="0" w:color="auto"/>
      </w:divBdr>
      <w:divsChild>
        <w:div w:id="1841311477">
          <w:marLeft w:val="547"/>
          <w:marRight w:val="0"/>
          <w:marTop w:val="0"/>
          <w:marBottom w:val="0"/>
          <w:divBdr>
            <w:top w:val="none" w:sz="0" w:space="0" w:color="auto"/>
            <w:left w:val="none" w:sz="0" w:space="0" w:color="auto"/>
            <w:bottom w:val="none" w:sz="0" w:space="0" w:color="auto"/>
            <w:right w:val="none" w:sz="0" w:space="0" w:color="auto"/>
          </w:divBdr>
        </w:div>
        <w:div w:id="1908957636">
          <w:marLeft w:val="547"/>
          <w:marRight w:val="0"/>
          <w:marTop w:val="0"/>
          <w:marBottom w:val="0"/>
          <w:divBdr>
            <w:top w:val="none" w:sz="0" w:space="0" w:color="auto"/>
            <w:left w:val="none" w:sz="0" w:space="0" w:color="auto"/>
            <w:bottom w:val="none" w:sz="0" w:space="0" w:color="auto"/>
            <w:right w:val="none" w:sz="0" w:space="0" w:color="auto"/>
          </w:divBdr>
        </w:div>
      </w:divsChild>
    </w:div>
    <w:div w:id="1171793931">
      <w:bodyDiv w:val="1"/>
      <w:marLeft w:val="0"/>
      <w:marRight w:val="0"/>
      <w:marTop w:val="0"/>
      <w:marBottom w:val="0"/>
      <w:divBdr>
        <w:top w:val="none" w:sz="0" w:space="0" w:color="auto"/>
        <w:left w:val="none" w:sz="0" w:space="0" w:color="auto"/>
        <w:bottom w:val="none" w:sz="0" w:space="0" w:color="auto"/>
        <w:right w:val="none" w:sz="0" w:space="0" w:color="auto"/>
      </w:divBdr>
      <w:divsChild>
        <w:div w:id="250697123">
          <w:marLeft w:val="806"/>
          <w:marRight w:val="0"/>
          <w:marTop w:val="106"/>
          <w:marBottom w:val="0"/>
          <w:divBdr>
            <w:top w:val="none" w:sz="0" w:space="0" w:color="auto"/>
            <w:left w:val="none" w:sz="0" w:space="0" w:color="auto"/>
            <w:bottom w:val="none" w:sz="0" w:space="0" w:color="auto"/>
            <w:right w:val="none" w:sz="0" w:space="0" w:color="auto"/>
          </w:divBdr>
        </w:div>
        <w:div w:id="81416863">
          <w:marLeft w:val="806"/>
          <w:marRight w:val="0"/>
          <w:marTop w:val="106"/>
          <w:marBottom w:val="0"/>
          <w:divBdr>
            <w:top w:val="none" w:sz="0" w:space="0" w:color="auto"/>
            <w:left w:val="none" w:sz="0" w:space="0" w:color="auto"/>
            <w:bottom w:val="none" w:sz="0" w:space="0" w:color="auto"/>
            <w:right w:val="none" w:sz="0" w:space="0" w:color="auto"/>
          </w:divBdr>
        </w:div>
        <w:div w:id="2072851762">
          <w:marLeft w:val="806"/>
          <w:marRight w:val="0"/>
          <w:marTop w:val="106"/>
          <w:marBottom w:val="0"/>
          <w:divBdr>
            <w:top w:val="none" w:sz="0" w:space="0" w:color="auto"/>
            <w:left w:val="none" w:sz="0" w:space="0" w:color="auto"/>
            <w:bottom w:val="none" w:sz="0" w:space="0" w:color="auto"/>
            <w:right w:val="none" w:sz="0" w:space="0" w:color="auto"/>
          </w:divBdr>
        </w:div>
        <w:div w:id="1224486255">
          <w:marLeft w:val="806"/>
          <w:marRight w:val="0"/>
          <w:marTop w:val="106"/>
          <w:marBottom w:val="0"/>
          <w:divBdr>
            <w:top w:val="none" w:sz="0" w:space="0" w:color="auto"/>
            <w:left w:val="none" w:sz="0" w:space="0" w:color="auto"/>
            <w:bottom w:val="none" w:sz="0" w:space="0" w:color="auto"/>
            <w:right w:val="none" w:sz="0" w:space="0" w:color="auto"/>
          </w:divBdr>
        </w:div>
        <w:div w:id="1384524151">
          <w:marLeft w:val="806"/>
          <w:marRight w:val="0"/>
          <w:marTop w:val="106"/>
          <w:marBottom w:val="0"/>
          <w:divBdr>
            <w:top w:val="none" w:sz="0" w:space="0" w:color="auto"/>
            <w:left w:val="none" w:sz="0" w:space="0" w:color="auto"/>
            <w:bottom w:val="none" w:sz="0" w:space="0" w:color="auto"/>
            <w:right w:val="none" w:sz="0" w:space="0" w:color="auto"/>
          </w:divBdr>
        </w:div>
      </w:divsChild>
    </w:div>
    <w:div w:id="1188064116">
      <w:bodyDiv w:val="1"/>
      <w:marLeft w:val="0"/>
      <w:marRight w:val="0"/>
      <w:marTop w:val="0"/>
      <w:marBottom w:val="0"/>
      <w:divBdr>
        <w:top w:val="none" w:sz="0" w:space="0" w:color="auto"/>
        <w:left w:val="none" w:sz="0" w:space="0" w:color="auto"/>
        <w:bottom w:val="none" w:sz="0" w:space="0" w:color="auto"/>
        <w:right w:val="none" w:sz="0" w:space="0" w:color="auto"/>
      </w:divBdr>
    </w:div>
    <w:div w:id="1231424332">
      <w:bodyDiv w:val="1"/>
      <w:marLeft w:val="0"/>
      <w:marRight w:val="0"/>
      <w:marTop w:val="0"/>
      <w:marBottom w:val="0"/>
      <w:divBdr>
        <w:top w:val="none" w:sz="0" w:space="0" w:color="auto"/>
        <w:left w:val="none" w:sz="0" w:space="0" w:color="auto"/>
        <w:bottom w:val="none" w:sz="0" w:space="0" w:color="auto"/>
        <w:right w:val="none" w:sz="0" w:space="0" w:color="auto"/>
      </w:divBdr>
    </w:div>
    <w:div w:id="1233465490">
      <w:bodyDiv w:val="1"/>
      <w:marLeft w:val="0"/>
      <w:marRight w:val="0"/>
      <w:marTop w:val="0"/>
      <w:marBottom w:val="0"/>
      <w:divBdr>
        <w:top w:val="none" w:sz="0" w:space="0" w:color="auto"/>
        <w:left w:val="none" w:sz="0" w:space="0" w:color="auto"/>
        <w:bottom w:val="none" w:sz="0" w:space="0" w:color="auto"/>
        <w:right w:val="none" w:sz="0" w:space="0" w:color="auto"/>
      </w:divBdr>
    </w:div>
    <w:div w:id="1267537100">
      <w:bodyDiv w:val="1"/>
      <w:marLeft w:val="0"/>
      <w:marRight w:val="0"/>
      <w:marTop w:val="0"/>
      <w:marBottom w:val="0"/>
      <w:divBdr>
        <w:top w:val="none" w:sz="0" w:space="0" w:color="auto"/>
        <w:left w:val="none" w:sz="0" w:space="0" w:color="auto"/>
        <w:bottom w:val="none" w:sz="0" w:space="0" w:color="auto"/>
        <w:right w:val="none" w:sz="0" w:space="0" w:color="auto"/>
      </w:divBdr>
      <w:divsChild>
        <w:div w:id="994726349">
          <w:marLeft w:val="547"/>
          <w:marRight w:val="0"/>
          <w:marTop w:val="0"/>
          <w:marBottom w:val="0"/>
          <w:divBdr>
            <w:top w:val="none" w:sz="0" w:space="0" w:color="auto"/>
            <w:left w:val="none" w:sz="0" w:space="0" w:color="auto"/>
            <w:bottom w:val="none" w:sz="0" w:space="0" w:color="auto"/>
            <w:right w:val="none" w:sz="0" w:space="0" w:color="auto"/>
          </w:divBdr>
        </w:div>
      </w:divsChild>
    </w:div>
    <w:div w:id="1287152586">
      <w:bodyDiv w:val="1"/>
      <w:marLeft w:val="0"/>
      <w:marRight w:val="0"/>
      <w:marTop w:val="0"/>
      <w:marBottom w:val="0"/>
      <w:divBdr>
        <w:top w:val="none" w:sz="0" w:space="0" w:color="auto"/>
        <w:left w:val="none" w:sz="0" w:space="0" w:color="auto"/>
        <w:bottom w:val="none" w:sz="0" w:space="0" w:color="auto"/>
        <w:right w:val="none" w:sz="0" w:space="0" w:color="auto"/>
      </w:divBdr>
      <w:divsChild>
        <w:div w:id="1211958091">
          <w:marLeft w:val="547"/>
          <w:marRight w:val="0"/>
          <w:marTop w:val="0"/>
          <w:marBottom w:val="0"/>
          <w:divBdr>
            <w:top w:val="none" w:sz="0" w:space="0" w:color="auto"/>
            <w:left w:val="none" w:sz="0" w:space="0" w:color="auto"/>
            <w:bottom w:val="none" w:sz="0" w:space="0" w:color="auto"/>
            <w:right w:val="none" w:sz="0" w:space="0" w:color="auto"/>
          </w:divBdr>
        </w:div>
        <w:div w:id="2140486391">
          <w:marLeft w:val="547"/>
          <w:marRight w:val="0"/>
          <w:marTop w:val="0"/>
          <w:marBottom w:val="0"/>
          <w:divBdr>
            <w:top w:val="none" w:sz="0" w:space="0" w:color="auto"/>
            <w:left w:val="none" w:sz="0" w:space="0" w:color="auto"/>
            <w:bottom w:val="none" w:sz="0" w:space="0" w:color="auto"/>
            <w:right w:val="none" w:sz="0" w:space="0" w:color="auto"/>
          </w:divBdr>
        </w:div>
        <w:div w:id="1439830783">
          <w:marLeft w:val="547"/>
          <w:marRight w:val="0"/>
          <w:marTop w:val="0"/>
          <w:marBottom w:val="0"/>
          <w:divBdr>
            <w:top w:val="none" w:sz="0" w:space="0" w:color="auto"/>
            <w:left w:val="none" w:sz="0" w:space="0" w:color="auto"/>
            <w:bottom w:val="none" w:sz="0" w:space="0" w:color="auto"/>
            <w:right w:val="none" w:sz="0" w:space="0" w:color="auto"/>
          </w:divBdr>
        </w:div>
      </w:divsChild>
    </w:div>
    <w:div w:id="1288780618">
      <w:bodyDiv w:val="1"/>
      <w:marLeft w:val="0"/>
      <w:marRight w:val="0"/>
      <w:marTop w:val="0"/>
      <w:marBottom w:val="0"/>
      <w:divBdr>
        <w:top w:val="none" w:sz="0" w:space="0" w:color="auto"/>
        <w:left w:val="none" w:sz="0" w:space="0" w:color="auto"/>
        <w:bottom w:val="none" w:sz="0" w:space="0" w:color="auto"/>
        <w:right w:val="none" w:sz="0" w:space="0" w:color="auto"/>
      </w:divBdr>
    </w:div>
    <w:div w:id="1299917962">
      <w:bodyDiv w:val="1"/>
      <w:marLeft w:val="0"/>
      <w:marRight w:val="0"/>
      <w:marTop w:val="0"/>
      <w:marBottom w:val="0"/>
      <w:divBdr>
        <w:top w:val="none" w:sz="0" w:space="0" w:color="auto"/>
        <w:left w:val="none" w:sz="0" w:space="0" w:color="auto"/>
        <w:bottom w:val="none" w:sz="0" w:space="0" w:color="auto"/>
        <w:right w:val="none" w:sz="0" w:space="0" w:color="auto"/>
      </w:divBdr>
    </w:div>
    <w:div w:id="1306205390">
      <w:bodyDiv w:val="1"/>
      <w:marLeft w:val="0"/>
      <w:marRight w:val="0"/>
      <w:marTop w:val="0"/>
      <w:marBottom w:val="0"/>
      <w:divBdr>
        <w:top w:val="none" w:sz="0" w:space="0" w:color="auto"/>
        <w:left w:val="none" w:sz="0" w:space="0" w:color="auto"/>
        <w:bottom w:val="none" w:sz="0" w:space="0" w:color="auto"/>
        <w:right w:val="none" w:sz="0" w:space="0" w:color="auto"/>
      </w:divBdr>
    </w:div>
    <w:div w:id="1321889790">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484542847">
      <w:bodyDiv w:val="1"/>
      <w:marLeft w:val="0"/>
      <w:marRight w:val="0"/>
      <w:marTop w:val="0"/>
      <w:marBottom w:val="0"/>
      <w:divBdr>
        <w:top w:val="none" w:sz="0" w:space="0" w:color="auto"/>
        <w:left w:val="none" w:sz="0" w:space="0" w:color="auto"/>
        <w:bottom w:val="none" w:sz="0" w:space="0" w:color="auto"/>
        <w:right w:val="none" w:sz="0" w:space="0" w:color="auto"/>
      </w:divBdr>
    </w:div>
    <w:div w:id="1486580069">
      <w:bodyDiv w:val="1"/>
      <w:marLeft w:val="0"/>
      <w:marRight w:val="0"/>
      <w:marTop w:val="0"/>
      <w:marBottom w:val="0"/>
      <w:divBdr>
        <w:top w:val="none" w:sz="0" w:space="0" w:color="auto"/>
        <w:left w:val="none" w:sz="0" w:space="0" w:color="auto"/>
        <w:bottom w:val="none" w:sz="0" w:space="0" w:color="auto"/>
        <w:right w:val="none" w:sz="0" w:space="0" w:color="auto"/>
      </w:divBdr>
      <w:divsChild>
        <w:div w:id="310908674">
          <w:marLeft w:val="547"/>
          <w:marRight w:val="0"/>
          <w:marTop w:val="0"/>
          <w:marBottom w:val="0"/>
          <w:divBdr>
            <w:top w:val="none" w:sz="0" w:space="0" w:color="auto"/>
            <w:left w:val="none" w:sz="0" w:space="0" w:color="auto"/>
            <w:bottom w:val="none" w:sz="0" w:space="0" w:color="auto"/>
            <w:right w:val="none" w:sz="0" w:space="0" w:color="auto"/>
          </w:divBdr>
        </w:div>
        <w:div w:id="33625422">
          <w:marLeft w:val="547"/>
          <w:marRight w:val="0"/>
          <w:marTop w:val="0"/>
          <w:marBottom w:val="0"/>
          <w:divBdr>
            <w:top w:val="none" w:sz="0" w:space="0" w:color="auto"/>
            <w:left w:val="none" w:sz="0" w:space="0" w:color="auto"/>
            <w:bottom w:val="none" w:sz="0" w:space="0" w:color="auto"/>
            <w:right w:val="none" w:sz="0" w:space="0" w:color="auto"/>
          </w:divBdr>
        </w:div>
      </w:divsChild>
    </w:div>
    <w:div w:id="1517040028">
      <w:bodyDiv w:val="1"/>
      <w:marLeft w:val="0"/>
      <w:marRight w:val="0"/>
      <w:marTop w:val="0"/>
      <w:marBottom w:val="0"/>
      <w:divBdr>
        <w:top w:val="none" w:sz="0" w:space="0" w:color="auto"/>
        <w:left w:val="none" w:sz="0" w:space="0" w:color="auto"/>
        <w:bottom w:val="none" w:sz="0" w:space="0" w:color="auto"/>
        <w:right w:val="none" w:sz="0" w:space="0" w:color="auto"/>
      </w:divBdr>
      <w:divsChild>
        <w:div w:id="365984636">
          <w:marLeft w:val="360"/>
          <w:marRight w:val="0"/>
          <w:marTop w:val="115"/>
          <w:marBottom w:val="0"/>
          <w:divBdr>
            <w:top w:val="none" w:sz="0" w:space="0" w:color="auto"/>
            <w:left w:val="none" w:sz="0" w:space="0" w:color="auto"/>
            <w:bottom w:val="none" w:sz="0" w:space="0" w:color="auto"/>
            <w:right w:val="none" w:sz="0" w:space="0" w:color="auto"/>
          </w:divBdr>
        </w:div>
        <w:div w:id="355808874">
          <w:marLeft w:val="360"/>
          <w:marRight w:val="0"/>
          <w:marTop w:val="115"/>
          <w:marBottom w:val="0"/>
          <w:divBdr>
            <w:top w:val="none" w:sz="0" w:space="0" w:color="auto"/>
            <w:left w:val="none" w:sz="0" w:space="0" w:color="auto"/>
            <w:bottom w:val="none" w:sz="0" w:space="0" w:color="auto"/>
            <w:right w:val="none" w:sz="0" w:space="0" w:color="auto"/>
          </w:divBdr>
        </w:div>
        <w:div w:id="1836334697">
          <w:marLeft w:val="360"/>
          <w:marRight w:val="0"/>
          <w:marTop w:val="115"/>
          <w:marBottom w:val="0"/>
          <w:divBdr>
            <w:top w:val="none" w:sz="0" w:space="0" w:color="auto"/>
            <w:left w:val="none" w:sz="0" w:space="0" w:color="auto"/>
            <w:bottom w:val="none" w:sz="0" w:space="0" w:color="auto"/>
            <w:right w:val="none" w:sz="0" w:space="0" w:color="auto"/>
          </w:divBdr>
        </w:div>
      </w:divsChild>
    </w:div>
    <w:div w:id="1533224077">
      <w:bodyDiv w:val="1"/>
      <w:marLeft w:val="0"/>
      <w:marRight w:val="0"/>
      <w:marTop w:val="0"/>
      <w:marBottom w:val="0"/>
      <w:divBdr>
        <w:top w:val="none" w:sz="0" w:space="0" w:color="auto"/>
        <w:left w:val="none" w:sz="0" w:space="0" w:color="auto"/>
        <w:bottom w:val="none" w:sz="0" w:space="0" w:color="auto"/>
        <w:right w:val="none" w:sz="0" w:space="0" w:color="auto"/>
      </w:divBdr>
      <w:divsChild>
        <w:div w:id="968589156">
          <w:marLeft w:val="547"/>
          <w:marRight w:val="0"/>
          <w:marTop w:val="0"/>
          <w:marBottom w:val="0"/>
          <w:divBdr>
            <w:top w:val="none" w:sz="0" w:space="0" w:color="auto"/>
            <w:left w:val="none" w:sz="0" w:space="0" w:color="auto"/>
            <w:bottom w:val="none" w:sz="0" w:space="0" w:color="auto"/>
            <w:right w:val="none" w:sz="0" w:space="0" w:color="auto"/>
          </w:divBdr>
        </w:div>
      </w:divsChild>
    </w:div>
    <w:div w:id="1536384871">
      <w:bodyDiv w:val="1"/>
      <w:marLeft w:val="0"/>
      <w:marRight w:val="0"/>
      <w:marTop w:val="0"/>
      <w:marBottom w:val="0"/>
      <w:divBdr>
        <w:top w:val="none" w:sz="0" w:space="0" w:color="auto"/>
        <w:left w:val="none" w:sz="0" w:space="0" w:color="auto"/>
        <w:bottom w:val="none" w:sz="0" w:space="0" w:color="auto"/>
        <w:right w:val="none" w:sz="0" w:space="0" w:color="auto"/>
      </w:divBdr>
    </w:div>
    <w:div w:id="1558278138">
      <w:bodyDiv w:val="1"/>
      <w:marLeft w:val="0"/>
      <w:marRight w:val="0"/>
      <w:marTop w:val="0"/>
      <w:marBottom w:val="0"/>
      <w:divBdr>
        <w:top w:val="none" w:sz="0" w:space="0" w:color="auto"/>
        <w:left w:val="none" w:sz="0" w:space="0" w:color="auto"/>
        <w:bottom w:val="none" w:sz="0" w:space="0" w:color="auto"/>
        <w:right w:val="none" w:sz="0" w:space="0" w:color="auto"/>
      </w:divBdr>
    </w:div>
    <w:div w:id="1560901048">
      <w:bodyDiv w:val="1"/>
      <w:marLeft w:val="0"/>
      <w:marRight w:val="0"/>
      <w:marTop w:val="0"/>
      <w:marBottom w:val="0"/>
      <w:divBdr>
        <w:top w:val="none" w:sz="0" w:space="0" w:color="auto"/>
        <w:left w:val="none" w:sz="0" w:space="0" w:color="auto"/>
        <w:bottom w:val="none" w:sz="0" w:space="0" w:color="auto"/>
        <w:right w:val="none" w:sz="0" w:space="0" w:color="auto"/>
      </w:divBdr>
    </w:div>
    <w:div w:id="1570651211">
      <w:bodyDiv w:val="1"/>
      <w:marLeft w:val="0"/>
      <w:marRight w:val="0"/>
      <w:marTop w:val="0"/>
      <w:marBottom w:val="0"/>
      <w:divBdr>
        <w:top w:val="none" w:sz="0" w:space="0" w:color="auto"/>
        <w:left w:val="none" w:sz="0" w:space="0" w:color="auto"/>
        <w:bottom w:val="none" w:sz="0" w:space="0" w:color="auto"/>
        <w:right w:val="none" w:sz="0" w:space="0" w:color="auto"/>
      </w:divBdr>
    </w:div>
    <w:div w:id="1573465160">
      <w:bodyDiv w:val="1"/>
      <w:marLeft w:val="0"/>
      <w:marRight w:val="0"/>
      <w:marTop w:val="0"/>
      <w:marBottom w:val="0"/>
      <w:divBdr>
        <w:top w:val="none" w:sz="0" w:space="0" w:color="auto"/>
        <w:left w:val="none" w:sz="0" w:space="0" w:color="auto"/>
        <w:bottom w:val="none" w:sz="0" w:space="0" w:color="auto"/>
        <w:right w:val="none" w:sz="0" w:space="0" w:color="auto"/>
      </w:divBdr>
    </w:div>
    <w:div w:id="1586038360">
      <w:bodyDiv w:val="1"/>
      <w:marLeft w:val="0"/>
      <w:marRight w:val="0"/>
      <w:marTop w:val="0"/>
      <w:marBottom w:val="0"/>
      <w:divBdr>
        <w:top w:val="none" w:sz="0" w:space="0" w:color="auto"/>
        <w:left w:val="none" w:sz="0" w:space="0" w:color="auto"/>
        <w:bottom w:val="none" w:sz="0" w:space="0" w:color="auto"/>
        <w:right w:val="none" w:sz="0" w:space="0" w:color="auto"/>
      </w:divBdr>
    </w:div>
    <w:div w:id="1594120445">
      <w:bodyDiv w:val="1"/>
      <w:marLeft w:val="0"/>
      <w:marRight w:val="0"/>
      <w:marTop w:val="0"/>
      <w:marBottom w:val="0"/>
      <w:divBdr>
        <w:top w:val="none" w:sz="0" w:space="0" w:color="auto"/>
        <w:left w:val="none" w:sz="0" w:space="0" w:color="auto"/>
        <w:bottom w:val="none" w:sz="0" w:space="0" w:color="auto"/>
        <w:right w:val="none" w:sz="0" w:space="0" w:color="auto"/>
      </w:divBdr>
    </w:div>
    <w:div w:id="1600677055">
      <w:bodyDiv w:val="1"/>
      <w:marLeft w:val="0"/>
      <w:marRight w:val="0"/>
      <w:marTop w:val="0"/>
      <w:marBottom w:val="0"/>
      <w:divBdr>
        <w:top w:val="none" w:sz="0" w:space="0" w:color="auto"/>
        <w:left w:val="none" w:sz="0" w:space="0" w:color="auto"/>
        <w:bottom w:val="none" w:sz="0" w:space="0" w:color="auto"/>
        <w:right w:val="none" w:sz="0" w:space="0" w:color="auto"/>
      </w:divBdr>
    </w:div>
    <w:div w:id="1681465593">
      <w:bodyDiv w:val="1"/>
      <w:marLeft w:val="0"/>
      <w:marRight w:val="0"/>
      <w:marTop w:val="0"/>
      <w:marBottom w:val="0"/>
      <w:divBdr>
        <w:top w:val="none" w:sz="0" w:space="0" w:color="auto"/>
        <w:left w:val="none" w:sz="0" w:space="0" w:color="auto"/>
        <w:bottom w:val="none" w:sz="0" w:space="0" w:color="auto"/>
        <w:right w:val="none" w:sz="0" w:space="0" w:color="auto"/>
      </w:divBdr>
    </w:div>
    <w:div w:id="1691565141">
      <w:bodyDiv w:val="1"/>
      <w:marLeft w:val="0"/>
      <w:marRight w:val="0"/>
      <w:marTop w:val="0"/>
      <w:marBottom w:val="0"/>
      <w:divBdr>
        <w:top w:val="none" w:sz="0" w:space="0" w:color="auto"/>
        <w:left w:val="none" w:sz="0" w:space="0" w:color="auto"/>
        <w:bottom w:val="none" w:sz="0" w:space="0" w:color="auto"/>
        <w:right w:val="none" w:sz="0" w:space="0" w:color="auto"/>
      </w:divBdr>
      <w:divsChild>
        <w:div w:id="803473251">
          <w:marLeft w:val="547"/>
          <w:marRight w:val="0"/>
          <w:marTop w:val="0"/>
          <w:marBottom w:val="0"/>
          <w:divBdr>
            <w:top w:val="none" w:sz="0" w:space="0" w:color="auto"/>
            <w:left w:val="none" w:sz="0" w:space="0" w:color="auto"/>
            <w:bottom w:val="none" w:sz="0" w:space="0" w:color="auto"/>
            <w:right w:val="none" w:sz="0" w:space="0" w:color="auto"/>
          </w:divBdr>
        </w:div>
        <w:div w:id="813643349">
          <w:marLeft w:val="547"/>
          <w:marRight w:val="0"/>
          <w:marTop w:val="0"/>
          <w:marBottom w:val="0"/>
          <w:divBdr>
            <w:top w:val="none" w:sz="0" w:space="0" w:color="auto"/>
            <w:left w:val="none" w:sz="0" w:space="0" w:color="auto"/>
            <w:bottom w:val="none" w:sz="0" w:space="0" w:color="auto"/>
            <w:right w:val="none" w:sz="0" w:space="0" w:color="auto"/>
          </w:divBdr>
        </w:div>
      </w:divsChild>
    </w:div>
    <w:div w:id="1695229601">
      <w:bodyDiv w:val="1"/>
      <w:marLeft w:val="0"/>
      <w:marRight w:val="0"/>
      <w:marTop w:val="0"/>
      <w:marBottom w:val="0"/>
      <w:divBdr>
        <w:top w:val="none" w:sz="0" w:space="0" w:color="auto"/>
        <w:left w:val="none" w:sz="0" w:space="0" w:color="auto"/>
        <w:bottom w:val="none" w:sz="0" w:space="0" w:color="auto"/>
        <w:right w:val="none" w:sz="0" w:space="0" w:color="auto"/>
      </w:divBdr>
      <w:divsChild>
        <w:div w:id="1995377697">
          <w:marLeft w:val="806"/>
          <w:marRight w:val="0"/>
          <w:marTop w:val="106"/>
          <w:marBottom w:val="0"/>
          <w:divBdr>
            <w:top w:val="none" w:sz="0" w:space="0" w:color="auto"/>
            <w:left w:val="none" w:sz="0" w:space="0" w:color="auto"/>
            <w:bottom w:val="none" w:sz="0" w:space="0" w:color="auto"/>
            <w:right w:val="none" w:sz="0" w:space="0" w:color="auto"/>
          </w:divBdr>
        </w:div>
        <w:div w:id="2013141894">
          <w:marLeft w:val="806"/>
          <w:marRight w:val="0"/>
          <w:marTop w:val="106"/>
          <w:marBottom w:val="0"/>
          <w:divBdr>
            <w:top w:val="none" w:sz="0" w:space="0" w:color="auto"/>
            <w:left w:val="none" w:sz="0" w:space="0" w:color="auto"/>
            <w:bottom w:val="none" w:sz="0" w:space="0" w:color="auto"/>
            <w:right w:val="none" w:sz="0" w:space="0" w:color="auto"/>
          </w:divBdr>
        </w:div>
        <w:div w:id="496456632">
          <w:marLeft w:val="806"/>
          <w:marRight w:val="0"/>
          <w:marTop w:val="106"/>
          <w:marBottom w:val="0"/>
          <w:divBdr>
            <w:top w:val="none" w:sz="0" w:space="0" w:color="auto"/>
            <w:left w:val="none" w:sz="0" w:space="0" w:color="auto"/>
            <w:bottom w:val="none" w:sz="0" w:space="0" w:color="auto"/>
            <w:right w:val="none" w:sz="0" w:space="0" w:color="auto"/>
          </w:divBdr>
        </w:div>
        <w:div w:id="381367175">
          <w:marLeft w:val="806"/>
          <w:marRight w:val="0"/>
          <w:marTop w:val="106"/>
          <w:marBottom w:val="0"/>
          <w:divBdr>
            <w:top w:val="none" w:sz="0" w:space="0" w:color="auto"/>
            <w:left w:val="none" w:sz="0" w:space="0" w:color="auto"/>
            <w:bottom w:val="none" w:sz="0" w:space="0" w:color="auto"/>
            <w:right w:val="none" w:sz="0" w:space="0" w:color="auto"/>
          </w:divBdr>
        </w:div>
      </w:divsChild>
    </w:div>
    <w:div w:id="1706981628">
      <w:bodyDiv w:val="1"/>
      <w:marLeft w:val="0"/>
      <w:marRight w:val="0"/>
      <w:marTop w:val="0"/>
      <w:marBottom w:val="0"/>
      <w:divBdr>
        <w:top w:val="none" w:sz="0" w:space="0" w:color="auto"/>
        <w:left w:val="none" w:sz="0" w:space="0" w:color="auto"/>
        <w:bottom w:val="none" w:sz="0" w:space="0" w:color="auto"/>
        <w:right w:val="none" w:sz="0" w:space="0" w:color="auto"/>
      </w:divBdr>
      <w:divsChild>
        <w:div w:id="1617323074">
          <w:marLeft w:val="446"/>
          <w:marRight w:val="0"/>
          <w:marTop w:val="0"/>
          <w:marBottom w:val="0"/>
          <w:divBdr>
            <w:top w:val="none" w:sz="0" w:space="0" w:color="auto"/>
            <w:left w:val="none" w:sz="0" w:space="0" w:color="auto"/>
            <w:bottom w:val="none" w:sz="0" w:space="0" w:color="auto"/>
            <w:right w:val="none" w:sz="0" w:space="0" w:color="auto"/>
          </w:divBdr>
        </w:div>
      </w:divsChild>
    </w:div>
    <w:div w:id="1737821643">
      <w:bodyDiv w:val="1"/>
      <w:marLeft w:val="0"/>
      <w:marRight w:val="0"/>
      <w:marTop w:val="0"/>
      <w:marBottom w:val="0"/>
      <w:divBdr>
        <w:top w:val="none" w:sz="0" w:space="0" w:color="auto"/>
        <w:left w:val="none" w:sz="0" w:space="0" w:color="auto"/>
        <w:bottom w:val="none" w:sz="0" w:space="0" w:color="auto"/>
        <w:right w:val="none" w:sz="0" w:space="0" w:color="auto"/>
      </w:divBdr>
    </w:div>
    <w:div w:id="1807772571">
      <w:bodyDiv w:val="1"/>
      <w:marLeft w:val="0"/>
      <w:marRight w:val="0"/>
      <w:marTop w:val="0"/>
      <w:marBottom w:val="0"/>
      <w:divBdr>
        <w:top w:val="none" w:sz="0" w:space="0" w:color="auto"/>
        <w:left w:val="none" w:sz="0" w:space="0" w:color="auto"/>
        <w:bottom w:val="none" w:sz="0" w:space="0" w:color="auto"/>
        <w:right w:val="none" w:sz="0" w:space="0" w:color="auto"/>
      </w:divBdr>
      <w:divsChild>
        <w:div w:id="558325155">
          <w:marLeft w:val="806"/>
          <w:marRight w:val="0"/>
          <w:marTop w:val="106"/>
          <w:marBottom w:val="0"/>
          <w:divBdr>
            <w:top w:val="none" w:sz="0" w:space="0" w:color="auto"/>
            <w:left w:val="none" w:sz="0" w:space="0" w:color="auto"/>
            <w:bottom w:val="none" w:sz="0" w:space="0" w:color="auto"/>
            <w:right w:val="none" w:sz="0" w:space="0" w:color="auto"/>
          </w:divBdr>
        </w:div>
      </w:divsChild>
    </w:div>
    <w:div w:id="1843470542">
      <w:bodyDiv w:val="1"/>
      <w:marLeft w:val="0"/>
      <w:marRight w:val="0"/>
      <w:marTop w:val="0"/>
      <w:marBottom w:val="0"/>
      <w:divBdr>
        <w:top w:val="none" w:sz="0" w:space="0" w:color="auto"/>
        <w:left w:val="none" w:sz="0" w:space="0" w:color="auto"/>
        <w:bottom w:val="none" w:sz="0" w:space="0" w:color="auto"/>
        <w:right w:val="none" w:sz="0" w:space="0" w:color="auto"/>
      </w:divBdr>
    </w:div>
    <w:div w:id="1892381512">
      <w:bodyDiv w:val="1"/>
      <w:marLeft w:val="0"/>
      <w:marRight w:val="0"/>
      <w:marTop w:val="0"/>
      <w:marBottom w:val="0"/>
      <w:divBdr>
        <w:top w:val="none" w:sz="0" w:space="0" w:color="auto"/>
        <w:left w:val="none" w:sz="0" w:space="0" w:color="auto"/>
        <w:bottom w:val="none" w:sz="0" w:space="0" w:color="auto"/>
        <w:right w:val="none" w:sz="0" w:space="0" w:color="auto"/>
      </w:divBdr>
    </w:div>
    <w:div w:id="1904103862">
      <w:bodyDiv w:val="1"/>
      <w:marLeft w:val="0"/>
      <w:marRight w:val="0"/>
      <w:marTop w:val="0"/>
      <w:marBottom w:val="0"/>
      <w:divBdr>
        <w:top w:val="none" w:sz="0" w:space="0" w:color="auto"/>
        <w:left w:val="none" w:sz="0" w:space="0" w:color="auto"/>
        <w:bottom w:val="none" w:sz="0" w:space="0" w:color="auto"/>
        <w:right w:val="none" w:sz="0" w:space="0" w:color="auto"/>
      </w:divBdr>
    </w:div>
    <w:div w:id="1914585363">
      <w:bodyDiv w:val="1"/>
      <w:marLeft w:val="0"/>
      <w:marRight w:val="0"/>
      <w:marTop w:val="0"/>
      <w:marBottom w:val="0"/>
      <w:divBdr>
        <w:top w:val="none" w:sz="0" w:space="0" w:color="auto"/>
        <w:left w:val="none" w:sz="0" w:space="0" w:color="auto"/>
        <w:bottom w:val="none" w:sz="0" w:space="0" w:color="auto"/>
        <w:right w:val="none" w:sz="0" w:space="0" w:color="auto"/>
      </w:divBdr>
    </w:div>
    <w:div w:id="1936202502">
      <w:bodyDiv w:val="1"/>
      <w:marLeft w:val="0"/>
      <w:marRight w:val="0"/>
      <w:marTop w:val="0"/>
      <w:marBottom w:val="0"/>
      <w:divBdr>
        <w:top w:val="none" w:sz="0" w:space="0" w:color="auto"/>
        <w:left w:val="none" w:sz="0" w:space="0" w:color="auto"/>
        <w:bottom w:val="none" w:sz="0" w:space="0" w:color="auto"/>
        <w:right w:val="none" w:sz="0" w:space="0" w:color="auto"/>
      </w:divBdr>
    </w:div>
    <w:div w:id="1936356112">
      <w:bodyDiv w:val="1"/>
      <w:marLeft w:val="0"/>
      <w:marRight w:val="0"/>
      <w:marTop w:val="0"/>
      <w:marBottom w:val="0"/>
      <w:divBdr>
        <w:top w:val="none" w:sz="0" w:space="0" w:color="auto"/>
        <w:left w:val="none" w:sz="0" w:space="0" w:color="auto"/>
        <w:bottom w:val="none" w:sz="0" w:space="0" w:color="auto"/>
        <w:right w:val="none" w:sz="0" w:space="0" w:color="auto"/>
      </w:divBdr>
      <w:divsChild>
        <w:div w:id="69546308">
          <w:marLeft w:val="547"/>
          <w:marRight w:val="0"/>
          <w:marTop w:val="0"/>
          <w:marBottom w:val="0"/>
          <w:divBdr>
            <w:top w:val="none" w:sz="0" w:space="0" w:color="auto"/>
            <w:left w:val="none" w:sz="0" w:space="0" w:color="auto"/>
            <w:bottom w:val="none" w:sz="0" w:space="0" w:color="auto"/>
            <w:right w:val="none" w:sz="0" w:space="0" w:color="auto"/>
          </w:divBdr>
        </w:div>
        <w:div w:id="1168669806">
          <w:marLeft w:val="547"/>
          <w:marRight w:val="0"/>
          <w:marTop w:val="0"/>
          <w:marBottom w:val="0"/>
          <w:divBdr>
            <w:top w:val="none" w:sz="0" w:space="0" w:color="auto"/>
            <w:left w:val="none" w:sz="0" w:space="0" w:color="auto"/>
            <w:bottom w:val="none" w:sz="0" w:space="0" w:color="auto"/>
            <w:right w:val="none" w:sz="0" w:space="0" w:color="auto"/>
          </w:divBdr>
        </w:div>
        <w:div w:id="1003821820">
          <w:marLeft w:val="547"/>
          <w:marRight w:val="0"/>
          <w:marTop w:val="0"/>
          <w:marBottom w:val="0"/>
          <w:divBdr>
            <w:top w:val="none" w:sz="0" w:space="0" w:color="auto"/>
            <w:left w:val="none" w:sz="0" w:space="0" w:color="auto"/>
            <w:bottom w:val="none" w:sz="0" w:space="0" w:color="auto"/>
            <w:right w:val="none" w:sz="0" w:space="0" w:color="auto"/>
          </w:divBdr>
        </w:div>
        <w:div w:id="736827409">
          <w:marLeft w:val="547"/>
          <w:marRight w:val="0"/>
          <w:marTop w:val="0"/>
          <w:marBottom w:val="0"/>
          <w:divBdr>
            <w:top w:val="none" w:sz="0" w:space="0" w:color="auto"/>
            <w:left w:val="none" w:sz="0" w:space="0" w:color="auto"/>
            <w:bottom w:val="none" w:sz="0" w:space="0" w:color="auto"/>
            <w:right w:val="none" w:sz="0" w:space="0" w:color="auto"/>
          </w:divBdr>
        </w:div>
        <w:div w:id="1998878517">
          <w:marLeft w:val="547"/>
          <w:marRight w:val="0"/>
          <w:marTop w:val="0"/>
          <w:marBottom w:val="0"/>
          <w:divBdr>
            <w:top w:val="none" w:sz="0" w:space="0" w:color="auto"/>
            <w:left w:val="none" w:sz="0" w:space="0" w:color="auto"/>
            <w:bottom w:val="none" w:sz="0" w:space="0" w:color="auto"/>
            <w:right w:val="none" w:sz="0" w:space="0" w:color="auto"/>
          </w:divBdr>
        </w:div>
      </w:divsChild>
    </w:div>
    <w:div w:id="1951089748">
      <w:bodyDiv w:val="1"/>
      <w:marLeft w:val="0"/>
      <w:marRight w:val="0"/>
      <w:marTop w:val="0"/>
      <w:marBottom w:val="0"/>
      <w:divBdr>
        <w:top w:val="none" w:sz="0" w:space="0" w:color="auto"/>
        <w:left w:val="none" w:sz="0" w:space="0" w:color="auto"/>
        <w:bottom w:val="none" w:sz="0" w:space="0" w:color="auto"/>
        <w:right w:val="none" w:sz="0" w:space="0" w:color="auto"/>
      </w:divBdr>
    </w:div>
    <w:div w:id="1983656574">
      <w:bodyDiv w:val="1"/>
      <w:marLeft w:val="0"/>
      <w:marRight w:val="0"/>
      <w:marTop w:val="0"/>
      <w:marBottom w:val="0"/>
      <w:divBdr>
        <w:top w:val="none" w:sz="0" w:space="0" w:color="auto"/>
        <w:left w:val="none" w:sz="0" w:space="0" w:color="auto"/>
        <w:bottom w:val="none" w:sz="0" w:space="0" w:color="auto"/>
        <w:right w:val="none" w:sz="0" w:space="0" w:color="auto"/>
      </w:divBdr>
    </w:div>
    <w:div w:id="2006005666">
      <w:bodyDiv w:val="1"/>
      <w:marLeft w:val="0"/>
      <w:marRight w:val="0"/>
      <w:marTop w:val="0"/>
      <w:marBottom w:val="0"/>
      <w:divBdr>
        <w:top w:val="none" w:sz="0" w:space="0" w:color="auto"/>
        <w:left w:val="none" w:sz="0" w:space="0" w:color="auto"/>
        <w:bottom w:val="none" w:sz="0" w:space="0" w:color="auto"/>
        <w:right w:val="none" w:sz="0" w:space="0" w:color="auto"/>
      </w:divBdr>
      <w:divsChild>
        <w:div w:id="2059934247">
          <w:marLeft w:val="547"/>
          <w:marRight w:val="0"/>
          <w:marTop w:val="0"/>
          <w:marBottom w:val="0"/>
          <w:divBdr>
            <w:top w:val="none" w:sz="0" w:space="0" w:color="auto"/>
            <w:left w:val="none" w:sz="0" w:space="0" w:color="auto"/>
            <w:bottom w:val="none" w:sz="0" w:space="0" w:color="auto"/>
            <w:right w:val="none" w:sz="0" w:space="0" w:color="auto"/>
          </w:divBdr>
        </w:div>
        <w:div w:id="656955060">
          <w:marLeft w:val="547"/>
          <w:marRight w:val="0"/>
          <w:marTop w:val="0"/>
          <w:marBottom w:val="0"/>
          <w:divBdr>
            <w:top w:val="none" w:sz="0" w:space="0" w:color="auto"/>
            <w:left w:val="none" w:sz="0" w:space="0" w:color="auto"/>
            <w:bottom w:val="none" w:sz="0" w:space="0" w:color="auto"/>
            <w:right w:val="none" w:sz="0" w:space="0" w:color="auto"/>
          </w:divBdr>
        </w:div>
        <w:div w:id="1208295106">
          <w:marLeft w:val="547"/>
          <w:marRight w:val="0"/>
          <w:marTop w:val="0"/>
          <w:marBottom w:val="0"/>
          <w:divBdr>
            <w:top w:val="none" w:sz="0" w:space="0" w:color="auto"/>
            <w:left w:val="none" w:sz="0" w:space="0" w:color="auto"/>
            <w:bottom w:val="none" w:sz="0" w:space="0" w:color="auto"/>
            <w:right w:val="none" w:sz="0" w:space="0" w:color="auto"/>
          </w:divBdr>
        </w:div>
      </w:divsChild>
    </w:div>
    <w:div w:id="2016960687">
      <w:bodyDiv w:val="1"/>
      <w:marLeft w:val="0"/>
      <w:marRight w:val="0"/>
      <w:marTop w:val="0"/>
      <w:marBottom w:val="0"/>
      <w:divBdr>
        <w:top w:val="none" w:sz="0" w:space="0" w:color="auto"/>
        <w:left w:val="none" w:sz="0" w:space="0" w:color="auto"/>
        <w:bottom w:val="none" w:sz="0" w:space="0" w:color="auto"/>
        <w:right w:val="none" w:sz="0" w:space="0" w:color="auto"/>
      </w:divBdr>
      <w:divsChild>
        <w:div w:id="1275865178">
          <w:marLeft w:val="547"/>
          <w:marRight w:val="0"/>
          <w:marTop w:val="0"/>
          <w:marBottom w:val="0"/>
          <w:divBdr>
            <w:top w:val="none" w:sz="0" w:space="0" w:color="auto"/>
            <w:left w:val="none" w:sz="0" w:space="0" w:color="auto"/>
            <w:bottom w:val="none" w:sz="0" w:space="0" w:color="auto"/>
            <w:right w:val="none" w:sz="0" w:space="0" w:color="auto"/>
          </w:divBdr>
        </w:div>
        <w:div w:id="445807327">
          <w:marLeft w:val="547"/>
          <w:marRight w:val="0"/>
          <w:marTop w:val="0"/>
          <w:marBottom w:val="0"/>
          <w:divBdr>
            <w:top w:val="none" w:sz="0" w:space="0" w:color="auto"/>
            <w:left w:val="none" w:sz="0" w:space="0" w:color="auto"/>
            <w:bottom w:val="none" w:sz="0" w:space="0" w:color="auto"/>
            <w:right w:val="none" w:sz="0" w:space="0" w:color="auto"/>
          </w:divBdr>
        </w:div>
        <w:div w:id="357437851">
          <w:marLeft w:val="547"/>
          <w:marRight w:val="0"/>
          <w:marTop w:val="0"/>
          <w:marBottom w:val="0"/>
          <w:divBdr>
            <w:top w:val="none" w:sz="0" w:space="0" w:color="auto"/>
            <w:left w:val="none" w:sz="0" w:space="0" w:color="auto"/>
            <w:bottom w:val="none" w:sz="0" w:space="0" w:color="auto"/>
            <w:right w:val="none" w:sz="0" w:space="0" w:color="auto"/>
          </w:divBdr>
        </w:div>
      </w:divsChild>
    </w:div>
    <w:div w:id="2122722220">
      <w:bodyDiv w:val="1"/>
      <w:marLeft w:val="0"/>
      <w:marRight w:val="0"/>
      <w:marTop w:val="0"/>
      <w:marBottom w:val="0"/>
      <w:divBdr>
        <w:top w:val="none" w:sz="0" w:space="0" w:color="auto"/>
        <w:left w:val="none" w:sz="0" w:space="0" w:color="auto"/>
        <w:bottom w:val="none" w:sz="0" w:space="0" w:color="auto"/>
        <w:right w:val="none" w:sz="0" w:space="0" w:color="auto"/>
      </w:divBdr>
    </w:div>
    <w:div w:id="2122842734">
      <w:bodyDiv w:val="1"/>
      <w:marLeft w:val="0"/>
      <w:marRight w:val="0"/>
      <w:marTop w:val="0"/>
      <w:marBottom w:val="0"/>
      <w:divBdr>
        <w:top w:val="none" w:sz="0" w:space="0" w:color="auto"/>
        <w:left w:val="none" w:sz="0" w:space="0" w:color="auto"/>
        <w:bottom w:val="none" w:sz="0" w:space="0" w:color="auto"/>
        <w:right w:val="none" w:sz="0" w:space="0" w:color="auto"/>
      </w:divBdr>
      <w:divsChild>
        <w:div w:id="2040888865">
          <w:marLeft w:val="446"/>
          <w:marRight w:val="0"/>
          <w:marTop w:val="0"/>
          <w:marBottom w:val="0"/>
          <w:divBdr>
            <w:top w:val="none" w:sz="0" w:space="0" w:color="auto"/>
            <w:left w:val="none" w:sz="0" w:space="0" w:color="auto"/>
            <w:bottom w:val="none" w:sz="0" w:space="0" w:color="auto"/>
            <w:right w:val="none" w:sz="0" w:space="0" w:color="auto"/>
          </w:divBdr>
        </w:div>
        <w:div w:id="921332593">
          <w:marLeft w:val="446"/>
          <w:marRight w:val="0"/>
          <w:marTop w:val="0"/>
          <w:marBottom w:val="0"/>
          <w:divBdr>
            <w:top w:val="none" w:sz="0" w:space="0" w:color="auto"/>
            <w:left w:val="none" w:sz="0" w:space="0" w:color="auto"/>
            <w:bottom w:val="none" w:sz="0" w:space="0" w:color="auto"/>
            <w:right w:val="none" w:sz="0" w:space="0" w:color="auto"/>
          </w:divBdr>
        </w:div>
      </w:divsChild>
    </w:div>
    <w:div w:id="2124570698">
      <w:bodyDiv w:val="1"/>
      <w:marLeft w:val="0"/>
      <w:marRight w:val="0"/>
      <w:marTop w:val="0"/>
      <w:marBottom w:val="0"/>
      <w:divBdr>
        <w:top w:val="none" w:sz="0" w:space="0" w:color="auto"/>
        <w:left w:val="none" w:sz="0" w:space="0" w:color="auto"/>
        <w:bottom w:val="none" w:sz="0" w:space="0" w:color="auto"/>
        <w:right w:val="none" w:sz="0" w:space="0" w:color="auto"/>
      </w:divBdr>
      <w:divsChild>
        <w:div w:id="2134977097">
          <w:marLeft w:val="806"/>
          <w:marRight w:val="0"/>
          <w:marTop w:val="106"/>
          <w:marBottom w:val="0"/>
          <w:divBdr>
            <w:top w:val="none" w:sz="0" w:space="0" w:color="auto"/>
            <w:left w:val="none" w:sz="0" w:space="0" w:color="auto"/>
            <w:bottom w:val="none" w:sz="0" w:space="0" w:color="auto"/>
            <w:right w:val="none" w:sz="0" w:space="0" w:color="auto"/>
          </w:divBdr>
        </w:div>
        <w:div w:id="2027094567">
          <w:marLeft w:val="806"/>
          <w:marRight w:val="0"/>
          <w:marTop w:val="106"/>
          <w:marBottom w:val="0"/>
          <w:divBdr>
            <w:top w:val="none" w:sz="0" w:space="0" w:color="auto"/>
            <w:left w:val="none" w:sz="0" w:space="0" w:color="auto"/>
            <w:bottom w:val="none" w:sz="0" w:space="0" w:color="auto"/>
            <w:right w:val="none" w:sz="0" w:space="0" w:color="auto"/>
          </w:divBdr>
        </w:div>
        <w:div w:id="1610776327">
          <w:marLeft w:val="806"/>
          <w:marRight w:val="0"/>
          <w:marTop w:val="106"/>
          <w:marBottom w:val="0"/>
          <w:divBdr>
            <w:top w:val="none" w:sz="0" w:space="0" w:color="auto"/>
            <w:left w:val="none" w:sz="0" w:space="0" w:color="auto"/>
            <w:bottom w:val="none" w:sz="0" w:space="0" w:color="auto"/>
            <w:right w:val="none" w:sz="0" w:space="0" w:color="auto"/>
          </w:divBdr>
        </w:div>
        <w:div w:id="1415787270">
          <w:marLeft w:val="806"/>
          <w:marRight w:val="0"/>
          <w:marTop w:val="106"/>
          <w:marBottom w:val="0"/>
          <w:divBdr>
            <w:top w:val="none" w:sz="0" w:space="0" w:color="auto"/>
            <w:left w:val="none" w:sz="0" w:space="0" w:color="auto"/>
            <w:bottom w:val="none" w:sz="0" w:space="0" w:color="auto"/>
            <w:right w:val="none" w:sz="0" w:space="0" w:color="auto"/>
          </w:divBdr>
        </w:div>
      </w:divsChild>
    </w:div>
    <w:div w:id="21299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1599-C9E9-4FFE-87E9-A4B6152E237D}">
  <ds:schemaRefs>
    <ds:schemaRef ds:uri="http://schemas.openxmlformats.org/officeDocument/2006/bibliography"/>
  </ds:schemaRefs>
</ds:datastoreItem>
</file>

<file path=customXml/itemProps2.xml><?xml version="1.0" encoding="utf-8"?>
<ds:datastoreItem xmlns:ds="http://schemas.openxmlformats.org/officeDocument/2006/customXml" ds:itemID="{7D700F32-2C38-42E5-8518-B33766133A63}">
  <ds:schemaRefs>
    <ds:schemaRef ds:uri="http://schemas.openxmlformats.org/officeDocument/2006/bibliography"/>
  </ds:schemaRefs>
</ds:datastoreItem>
</file>

<file path=customXml/itemProps3.xml><?xml version="1.0" encoding="utf-8"?>
<ds:datastoreItem xmlns:ds="http://schemas.openxmlformats.org/officeDocument/2006/customXml" ds:itemID="{F416C57A-ED85-468E-B2BB-3CF935F67BFA}">
  <ds:schemaRefs>
    <ds:schemaRef ds:uri="http://schemas.openxmlformats.org/officeDocument/2006/bibliography"/>
  </ds:schemaRefs>
</ds:datastoreItem>
</file>

<file path=customXml/itemProps4.xml><?xml version="1.0" encoding="utf-8"?>
<ds:datastoreItem xmlns:ds="http://schemas.openxmlformats.org/officeDocument/2006/customXml" ds:itemID="{D7E41847-84A1-435A-8963-E39F244A29FD}">
  <ds:schemaRefs>
    <ds:schemaRef ds:uri="http://schemas.openxmlformats.org/officeDocument/2006/bibliography"/>
  </ds:schemaRefs>
</ds:datastoreItem>
</file>

<file path=customXml/itemProps5.xml><?xml version="1.0" encoding="utf-8"?>
<ds:datastoreItem xmlns:ds="http://schemas.openxmlformats.org/officeDocument/2006/customXml" ds:itemID="{FEC18D53-A22D-4422-88D1-926C6D1817E5}">
  <ds:schemaRefs>
    <ds:schemaRef ds:uri="http://schemas.openxmlformats.org/officeDocument/2006/bibliography"/>
  </ds:schemaRefs>
</ds:datastoreItem>
</file>

<file path=customXml/itemProps6.xml><?xml version="1.0" encoding="utf-8"?>
<ds:datastoreItem xmlns:ds="http://schemas.openxmlformats.org/officeDocument/2006/customXml" ds:itemID="{E738E63E-DAA5-483E-8A9C-09E2182B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4262</Words>
  <Characters>24299</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Alexander (HHS/ONC)</dc:creator>
  <cp:lastModifiedBy>Caitlin Collins</cp:lastModifiedBy>
  <cp:revision>2</cp:revision>
  <cp:lastPrinted>2014-03-11T18:56:00Z</cp:lastPrinted>
  <dcterms:created xsi:type="dcterms:W3CDTF">2014-03-18T12:59:00Z</dcterms:created>
  <dcterms:modified xsi:type="dcterms:W3CDTF">2014-03-18T12:59:00Z</dcterms:modified>
</cp:coreProperties>
</file>