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D301F" w14:textId="4CA87910" w:rsidR="00E47D31" w:rsidRPr="00274AF5" w:rsidRDefault="00E06021" w:rsidP="00E47D31">
      <w:pPr>
        <w:rPr>
          <w:rFonts w:ascii="Calibri" w:eastAsia="Times New Roman" w:hAnsi="Calibri" w:cs="Times New Roman"/>
          <w:b/>
          <w:color w:val="000000"/>
        </w:rPr>
      </w:pPr>
      <w:bookmarkStart w:id="0" w:name="_GoBack"/>
      <w:bookmarkEnd w:id="0"/>
      <w:r w:rsidRPr="00274AF5">
        <w:rPr>
          <w:rFonts w:ascii="Calibri" w:eastAsia="Times New Roman" w:hAnsi="Calibri" w:cs="Times New Roman"/>
          <w:b/>
          <w:color w:val="000000"/>
        </w:rPr>
        <w:t>D</w:t>
      </w:r>
      <w:r w:rsidR="003A2CF8" w:rsidRPr="00274AF5">
        <w:rPr>
          <w:rFonts w:ascii="Calibri" w:eastAsia="Times New Roman" w:hAnsi="Calibri" w:cs="Times New Roman"/>
          <w:b/>
          <w:color w:val="000000"/>
        </w:rPr>
        <w:t xml:space="preserve">raft </w:t>
      </w:r>
      <w:r w:rsidR="00D00DB0" w:rsidRPr="00274AF5">
        <w:rPr>
          <w:rFonts w:ascii="Calibri" w:eastAsia="Times New Roman" w:hAnsi="Calibri" w:cs="Times New Roman"/>
          <w:b/>
          <w:color w:val="000000"/>
        </w:rPr>
        <w:t xml:space="preserve">Accountable Care Workgroup Recommendations </w:t>
      </w:r>
      <w:r w:rsidR="00870E16" w:rsidRPr="00274AF5">
        <w:rPr>
          <w:rFonts w:ascii="Calibri" w:eastAsia="Times New Roman" w:hAnsi="Calibri" w:cs="Times New Roman"/>
          <w:b/>
          <w:color w:val="000000"/>
        </w:rPr>
        <w:t>Document</w:t>
      </w:r>
      <w:r w:rsidR="007C72EF" w:rsidRPr="00274AF5">
        <w:rPr>
          <w:rFonts w:ascii="Calibri" w:eastAsia="Times New Roman" w:hAnsi="Calibri" w:cs="Times New Roman"/>
          <w:b/>
          <w:color w:val="000000"/>
        </w:rPr>
        <w:t xml:space="preserve"> – </w:t>
      </w:r>
      <w:r w:rsidR="00E47D31" w:rsidRPr="00274AF5">
        <w:rPr>
          <w:rFonts w:ascii="Calibri" w:eastAsia="Times New Roman" w:hAnsi="Calibri" w:cs="Times New Roman"/>
          <w:b/>
          <w:color w:val="000000"/>
        </w:rPr>
        <w:t xml:space="preserve">February </w:t>
      </w:r>
      <w:r w:rsidR="003A2CF8" w:rsidRPr="00274AF5">
        <w:rPr>
          <w:rFonts w:ascii="Calibri" w:eastAsia="Times New Roman" w:hAnsi="Calibri" w:cs="Times New Roman"/>
          <w:b/>
          <w:color w:val="000000"/>
        </w:rPr>
        <w:t>6</w:t>
      </w:r>
      <w:r w:rsidR="00E47D31" w:rsidRPr="00274AF5">
        <w:rPr>
          <w:rFonts w:ascii="Calibri" w:eastAsia="Times New Roman" w:hAnsi="Calibri" w:cs="Times New Roman"/>
          <w:b/>
          <w:color w:val="000000"/>
        </w:rPr>
        <w:t>, 2014</w:t>
      </w:r>
    </w:p>
    <w:p w14:paraId="679BDEC4" w14:textId="41DDE554" w:rsidR="002D333B" w:rsidRPr="00274AF5" w:rsidRDefault="002D333B" w:rsidP="005B0763">
      <w:pPr>
        <w:tabs>
          <w:tab w:val="left" w:pos="2617"/>
        </w:tabs>
        <w:rPr>
          <w:rFonts w:ascii="Calibri" w:eastAsia="Times New Roman" w:hAnsi="Calibri" w:cs="Times New Roman"/>
          <w:i/>
          <w:color w:val="000000"/>
        </w:rPr>
      </w:pPr>
      <w:r w:rsidRPr="00274AF5">
        <w:rPr>
          <w:rFonts w:ascii="Calibri" w:eastAsia="Times New Roman" w:hAnsi="Calibri" w:cs="Times New Roman"/>
          <w:i/>
          <w:color w:val="000000"/>
        </w:rPr>
        <w:t>Workgroup Charge:</w:t>
      </w:r>
      <w:r w:rsidR="005B0763">
        <w:rPr>
          <w:rFonts w:ascii="Calibri" w:eastAsia="Times New Roman" w:hAnsi="Calibri" w:cs="Times New Roman"/>
          <w:i/>
          <w:color w:val="000000"/>
        </w:rPr>
        <w:tab/>
      </w:r>
    </w:p>
    <w:p w14:paraId="61BDE64F" w14:textId="77777777" w:rsidR="002D333B" w:rsidRPr="006F600B" w:rsidRDefault="002D333B" w:rsidP="005F52AF">
      <w:pPr>
        <w:pStyle w:val="ListParagraph"/>
        <w:numPr>
          <w:ilvl w:val="0"/>
          <w:numId w:val="39"/>
        </w:numPr>
        <w:rPr>
          <w:rFonts w:ascii="Calibri" w:eastAsia="Times New Roman" w:hAnsi="Calibri" w:cs="Times New Roman"/>
          <w:bCs/>
          <w:color w:val="000000"/>
        </w:rPr>
      </w:pPr>
      <w:r w:rsidRPr="006F600B">
        <w:rPr>
          <w:rFonts w:ascii="Calibri" w:eastAsia="Times New Roman" w:hAnsi="Calibri" w:cs="Times New Roman"/>
          <w:bCs/>
          <w:color w:val="000000"/>
        </w:rPr>
        <w:t>Provide a set of recommendations to the HITPC regarding how ONC and HHS can advance priority health IT capabilities in a variety of accountable care arrangements to support improvements in care and health while reducing costs.</w:t>
      </w:r>
    </w:p>
    <w:p w14:paraId="538474A3" w14:textId="77777777" w:rsidR="006F600B" w:rsidRPr="00274AF5" w:rsidRDefault="006F600B" w:rsidP="006F600B">
      <w:pPr>
        <w:rPr>
          <w:rFonts w:ascii="Calibri" w:eastAsia="Times New Roman" w:hAnsi="Calibri" w:cs="Times New Roman"/>
          <w:i/>
          <w:color w:val="000000"/>
        </w:rPr>
      </w:pPr>
      <w:r w:rsidRPr="00274AF5">
        <w:rPr>
          <w:rFonts w:ascii="Calibri" w:eastAsia="Times New Roman" w:hAnsi="Calibri" w:cs="Times New Roman"/>
          <w:i/>
          <w:color w:val="000000"/>
        </w:rPr>
        <w:t>Framing Statements:</w:t>
      </w:r>
    </w:p>
    <w:p w14:paraId="1B7B66A3" w14:textId="77777777" w:rsidR="006F600B" w:rsidRPr="00274AF5" w:rsidRDefault="006F600B" w:rsidP="006F600B">
      <w:pPr>
        <w:pStyle w:val="ListParagraph"/>
        <w:numPr>
          <w:ilvl w:val="0"/>
          <w:numId w:val="2"/>
        </w:numPr>
        <w:tabs>
          <w:tab w:val="num" w:pos="720"/>
        </w:tabs>
        <w:rPr>
          <w:rFonts w:ascii="Calibri" w:eastAsia="Times New Roman" w:hAnsi="Calibri" w:cs="Times New Roman"/>
          <w:bCs/>
          <w:color w:val="000000"/>
        </w:rPr>
      </w:pPr>
      <w:r w:rsidRPr="00274AF5">
        <w:rPr>
          <w:rFonts w:ascii="Calibri" w:eastAsia="Times New Roman" w:hAnsi="Calibri" w:cs="Times New Roman"/>
          <w:bCs/>
          <w:color w:val="000000"/>
        </w:rPr>
        <w:t>The ACWG is concerned with a wide range of value-based payment models that are currently being implemented through both public and private efforts,, These include: Medicare Shared Savings participants,, value-based purchasing programs, advanced primary care payment initiatives, and global payment arrangements.</w:t>
      </w:r>
    </w:p>
    <w:p w14:paraId="681D3163" w14:textId="77777777" w:rsidR="006F600B" w:rsidRPr="00274AF5" w:rsidRDefault="006F600B" w:rsidP="006F600B">
      <w:pPr>
        <w:pStyle w:val="ListParagraph"/>
        <w:numPr>
          <w:ilvl w:val="0"/>
          <w:numId w:val="2"/>
        </w:numPr>
        <w:tabs>
          <w:tab w:val="num" w:pos="720"/>
        </w:tabs>
        <w:rPr>
          <w:rFonts w:ascii="Calibri" w:eastAsia="Times New Roman" w:hAnsi="Calibri" w:cs="Times New Roman"/>
          <w:bCs/>
          <w:color w:val="000000"/>
        </w:rPr>
      </w:pPr>
      <w:r w:rsidRPr="00274AF5">
        <w:rPr>
          <w:rFonts w:ascii="Calibri" w:eastAsia="Times New Roman" w:hAnsi="Calibri" w:cs="Times New Roman"/>
          <w:bCs/>
          <w:color w:val="000000"/>
        </w:rPr>
        <w:t>The ACWG is seeking to support a common set of core health IT capabilities that are broadly relevant across these arrangements, while recognizing that accountable care arrangements may vary in their specific health IT needs.</w:t>
      </w:r>
    </w:p>
    <w:p w14:paraId="42FC8951" w14:textId="77777777" w:rsidR="006F600B" w:rsidRPr="00274AF5" w:rsidRDefault="006F600B" w:rsidP="006F600B">
      <w:pPr>
        <w:pStyle w:val="ListParagraph"/>
        <w:numPr>
          <w:ilvl w:val="0"/>
          <w:numId w:val="2"/>
        </w:numPr>
        <w:tabs>
          <w:tab w:val="num" w:pos="720"/>
        </w:tabs>
        <w:rPr>
          <w:rFonts w:ascii="Calibri" w:eastAsia="Times New Roman" w:hAnsi="Calibri" w:cs="Times New Roman"/>
          <w:i/>
          <w:color w:val="000000"/>
        </w:rPr>
      </w:pPr>
      <w:r w:rsidRPr="00274AF5">
        <w:rPr>
          <w:rFonts w:ascii="Calibri" w:eastAsia="Times New Roman" w:hAnsi="Calibri" w:cs="Times New Roman"/>
          <w:bCs/>
          <w:color w:val="000000"/>
        </w:rPr>
        <w:t>The ACWG is focused on identifying recommendations which: 1) align with business and clinical imperatives; 2) are unlikely to arise from current market forces; and 3) will likely be effective using available federal levers.</w:t>
      </w:r>
    </w:p>
    <w:p w14:paraId="1D28E01E" w14:textId="6F79155A" w:rsidR="00871676" w:rsidRPr="00274AF5" w:rsidRDefault="00BE1173" w:rsidP="00E47D31">
      <w:pPr>
        <w:rPr>
          <w:rFonts w:ascii="Calibri" w:eastAsia="Times New Roman" w:hAnsi="Calibri" w:cs="Times New Roman"/>
          <w:i/>
          <w:color w:val="000000"/>
        </w:rPr>
      </w:pPr>
      <w:r w:rsidRPr="00274AF5">
        <w:rPr>
          <w:rFonts w:ascii="Calibri" w:eastAsia="Times New Roman" w:hAnsi="Calibri" w:cs="Times New Roman"/>
          <w:i/>
          <w:color w:val="000000"/>
        </w:rPr>
        <w:t>Recommendations</w:t>
      </w:r>
      <w:r w:rsidR="000B5A6E" w:rsidRPr="00274AF5">
        <w:rPr>
          <w:rFonts w:ascii="Calibri" w:eastAsia="Times New Roman" w:hAnsi="Calibri" w:cs="Times New Roman"/>
          <w:i/>
          <w:color w:val="000000"/>
        </w:rPr>
        <w:t xml:space="preserve"> for </w:t>
      </w:r>
      <w:r w:rsidR="002D333B" w:rsidRPr="00274AF5">
        <w:rPr>
          <w:rFonts w:ascii="Calibri" w:eastAsia="Times New Roman" w:hAnsi="Calibri" w:cs="Times New Roman"/>
          <w:i/>
          <w:color w:val="000000"/>
        </w:rPr>
        <w:t>Consideration:</w:t>
      </w:r>
    </w:p>
    <w:tbl>
      <w:tblPr>
        <w:tblStyle w:val="TableGrid"/>
        <w:tblW w:w="13788" w:type="dxa"/>
        <w:tblLook w:val="04A0" w:firstRow="1" w:lastRow="0" w:firstColumn="1" w:lastColumn="0" w:noHBand="0" w:noVBand="1"/>
      </w:tblPr>
      <w:tblGrid>
        <w:gridCol w:w="6894"/>
        <w:gridCol w:w="6894"/>
      </w:tblGrid>
      <w:tr w:rsidR="00AC0AB6" w:rsidRPr="00274AF5" w14:paraId="7A726CA8" w14:textId="77777777" w:rsidTr="006F600B">
        <w:tc>
          <w:tcPr>
            <w:tcW w:w="6894" w:type="dxa"/>
            <w:shd w:val="clear" w:color="auto" w:fill="D9D9D9" w:themeFill="background1" w:themeFillShade="D9"/>
          </w:tcPr>
          <w:p w14:paraId="0248276F" w14:textId="77777777" w:rsidR="00AC0AB6" w:rsidRPr="00274AF5" w:rsidRDefault="00AC0AB6" w:rsidP="00AC0AB6">
            <w:pPr>
              <w:jc w:val="center"/>
              <w:rPr>
                <w:bCs/>
                <w:i/>
              </w:rPr>
            </w:pPr>
            <w:r w:rsidRPr="00274AF5">
              <w:rPr>
                <w:bCs/>
                <w:i/>
              </w:rPr>
              <w:t>Original Text</w:t>
            </w:r>
          </w:p>
        </w:tc>
        <w:tc>
          <w:tcPr>
            <w:tcW w:w="6894" w:type="dxa"/>
            <w:shd w:val="clear" w:color="auto" w:fill="D9D9D9" w:themeFill="background1" w:themeFillShade="D9"/>
          </w:tcPr>
          <w:p w14:paraId="251D91E3" w14:textId="77777777" w:rsidR="00AC0AB6" w:rsidRPr="00274AF5" w:rsidRDefault="00AC0AB6" w:rsidP="00AC0AB6">
            <w:pPr>
              <w:pStyle w:val="CommentText"/>
              <w:jc w:val="center"/>
              <w:rPr>
                <w:i/>
                <w:sz w:val="22"/>
                <w:szCs w:val="22"/>
              </w:rPr>
            </w:pPr>
            <w:r w:rsidRPr="00274AF5">
              <w:rPr>
                <w:i/>
                <w:sz w:val="22"/>
                <w:szCs w:val="22"/>
              </w:rPr>
              <w:t>Comments/Major Revisions</w:t>
            </w:r>
          </w:p>
        </w:tc>
      </w:tr>
      <w:tr w:rsidR="00BA0992" w:rsidRPr="00274AF5" w14:paraId="1BC58E6B" w14:textId="77777777" w:rsidTr="006F600B">
        <w:tc>
          <w:tcPr>
            <w:tcW w:w="6894" w:type="dxa"/>
          </w:tcPr>
          <w:p w14:paraId="2854E389" w14:textId="001B3242" w:rsidR="00BA0992" w:rsidRPr="00274AF5" w:rsidRDefault="008E41EA" w:rsidP="00206F14">
            <w:pPr>
              <w:pStyle w:val="ListParagraph"/>
              <w:numPr>
                <w:ilvl w:val="0"/>
                <w:numId w:val="5"/>
              </w:numPr>
              <w:ind w:left="360" w:hanging="360"/>
            </w:pPr>
            <w:r w:rsidRPr="00274AF5">
              <w:rPr>
                <w:b/>
                <w:bCs/>
              </w:rPr>
              <w:t xml:space="preserve">HIT adoption and infrastructure. </w:t>
            </w:r>
            <w:r w:rsidR="00BA0992" w:rsidRPr="00274AF5">
              <w:rPr>
                <w:bCs/>
              </w:rPr>
              <w:t xml:space="preserve">The availability of a robust health IT infrastructure is crucial to accountable care arrangements. HHS should explore additional ways to incentivize and encourage providers that are taking on risk under these arrangements to adopt HIT and information exchange capabilities that will help them achieve cost and quality targets. </w:t>
            </w:r>
          </w:p>
        </w:tc>
        <w:tc>
          <w:tcPr>
            <w:tcW w:w="6894" w:type="dxa"/>
          </w:tcPr>
          <w:p w14:paraId="5BA9CA5F" w14:textId="587DCE10" w:rsidR="00BA0992" w:rsidRPr="00274AF5" w:rsidRDefault="00206F14" w:rsidP="005F52AF">
            <w:pPr>
              <w:pStyle w:val="CommentText"/>
              <w:numPr>
                <w:ilvl w:val="0"/>
                <w:numId w:val="12"/>
              </w:numPr>
              <w:ind w:left="306"/>
              <w:rPr>
                <w:sz w:val="22"/>
                <w:szCs w:val="22"/>
              </w:rPr>
            </w:pPr>
            <w:r>
              <w:rPr>
                <w:sz w:val="22"/>
                <w:szCs w:val="22"/>
              </w:rPr>
              <w:t>Add some data from Clif Gaus’</w:t>
            </w:r>
            <w:r w:rsidR="004D77C3" w:rsidRPr="00274AF5">
              <w:rPr>
                <w:sz w:val="22"/>
                <w:szCs w:val="22"/>
              </w:rPr>
              <w:t xml:space="preserve"> </w:t>
            </w:r>
            <w:r>
              <w:rPr>
                <w:sz w:val="22"/>
                <w:szCs w:val="22"/>
              </w:rPr>
              <w:t xml:space="preserve">hearing </w:t>
            </w:r>
            <w:r w:rsidR="004D77C3" w:rsidRPr="00274AF5">
              <w:rPr>
                <w:sz w:val="22"/>
                <w:szCs w:val="22"/>
              </w:rPr>
              <w:t>presentation regarding start-up costs: Two and quarter million is a hefty downpayment for the first year for a lot of the smaller groups entering the market.</w:t>
            </w:r>
          </w:p>
        </w:tc>
      </w:tr>
      <w:tr w:rsidR="00BA0992" w:rsidRPr="00274AF5" w14:paraId="67CEE04B" w14:textId="77777777" w:rsidTr="006F600B">
        <w:tc>
          <w:tcPr>
            <w:tcW w:w="6894" w:type="dxa"/>
          </w:tcPr>
          <w:p w14:paraId="2C7796F3" w14:textId="773555BC" w:rsidR="00BA0992" w:rsidRPr="00206F14" w:rsidRDefault="004C5E0A" w:rsidP="004C5E0A">
            <w:pPr>
              <w:pStyle w:val="ListParagraph"/>
              <w:numPr>
                <w:ilvl w:val="1"/>
                <w:numId w:val="1"/>
              </w:numPr>
              <w:ind w:left="360"/>
            </w:pPr>
            <w:r w:rsidRPr="004C5E0A">
              <w:rPr>
                <w:b/>
              </w:rPr>
              <w:t>Meaningful use measure for accountable care programs.</w:t>
            </w:r>
            <w:r>
              <w:t xml:space="preserve"> </w:t>
            </w:r>
            <w:r w:rsidR="004D77C3" w:rsidRPr="00274AF5">
              <w:t xml:space="preserve">In future iterations of accountable care models offered through the Center for Medicare, the Center for Medicaid and CHIP Services, and the Center Medicare and Medicaid Innovation, CMS should continue to maintain and expand provisions encouraging providers to adopt and implement health IT and health information exchange commensurate with increasing adoption of health IT. For instance, </w:t>
            </w:r>
            <w:r w:rsidR="004D77C3" w:rsidRPr="00274AF5">
              <w:rPr>
                <w:rFonts w:ascii="Calibri" w:eastAsia="Times New Roman" w:hAnsi="Calibri" w:cs="Times New Roman"/>
                <w:color w:val="000000"/>
              </w:rPr>
              <w:t xml:space="preserve">CMS should consider requiring at least 50 percent of participating primary care physicians </w:t>
            </w:r>
            <w:r w:rsidR="004D77C3" w:rsidRPr="00274AF5">
              <w:rPr>
                <w:rFonts w:ascii="Calibri" w:eastAsia="Times New Roman" w:hAnsi="Calibri" w:cs="Times New Roman"/>
                <w:color w:val="000000"/>
              </w:rPr>
              <w:lastRenderedPageBreak/>
              <w:t xml:space="preserve">are attesting for Meaningful Use Stage by in each year of ACO participation. </w:t>
            </w:r>
          </w:p>
        </w:tc>
        <w:tc>
          <w:tcPr>
            <w:tcW w:w="6894" w:type="dxa"/>
          </w:tcPr>
          <w:p w14:paraId="0A77542B" w14:textId="77777777" w:rsidR="004C5E0A" w:rsidRPr="004C5E0A" w:rsidRDefault="004C5E0A" w:rsidP="005F52AF">
            <w:pPr>
              <w:pStyle w:val="CommentText"/>
              <w:numPr>
                <w:ilvl w:val="0"/>
                <w:numId w:val="13"/>
              </w:numPr>
              <w:ind w:left="306"/>
              <w:rPr>
                <w:sz w:val="22"/>
                <w:szCs w:val="22"/>
              </w:rPr>
            </w:pPr>
            <w:r w:rsidRPr="004C5E0A">
              <w:rPr>
                <w:sz w:val="22"/>
                <w:szCs w:val="22"/>
              </w:rPr>
              <w:lastRenderedPageBreak/>
              <w:t>Providers who have attested in 2012 should be able to qualify.</w:t>
            </w:r>
          </w:p>
          <w:p w14:paraId="02E6B588" w14:textId="588F2B0D" w:rsidR="00274AF5" w:rsidRPr="004C5E0A" w:rsidRDefault="004C5E0A" w:rsidP="005F52AF">
            <w:pPr>
              <w:pStyle w:val="CommentText"/>
              <w:numPr>
                <w:ilvl w:val="0"/>
                <w:numId w:val="13"/>
              </w:numPr>
              <w:ind w:left="306"/>
              <w:rPr>
                <w:sz w:val="22"/>
                <w:szCs w:val="22"/>
              </w:rPr>
            </w:pPr>
            <w:r w:rsidRPr="004C5E0A">
              <w:rPr>
                <w:sz w:val="22"/>
                <w:szCs w:val="22"/>
              </w:rPr>
              <w:t>Clarify that the MU element should be an ongoing requirement.</w:t>
            </w:r>
          </w:p>
        </w:tc>
      </w:tr>
      <w:tr w:rsidR="00BA0992" w:rsidRPr="00274AF5" w14:paraId="51F77251" w14:textId="77777777" w:rsidTr="006F600B">
        <w:tc>
          <w:tcPr>
            <w:tcW w:w="6894" w:type="dxa"/>
          </w:tcPr>
          <w:p w14:paraId="497B2CE0" w14:textId="0D883224" w:rsidR="00BA0992" w:rsidRPr="00274AF5" w:rsidRDefault="004C5E0A" w:rsidP="004C5E0A">
            <w:pPr>
              <w:pStyle w:val="ListParagraph"/>
              <w:numPr>
                <w:ilvl w:val="1"/>
                <w:numId w:val="1"/>
              </w:numPr>
              <w:ind w:left="360"/>
            </w:pPr>
            <w:r w:rsidRPr="004C5E0A">
              <w:rPr>
                <w:b/>
              </w:rPr>
              <w:lastRenderedPageBreak/>
              <w:t>Planning elements in accountable care program applications.</w:t>
            </w:r>
            <w:r>
              <w:t xml:space="preserve"> </w:t>
            </w:r>
            <w:r w:rsidR="004D77C3" w:rsidRPr="00274AF5">
              <w:t xml:space="preserve">As part of the application process for CMS and CMMI programs around accountable care, CMS should require applicants to describe their plans to establish an IT infrastructure to support clinical integration and care coordination during the program, including a focus on steps they will take to exchange clinical information with behavioral health and long term/post-acute care providers. </w:t>
            </w:r>
          </w:p>
        </w:tc>
        <w:tc>
          <w:tcPr>
            <w:tcW w:w="6894" w:type="dxa"/>
          </w:tcPr>
          <w:p w14:paraId="10557CEB" w14:textId="77777777" w:rsidR="00AF4786" w:rsidRPr="004C5E0A" w:rsidRDefault="005F52AF" w:rsidP="005F52AF">
            <w:pPr>
              <w:pStyle w:val="CommentText"/>
              <w:numPr>
                <w:ilvl w:val="0"/>
                <w:numId w:val="14"/>
              </w:numPr>
              <w:ind w:left="306"/>
              <w:rPr>
                <w:sz w:val="22"/>
                <w:szCs w:val="22"/>
              </w:rPr>
            </w:pPr>
            <w:r w:rsidRPr="004C5E0A">
              <w:rPr>
                <w:b/>
                <w:bCs/>
                <w:sz w:val="22"/>
                <w:szCs w:val="22"/>
              </w:rPr>
              <w:t xml:space="preserve">Clarify scope: </w:t>
            </w:r>
            <w:r w:rsidRPr="004C5E0A">
              <w:rPr>
                <w:sz w:val="22"/>
                <w:szCs w:val="22"/>
              </w:rPr>
              <w:t>We should define “clinical integration and care coordination” with greater specificity—should we only refer to specific MU objectives?</w:t>
            </w:r>
          </w:p>
          <w:p w14:paraId="3AA5EA2F" w14:textId="77777777" w:rsidR="00AF4786" w:rsidRDefault="005F52AF" w:rsidP="005F52AF">
            <w:pPr>
              <w:pStyle w:val="CommentText"/>
              <w:numPr>
                <w:ilvl w:val="0"/>
                <w:numId w:val="14"/>
              </w:numPr>
              <w:ind w:left="306"/>
              <w:rPr>
                <w:sz w:val="22"/>
                <w:szCs w:val="22"/>
              </w:rPr>
            </w:pPr>
            <w:r w:rsidRPr="004C5E0A">
              <w:rPr>
                <w:b/>
                <w:bCs/>
                <w:sz w:val="22"/>
                <w:szCs w:val="22"/>
              </w:rPr>
              <w:t xml:space="preserve">Consider removing or revising: </w:t>
            </w:r>
            <w:r w:rsidRPr="004C5E0A">
              <w:rPr>
                <w:sz w:val="22"/>
                <w:szCs w:val="22"/>
              </w:rPr>
              <w:t>Exchanging clinical information with behavioral health and long term/post-acute care providers may be too far-reaching.</w:t>
            </w:r>
          </w:p>
          <w:p w14:paraId="0D3D0DFC" w14:textId="7A4E38A3" w:rsidR="006F600B" w:rsidRPr="004C5E0A" w:rsidRDefault="006F600B" w:rsidP="005F52AF">
            <w:pPr>
              <w:pStyle w:val="CommentText"/>
              <w:numPr>
                <w:ilvl w:val="0"/>
                <w:numId w:val="14"/>
              </w:numPr>
              <w:ind w:left="306"/>
              <w:rPr>
                <w:sz w:val="22"/>
                <w:szCs w:val="22"/>
              </w:rPr>
            </w:pPr>
            <w:r>
              <w:rPr>
                <w:bCs/>
                <w:sz w:val="22"/>
                <w:szCs w:val="22"/>
              </w:rPr>
              <w:t>This integration is critical to care coordination.</w:t>
            </w:r>
          </w:p>
          <w:p w14:paraId="15755981" w14:textId="42F7CE44" w:rsidR="004D77C3" w:rsidRPr="004C5E0A" w:rsidRDefault="005F52AF" w:rsidP="005F52AF">
            <w:pPr>
              <w:pStyle w:val="CommentText"/>
              <w:numPr>
                <w:ilvl w:val="0"/>
                <w:numId w:val="14"/>
              </w:numPr>
              <w:ind w:left="306"/>
              <w:rPr>
                <w:sz w:val="22"/>
                <w:szCs w:val="22"/>
              </w:rPr>
            </w:pPr>
            <w:r w:rsidRPr="004C5E0A">
              <w:rPr>
                <w:sz w:val="22"/>
                <w:szCs w:val="22"/>
              </w:rPr>
              <w:t xml:space="preserve">The key distinction here is the ask for planning, articulating where these other provider types fit into their broader infrastructure vision. </w:t>
            </w:r>
          </w:p>
        </w:tc>
      </w:tr>
      <w:tr w:rsidR="00BA0992" w:rsidRPr="00274AF5" w14:paraId="4F1ABF13" w14:textId="77777777" w:rsidTr="006F600B">
        <w:tc>
          <w:tcPr>
            <w:tcW w:w="6894" w:type="dxa"/>
          </w:tcPr>
          <w:p w14:paraId="1CE98012" w14:textId="2B075875" w:rsidR="00BA0992" w:rsidRPr="00274AF5" w:rsidRDefault="004C5E0A" w:rsidP="004C5E0A">
            <w:pPr>
              <w:pStyle w:val="ListParagraph"/>
              <w:numPr>
                <w:ilvl w:val="1"/>
                <w:numId w:val="1"/>
              </w:numPr>
              <w:ind w:left="360"/>
            </w:pPr>
            <w:r w:rsidRPr="004C5E0A">
              <w:rPr>
                <w:b/>
              </w:rPr>
              <w:t>Incentives for non-MU eligible providers in accountable care programs</w:t>
            </w:r>
            <w:r>
              <w:t xml:space="preserve">. </w:t>
            </w:r>
            <w:r w:rsidR="004D77C3" w:rsidRPr="00274AF5">
              <w:t>CMS should establish provisions within the Medicare Shared Savings program under which ACOs can receive access to additional shared savings program for demonstrating clinical data exchange with LTPAC and behavioral health providers</w:t>
            </w:r>
            <w:r w:rsidR="00206F14">
              <w:t xml:space="preserve"> </w:t>
            </w:r>
            <w:r w:rsidR="004D77C3" w:rsidRPr="00274AF5">
              <w:t>with LTPAC and behavioral health providers. These funds can be used to further support investments in developing care coordination infrastructure with these critical partners.</w:t>
            </w:r>
          </w:p>
        </w:tc>
        <w:tc>
          <w:tcPr>
            <w:tcW w:w="6894" w:type="dxa"/>
          </w:tcPr>
          <w:p w14:paraId="42C9391A" w14:textId="77777777" w:rsidR="004C5E0A" w:rsidRPr="004C5E0A" w:rsidRDefault="004C5E0A" w:rsidP="005F52AF">
            <w:pPr>
              <w:pStyle w:val="CommentText"/>
              <w:numPr>
                <w:ilvl w:val="0"/>
                <w:numId w:val="15"/>
              </w:numPr>
              <w:ind w:left="306"/>
              <w:rPr>
                <w:sz w:val="22"/>
                <w:szCs w:val="22"/>
              </w:rPr>
            </w:pPr>
            <w:r w:rsidRPr="004C5E0A">
              <w:rPr>
                <w:b/>
                <w:sz w:val="22"/>
                <w:szCs w:val="22"/>
              </w:rPr>
              <w:t>Consider whether this is feasible:</w:t>
            </w:r>
            <w:r w:rsidRPr="004C5E0A">
              <w:rPr>
                <w:sz w:val="22"/>
                <w:szCs w:val="22"/>
              </w:rPr>
              <w:t xml:space="preserve"> Is there a reason for calling out LTPAC and BH?  I’m not sure we even have integration with non-LTPAC providers?</w:t>
            </w:r>
          </w:p>
          <w:p w14:paraId="3CA0690C" w14:textId="77777777" w:rsidR="004C5E0A" w:rsidRPr="004C5E0A" w:rsidRDefault="004C5E0A" w:rsidP="005F52AF">
            <w:pPr>
              <w:pStyle w:val="CommentText"/>
              <w:numPr>
                <w:ilvl w:val="0"/>
                <w:numId w:val="15"/>
              </w:numPr>
              <w:ind w:left="306"/>
              <w:rPr>
                <w:sz w:val="22"/>
                <w:szCs w:val="22"/>
              </w:rPr>
            </w:pPr>
            <w:r w:rsidRPr="004C5E0A">
              <w:rPr>
                <w:b/>
                <w:sz w:val="22"/>
                <w:szCs w:val="22"/>
              </w:rPr>
              <w:t>Consider strengthening:</w:t>
            </w:r>
            <w:r w:rsidRPr="004C5E0A">
              <w:rPr>
                <w:sz w:val="22"/>
                <w:szCs w:val="22"/>
              </w:rPr>
              <w:t xml:space="preserve"> we should expand beyond LTPAC and BH providers here as well to get at the broader ecosystem beyond these core providers, e.g. other MU ineligible specialties, nurse educators, nutritionists, social and human services agencies, providers, case workers, and care coordinators.</w:t>
            </w:r>
          </w:p>
          <w:p w14:paraId="44E2E291" w14:textId="3E0AF2F0" w:rsidR="00BA0992" w:rsidRPr="004C5E0A" w:rsidRDefault="004C5E0A" w:rsidP="005F52AF">
            <w:pPr>
              <w:pStyle w:val="CommentText"/>
              <w:numPr>
                <w:ilvl w:val="0"/>
                <w:numId w:val="15"/>
              </w:numPr>
              <w:ind w:left="306"/>
              <w:rPr>
                <w:sz w:val="22"/>
                <w:szCs w:val="22"/>
              </w:rPr>
            </w:pPr>
            <w:r w:rsidRPr="004C5E0A">
              <w:rPr>
                <w:sz w:val="22"/>
                <w:szCs w:val="22"/>
              </w:rPr>
              <w:t xml:space="preserve">Emphasis is to recommend CMS help fill infrastructure funding gaps for beyond MU providers. </w:t>
            </w:r>
          </w:p>
        </w:tc>
      </w:tr>
    </w:tbl>
    <w:p w14:paraId="030B51C3" w14:textId="77777777" w:rsidR="008E41EA" w:rsidRPr="00274AF5" w:rsidRDefault="008E41EA" w:rsidP="00E47D31">
      <w:pPr>
        <w:rPr>
          <w:rFonts w:ascii="Calibri" w:eastAsia="Times New Roman" w:hAnsi="Calibri" w:cs="Times New Roman"/>
          <w:i/>
          <w:color w:val="000000"/>
        </w:rPr>
      </w:pPr>
    </w:p>
    <w:tbl>
      <w:tblPr>
        <w:tblStyle w:val="TableGrid"/>
        <w:tblW w:w="13788" w:type="dxa"/>
        <w:tblLook w:val="04A0" w:firstRow="1" w:lastRow="0" w:firstColumn="1" w:lastColumn="0" w:noHBand="0" w:noVBand="1"/>
      </w:tblPr>
      <w:tblGrid>
        <w:gridCol w:w="6894"/>
        <w:gridCol w:w="6894"/>
      </w:tblGrid>
      <w:tr w:rsidR="008E41EA" w:rsidRPr="00274AF5" w14:paraId="116D47D0" w14:textId="77777777" w:rsidTr="006F600B">
        <w:tc>
          <w:tcPr>
            <w:tcW w:w="6894" w:type="dxa"/>
            <w:shd w:val="clear" w:color="auto" w:fill="D9D9D9" w:themeFill="background1" w:themeFillShade="D9"/>
          </w:tcPr>
          <w:p w14:paraId="1B742368" w14:textId="4CFCD797" w:rsidR="008E41EA" w:rsidRPr="00274AF5" w:rsidRDefault="008E41EA" w:rsidP="008E41EA">
            <w:pPr>
              <w:rPr>
                <w:bCs/>
                <w:i/>
              </w:rPr>
            </w:pPr>
            <w:r w:rsidRPr="00274AF5">
              <w:rPr>
                <w:bCs/>
                <w:i/>
              </w:rPr>
              <w:t>Original Text</w:t>
            </w:r>
          </w:p>
        </w:tc>
        <w:tc>
          <w:tcPr>
            <w:tcW w:w="6894" w:type="dxa"/>
            <w:shd w:val="clear" w:color="auto" w:fill="D9D9D9" w:themeFill="background1" w:themeFillShade="D9"/>
          </w:tcPr>
          <w:p w14:paraId="517F0846" w14:textId="1AE7AA61" w:rsidR="008E41EA" w:rsidRPr="00274AF5" w:rsidRDefault="008E41EA" w:rsidP="008E41EA">
            <w:pPr>
              <w:pStyle w:val="CommentText"/>
              <w:rPr>
                <w:i/>
                <w:sz w:val="22"/>
                <w:szCs w:val="22"/>
              </w:rPr>
            </w:pPr>
            <w:r w:rsidRPr="00274AF5">
              <w:rPr>
                <w:i/>
                <w:sz w:val="22"/>
                <w:szCs w:val="22"/>
              </w:rPr>
              <w:t>Comments/Major Revisions</w:t>
            </w:r>
          </w:p>
        </w:tc>
      </w:tr>
      <w:tr w:rsidR="008E41EA" w:rsidRPr="00274AF5" w14:paraId="53051329" w14:textId="77777777" w:rsidTr="006F600B">
        <w:tc>
          <w:tcPr>
            <w:tcW w:w="6894" w:type="dxa"/>
          </w:tcPr>
          <w:p w14:paraId="78882E6E" w14:textId="0F255034" w:rsidR="008E41EA" w:rsidRPr="00274AF5" w:rsidRDefault="008E41EA" w:rsidP="00E03521">
            <w:pPr>
              <w:pStyle w:val="ListParagraph"/>
              <w:numPr>
                <w:ilvl w:val="0"/>
                <w:numId w:val="5"/>
              </w:numPr>
              <w:ind w:left="360" w:hanging="360"/>
              <w:rPr>
                <w:b/>
                <w:bCs/>
              </w:rPr>
            </w:pPr>
            <w:r w:rsidRPr="00274AF5">
              <w:rPr>
                <w:b/>
                <w:bCs/>
              </w:rPr>
              <w:t xml:space="preserve">Access to administrative data. </w:t>
            </w:r>
            <w:r w:rsidRPr="00274AF5">
              <w:rPr>
                <w:bCs/>
              </w:rPr>
              <w:t xml:space="preserve">Providers operating under accountable care arrangements are striving to obtain access to data that will allow them to manage the total costs of a </w:t>
            </w:r>
            <w:r w:rsidR="00E03521">
              <w:rPr>
                <w:bCs/>
              </w:rPr>
              <w:t>defined population of patients.</w:t>
            </w:r>
            <w:r w:rsidRPr="00274AF5">
              <w:rPr>
                <w:bCs/>
              </w:rPr>
              <w:t xml:space="preserve"> HHS should continue to demonstrate leadership around expanding the availability of</w:t>
            </w:r>
            <w:r w:rsidR="00E03521">
              <w:rPr>
                <w:bCs/>
              </w:rPr>
              <w:t xml:space="preserve"> administrative data residing in different silos and driving </w:t>
            </w:r>
            <w:r w:rsidRPr="00274AF5">
              <w:rPr>
                <w:bCs/>
              </w:rPr>
              <w:t>gre</w:t>
            </w:r>
            <w:r w:rsidR="00E03521">
              <w:rPr>
                <w:bCs/>
              </w:rPr>
              <w:t>ater uniformity and scalability so that this data is made available in usable formats.</w:t>
            </w:r>
          </w:p>
        </w:tc>
        <w:tc>
          <w:tcPr>
            <w:tcW w:w="6894" w:type="dxa"/>
          </w:tcPr>
          <w:p w14:paraId="1B6A2B1F" w14:textId="77777777" w:rsidR="008E41EA" w:rsidRPr="00274AF5" w:rsidRDefault="008E41EA" w:rsidP="00E03521">
            <w:pPr>
              <w:pStyle w:val="CommentText"/>
              <w:ind w:left="342"/>
              <w:rPr>
                <w:sz w:val="22"/>
                <w:szCs w:val="22"/>
              </w:rPr>
            </w:pPr>
          </w:p>
        </w:tc>
      </w:tr>
      <w:tr w:rsidR="008E41EA" w:rsidRPr="00274AF5" w14:paraId="1974823D" w14:textId="77777777" w:rsidTr="006F600B">
        <w:tc>
          <w:tcPr>
            <w:tcW w:w="6894" w:type="dxa"/>
          </w:tcPr>
          <w:p w14:paraId="23CBC7EE" w14:textId="10998FCC" w:rsidR="008E41EA" w:rsidRPr="00274AF5" w:rsidRDefault="00EA517C" w:rsidP="00845E5D">
            <w:pPr>
              <w:pStyle w:val="ListParagraph"/>
              <w:numPr>
                <w:ilvl w:val="0"/>
                <w:numId w:val="6"/>
              </w:numPr>
              <w:ind w:left="360"/>
            </w:pPr>
            <w:r w:rsidRPr="00EA517C">
              <w:rPr>
                <w:b/>
              </w:rPr>
              <w:t>Strategy for scalable data architecture.</w:t>
            </w:r>
            <w:r>
              <w:t xml:space="preserve"> </w:t>
            </w:r>
            <w:r w:rsidR="008E41EA" w:rsidRPr="00274AF5">
              <w:t xml:space="preserve">CMS should initiate an effort with the State Innovation Model program (CMMI) in order to understand best approaches to aggregation of claims and clinical data </w:t>
            </w:r>
            <w:r w:rsidR="008E41EA" w:rsidRPr="00274AF5">
              <w:lastRenderedPageBreak/>
              <w:t>and articulate a strategy to develop a scalable data architecture which can serve the needs of providers, health systems, states, payers, and other stakeholders engaged in accountable care arrangements. This effort should consider:</w:t>
            </w:r>
          </w:p>
          <w:p w14:paraId="6794458C" w14:textId="77777777" w:rsidR="008E41EA" w:rsidRPr="00274AF5" w:rsidRDefault="008E41EA" w:rsidP="00845E5D">
            <w:pPr>
              <w:pStyle w:val="ListParagraph"/>
              <w:numPr>
                <w:ilvl w:val="2"/>
                <w:numId w:val="1"/>
              </w:numPr>
              <w:ind w:left="900"/>
            </w:pPr>
            <w:r w:rsidRPr="00274AF5">
              <w:t>Current examples where all-payer claims databases, HIEs, Medicare qualified entities, and other data aggregators at a community or state level are acting to serve the needs of providers seeking comprehensive clinical and administrative data to support value based purchasing and quality improvement.</w:t>
            </w:r>
          </w:p>
          <w:p w14:paraId="4D59E011" w14:textId="77777777" w:rsidR="008E41EA" w:rsidRPr="00274AF5" w:rsidRDefault="008E41EA" w:rsidP="00845E5D">
            <w:pPr>
              <w:pStyle w:val="ListParagraph"/>
              <w:numPr>
                <w:ilvl w:val="2"/>
                <w:numId w:val="1"/>
              </w:numPr>
              <w:ind w:left="900"/>
            </w:pPr>
            <w:r w:rsidRPr="00274AF5">
              <w:t xml:space="preserve">Strategies to maximize the value of these investments to Medicaid and other commercial payers, identify models for scale across different regions, and address key barriers. </w:t>
            </w:r>
          </w:p>
          <w:p w14:paraId="6F23840C" w14:textId="1FEEFDD7" w:rsidR="008E41EA" w:rsidRPr="00274AF5" w:rsidRDefault="008E41EA" w:rsidP="00845E5D">
            <w:pPr>
              <w:pStyle w:val="ListParagraph"/>
              <w:numPr>
                <w:ilvl w:val="2"/>
                <w:numId w:val="1"/>
              </w:numPr>
              <w:ind w:left="900"/>
            </w:pPr>
            <w:r w:rsidRPr="00274AF5">
              <w:t>Promoting best approaches to uniform methods and standards for integrating claims data across multiple sources that can be disseminated across models.</w:t>
            </w:r>
          </w:p>
        </w:tc>
        <w:tc>
          <w:tcPr>
            <w:tcW w:w="6894" w:type="dxa"/>
          </w:tcPr>
          <w:p w14:paraId="286FC6FC" w14:textId="77777777" w:rsidR="00EA517C" w:rsidRDefault="005F52AF" w:rsidP="005F52AF">
            <w:pPr>
              <w:pStyle w:val="CommentText"/>
              <w:numPr>
                <w:ilvl w:val="0"/>
                <w:numId w:val="16"/>
              </w:numPr>
              <w:ind w:left="342"/>
              <w:rPr>
                <w:sz w:val="22"/>
                <w:szCs w:val="22"/>
              </w:rPr>
            </w:pPr>
            <w:r w:rsidRPr="004C5E0A">
              <w:rPr>
                <w:b/>
                <w:bCs/>
                <w:sz w:val="22"/>
                <w:szCs w:val="22"/>
              </w:rPr>
              <w:lastRenderedPageBreak/>
              <w:t xml:space="preserve">Alternate Language: </w:t>
            </w:r>
            <w:r w:rsidRPr="004C5E0A">
              <w:rPr>
                <w:sz w:val="22"/>
                <w:szCs w:val="22"/>
              </w:rPr>
              <w:t xml:space="preserve">CMS should initiate an effort with the State Innovation Model (CMMI) to support the development of APCDs in all states.  Since there is variation in how these are constructed, this </w:t>
            </w:r>
            <w:r w:rsidRPr="004C5E0A">
              <w:rPr>
                <w:sz w:val="22"/>
                <w:szCs w:val="22"/>
              </w:rPr>
              <w:lastRenderedPageBreak/>
              <w:t xml:space="preserve">effort </w:t>
            </w:r>
            <w:r w:rsidR="00EA517C">
              <w:rPr>
                <w:sz w:val="22"/>
                <w:szCs w:val="22"/>
              </w:rPr>
              <w:t>should include:</w:t>
            </w:r>
          </w:p>
          <w:p w14:paraId="001A6BFA" w14:textId="56FD34CB" w:rsidR="00EA517C" w:rsidRDefault="005F52AF" w:rsidP="005F52AF">
            <w:pPr>
              <w:pStyle w:val="CommentText"/>
              <w:numPr>
                <w:ilvl w:val="1"/>
                <w:numId w:val="16"/>
              </w:numPr>
              <w:ind w:left="1062"/>
              <w:rPr>
                <w:sz w:val="22"/>
                <w:szCs w:val="22"/>
              </w:rPr>
            </w:pPr>
            <w:r w:rsidRPr="004C5E0A">
              <w:rPr>
                <w:sz w:val="22"/>
                <w:szCs w:val="22"/>
              </w:rPr>
              <w:t>Funding for a study to identify uniform methods and quality control standards for development of these APCDS and recommend minimum edits that should be applied for consistency in data r</w:t>
            </w:r>
            <w:r w:rsidR="00EA517C">
              <w:rPr>
                <w:sz w:val="22"/>
                <w:szCs w:val="22"/>
              </w:rPr>
              <w:t>eliability and data integrity.</w:t>
            </w:r>
          </w:p>
          <w:p w14:paraId="26A5A927" w14:textId="4ADF3854" w:rsidR="00AF4786" w:rsidRDefault="005F52AF" w:rsidP="005F52AF">
            <w:pPr>
              <w:pStyle w:val="CommentText"/>
              <w:numPr>
                <w:ilvl w:val="1"/>
                <w:numId w:val="16"/>
              </w:numPr>
              <w:ind w:left="1062"/>
              <w:rPr>
                <w:sz w:val="22"/>
                <w:szCs w:val="22"/>
              </w:rPr>
            </w:pPr>
            <w:r w:rsidRPr="004C5E0A">
              <w:rPr>
                <w:sz w:val="22"/>
                <w:szCs w:val="22"/>
              </w:rPr>
              <w:t>Requirements that states receiving SIM funding have commitment from both Medicaid and private payers doing business in that state to contribute to the APCD</w:t>
            </w:r>
            <w:r w:rsidR="00EA517C">
              <w:rPr>
                <w:sz w:val="22"/>
                <w:szCs w:val="22"/>
              </w:rPr>
              <w:t>.</w:t>
            </w:r>
          </w:p>
          <w:p w14:paraId="6E2E4CAA" w14:textId="77777777" w:rsidR="00EA517C" w:rsidRPr="004C5E0A" w:rsidRDefault="00EA517C" w:rsidP="00EA517C">
            <w:pPr>
              <w:pStyle w:val="CommentText"/>
              <w:ind w:left="342"/>
              <w:rPr>
                <w:sz w:val="22"/>
                <w:szCs w:val="22"/>
              </w:rPr>
            </w:pPr>
          </w:p>
          <w:p w14:paraId="3C56FE6E" w14:textId="77777777" w:rsidR="00AF4786" w:rsidRPr="004C5E0A" w:rsidRDefault="005F52AF" w:rsidP="005F52AF">
            <w:pPr>
              <w:pStyle w:val="CommentText"/>
              <w:numPr>
                <w:ilvl w:val="0"/>
                <w:numId w:val="16"/>
              </w:numPr>
              <w:ind w:left="342"/>
              <w:rPr>
                <w:sz w:val="22"/>
                <w:szCs w:val="22"/>
              </w:rPr>
            </w:pPr>
            <w:r w:rsidRPr="004C5E0A">
              <w:rPr>
                <w:b/>
                <w:bCs/>
                <w:sz w:val="22"/>
                <w:szCs w:val="22"/>
              </w:rPr>
              <w:t xml:space="preserve">Regarding alternate language: </w:t>
            </w:r>
            <w:r w:rsidRPr="004C5E0A">
              <w:rPr>
                <w:sz w:val="22"/>
                <w:szCs w:val="22"/>
              </w:rPr>
              <w:t>I have real concerns about the viability of APCDs or even whether their data will be available to ACOs (there are severe restrictions in some state such as MN). I don’t think we should limit the recommendations to APCDs. Instead I think we need a range of options to support accountable care access to claims data 1) urging commercial payers to share claims data with their ACO partners 2) facilitating many organizational types as the repository and aggregator (QEs, regional quality data intermediaries, HIEs and APCDs) that can combine claims and clinical data for partners 3) facilitating the availability of data enclaves (such as Optum labs) that combine Medicare and commercial data and that can be used for discovery and research (not direct patient care)</w:t>
            </w:r>
          </w:p>
          <w:p w14:paraId="408DC2BC" w14:textId="6358F2BE" w:rsidR="00D94604" w:rsidRPr="004C5E0A" w:rsidRDefault="005F52AF" w:rsidP="005F52AF">
            <w:pPr>
              <w:pStyle w:val="CommentText"/>
              <w:numPr>
                <w:ilvl w:val="0"/>
                <w:numId w:val="16"/>
              </w:numPr>
              <w:ind w:left="342"/>
              <w:rPr>
                <w:sz w:val="22"/>
                <w:szCs w:val="22"/>
              </w:rPr>
            </w:pPr>
            <w:r w:rsidRPr="004C5E0A">
              <w:rPr>
                <w:b/>
                <w:bCs/>
                <w:sz w:val="22"/>
                <w:szCs w:val="22"/>
              </w:rPr>
              <w:t xml:space="preserve">Scope question: </w:t>
            </w:r>
            <w:r w:rsidRPr="004C5E0A">
              <w:rPr>
                <w:sz w:val="22"/>
                <w:szCs w:val="22"/>
              </w:rPr>
              <w:t>Is this appropriate for ONC to recommend?</w:t>
            </w:r>
          </w:p>
        </w:tc>
      </w:tr>
      <w:tr w:rsidR="008E41EA" w:rsidRPr="00274AF5" w14:paraId="76C0D9F5" w14:textId="77777777" w:rsidTr="006F600B">
        <w:tc>
          <w:tcPr>
            <w:tcW w:w="6894" w:type="dxa"/>
          </w:tcPr>
          <w:p w14:paraId="25B50CC4" w14:textId="22D7E55C" w:rsidR="008E41EA" w:rsidRPr="00EA517C" w:rsidRDefault="00EA517C" w:rsidP="00845E5D">
            <w:pPr>
              <w:pStyle w:val="ListParagraph"/>
              <w:numPr>
                <w:ilvl w:val="0"/>
                <w:numId w:val="6"/>
              </w:numPr>
              <w:ind w:left="360"/>
            </w:pPr>
            <w:r w:rsidRPr="00EA517C">
              <w:rPr>
                <w:b/>
              </w:rPr>
              <w:lastRenderedPageBreak/>
              <w:t>Availability of behavioral health claims data.</w:t>
            </w:r>
            <w:r w:rsidRPr="00EA517C">
              <w:t xml:space="preserve"> </w:t>
            </w:r>
            <w:r w:rsidR="00AC0AB6" w:rsidRPr="00EA517C">
              <w:t>CMS and SAMHSA should work to overcome existing barriers to the release of Medicare Behavioral Health Claims to providers participating in accountable care programs.</w:t>
            </w:r>
          </w:p>
        </w:tc>
        <w:tc>
          <w:tcPr>
            <w:tcW w:w="6894" w:type="dxa"/>
          </w:tcPr>
          <w:p w14:paraId="2DB7944B" w14:textId="7745D7C3" w:rsidR="00206F14" w:rsidRPr="00EA517C" w:rsidRDefault="00206F14" w:rsidP="00D94604">
            <w:pPr>
              <w:pStyle w:val="CommentText"/>
              <w:numPr>
                <w:ilvl w:val="0"/>
                <w:numId w:val="3"/>
              </w:numPr>
              <w:ind w:left="342"/>
              <w:rPr>
                <w:sz w:val="22"/>
                <w:szCs w:val="22"/>
              </w:rPr>
            </w:pPr>
            <w:r w:rsidRPr="00EA517C">
              <w:rPr>
                <w:sz w:val="22"/>
                <w:szCs w:val="22"/>
              </w:rPr>
              <w:t xml:space="preserve">HIGHLY important—behavioral health </w:t>
            </w:r>
            <w:r w:rsidR="00FA15FA" w:rsidRPr="00EA517C">
              <w:rPr>
                <w:sz w:val="22"/>
                <w:szCs w:val="22"/>
              </w:rPr>
              <w:t>is critical to control of somatic medical problems in a risk contract</w:t>
            </w:r>
            <w:r w:rsidRPr="00EA517C">
              <w:rPr>
                <w:sz w:val="22"/>
                <w:szCs w:val="22"/>
              </w:rPr>
              <w:t>.</w:t>
            </w:r>
            <w:r w:rsidR="00D94604" w:rsidRPr="00EA517C">
              <w:rPr>
                <w:sz w:val="22"/>
                <w:szCs w:val="22"/>
              </w:rPr>
              <w:t xml:space="preserve"> </w:t>
            </w:r>
            <w:r w:rsidRPr="00EA517C">
              <w:rPr>
                <w:sz w:val="22"/>
                <w:szCs w:val="22"/>
              </w:rPr>
              <w:t>Currently CMS (and other payors) are prohibited from sharing MH/BH information even if the Patient agrees to share information. Creates a significant gap in care when the treating physician is unaware of other factors (MH dx, personality disorders, social factors impacting care, and</w:t>
            </w:r>
            <w:r w:rsidR="00D94604" w:rsidRPr="00EA517C">
              <w:rPr>
                <w:sz w:val="22"/>
                <w:szCs w:val="22"/>
              </w:rPr>
              <w:t xml:space="preserve"> understanding the GAF score).</w:t>
            </w:r>
          </w:p>
        </w:tc>
      </w:tr>
      <w:tr w:rsidR="008E41EA" w:rsidRPr="00274AF5" w14:paraId="3CC6DFDC" w14:textId="77777777" w:rsidTr="006F600B">
        <w:tc>
          <w:tcPr>
            <w:tcW w:w="6894" w:type="dxa"/>
          </w:tcPr>
          <w:p w14:paraId="5F768E9A" w14:textId="4F86CF3D" w:rsidR="008E41EA" w:rsidRPr="00EA517C" w:rsidRDefault="00EA517C" w:rsidP="00845E5D">
            <w:pPr>
              <w:pStyle w:val="ListParagraph"/>
              <w:numPr>
                <w:ilvl w:val="0"/>
                <w:numId w:val="6"/>
              </w:numPr>
              <w:ind w:left="360"/>
            </w:pPr>
            <w:r w:rsidRPr="00EA517C">
              <w:rPr>
                <w:b/>
              </w:rPr>
              <w:t>Availability of claims data for prospective ACOs.</w:t>
            </w:r>
            <w:r w:rsidRPr="00EA517C">
              <w:t xml:space="preserve"> </w:t>
            </w:r>
            <w:r w:rsidR="00AC0AB6" w:rsidRPr="00EA517C">
              <w:t xml:space="preserve">CMS should make Medicare claims data available to providers that are contemplating development of an ACO in order to allow them to evaluate the financial risk associated with their attributed patients in advance of participation in the program.  </w:t>
            </w:r>
          </w:p>
        </w:tc>
        <w:tc>
          <w:tcPr>
            <w:tcW w:w="6894" w:type="dxa"/>
          </w:tcPr>
          <w:p w14:paraId="62499ADC" w14:textId="1CD061C9" w:rsidR="008E41EA" w:rsidRPr="006F600B" w:rsidRDefault="006F600B" w:rsidP="005F52AF">
            <w:pPr>
              <w:pStyle w:val="CommentText"/>
              <w:numPr>
                <w:ilvl w:val="0"/>
                <w:numId w:val="40"/>
              </w:numPr>
              <w:ind w:left="306" w:hanging="306"/>
              <w:rPr>
                <w:rFonts w:ascii="Calibri" w:eastAsia="Times New Roman" w:hAnsi="Calibri" w:cs="Times New Roman"/>
                <w:color w:val="000000"/>
                <w:sz w:val="22"/>
                <w:szCs w:val="22"/>
              </w:rPr>
            </w:pPr>
            <w:r>
              <w:rPr>
                <w:sz w:val="22"/>
                <w:szCs w:val="22"/>
              </w:rPr>
              <w:t>Agreed. T</w:t>
            </w:r>
            <w:r w:rsidRPr="006F600B">
              <w:rPr>
                <w:sz w:val="22"/>
                <w:szCs w:val="22"/>
              </w:rPr>
              <w:t xml:space="preserve">he data could be redacted to protect the identities of patients who have not given approval to share their specific claims information. Having to wait until the CMS MSSP effective date creates obstacles to developing pro-active strategies </w:t>
            </w:r>
            <w:r>
              <w:rPr>
                <w:sz w:val="22"/>
                <w:szCs w:val="22"/>
              </w:rPr>
              <w:t xml:space="preserve">to deal with the medical spend </w:t>
            </w:r>
            <w:r w:rsidRPr="006F600B">
              <w:rPr>
                <w:sz w:val="22"/>
                <w:szCs w:val="22"/>
              </w:rPr>
              <w:t xml:space="preserve">and compliance issues. The total spends on the claims files do </w:t>
            </w:r>
            <w:r w:rsidRPr="006F600B">
              <w:rPr>
                <w:sz w:val="22"/>
                <w:szCs w:val="22"/>
              </w:rPr>
              <w:lastRenderedPageBreak/>
              <w:t>not accurately reflect the true nature of the spend.</w:t>
            </w:r>
          </w:p>
        </w:tc>
      </w:tr>
    </w:tbl>
    <w:p w14:paraId="2019BBCE" w14:textId="77777777" w:rsidR="00AC0AB6" w:rsidRPr="00274AF5" w:rsidRDefault="00AC0AB6" w:rsidP="00E47D31">
      <w:pPr>
        <w:rPr>
          <w:rFonts w:ascii="Calibri" w:eastAsia="Times New Roman" w:hAnsi="Calibri" w:cs="Times New Roman"/>
          <w:color w:val="000000"/>
        </w:rPr>
      </w:pPr>
    </w:p>
    <w:tbl>
      <w:tblPr>
        <w:tblStyle w:val="TableGrid"/>
        <w:tblW w:w="13788" w:type="dxa"/>
        <w:tblLook w:val="04A0" w:firstRow="1" w:lastRow="0" w:firstColumn="1" w:lastColumn="0" w:noHBand="0" w:noVBand="1"/>
      </w:tblPr>
      <w:tblGrid>
        <w:gridCol w:w="6894"/>
        <w:gridCol w:w="6894"/>
      </w:tblGrid>
      <w:tr w:rsidR="00655B97" w:rsidRPr="00274AF5" w14:paraId="4ED9BB2F" w14:textId="77777777" w:rsidTr="006F600B">
        <w:tc>
          <w:tcPr>
            <w:tcW w:w="6894" w:type="dxa"/>
            <w:shd w:val="clear" w:color="auto" w:fill="D9D9D9" w:themeFill="background1" w:themeFillShade="D9"/>
          </w:tcPr>
          <w:p w14:paraId="74AA3133" w14:textId="77777777" w:rsidR="00655B97" w:rsidRPr="00274AF5" w:rsidRDefault="00655B97" w:rsidP="00053E40">
            <w:pPr>
              <w:rPr>
                <w:bCs/>
                <w:i/>
              </w:rPr>
            </w:pPr>
            <w:r w:rsidRPr="00274AF5">
              <w:rPr>
                <w:bCs/>
                <w:i/>
              </w:rPr>
              <w:t>Original Text</w:t>
            </w:r>
          </w:p>
        </w:tc>
        <w:tc>
          <w:tcPr>
            <w:tcW w:w="6894" w:type="dxa"/>
            <w:shd w:val="clear" w:color="auto" w:fill="D9D9D9" w:themeFill="background1" w:themeFillShade="D9"/>
          </w:tcPr>
          <w:p w14:paraId="402E64B1" w14:textId="77777777" w:rsidR="00655B97" w:rsidRPr="00274AF5" w:rsidRDefault="00655B97" w:rsidP="00053E40">
            <w:pPr>
              <w:pStyle w:val="CommentText"/>
              <w:rPr>
                <w:i/>
                <w:sz w:val="22"/>
                <w:szCs w:val="22"/>
              </w:rPr>
            </w:pPr>
            <w:r w:rsidRPr="00274AF5">
              <w:rPr>
                <w:i/>
                <w:sz w:val="22"/>
                <w:szCs w:val="22"/>
              </w:rPr>
              <w:t>Comments/Major Revisions</w:t>
            </w:r>
          </w:p>
        </w:tc>
      </w:tr>
      <w:tr w:rsidR="00AC0AB6" w:rsidRPr="00274AF5" w14:paraId="37A981E6" w14:textId="77777777" w:rsidTr="006F600B">
        <w:tc>
          <w:tcPr>
            <w:tcW w:w="6894" w:type="dxa"/>
          </w:tcPr>
          <w:p w14:paraId="345E4A99" w14:textId="2E646AA4" w:rsidR="00AC0AB6" w:rsidRPr="00274AF5" w:rsidRDefault="009F7897" w:rsidP="00845E5D">
            <w:pPr>
              <w:pStyle w:val="ListParagraph"/>
              <w:numPr>
                <w:ilvl w:val="0"/>
                <w:numId w:val="5"/>
              </w:numPr>
              <w:ind w:left="360" w:hanging="360"/>
            </w:pPr>
            <w:r w:rsidRPr="009F7897">
              <w:rPr>
                <w:b/>
                <w:bCs/>
              </w:rPr>
              <w:t>Access to Encounter Data</w:t>
            </w:r>
            <w:r>
              <w:rPr>
                <w:b/>
                <w:bCs/>
              </w:rPr>
              <w:t xml:space="preserve">. </w:t>
            </w:r>
            <w:r w:rsidR="00AC0AB6" w:rsidRPr="00274AF5">
              <w:t>Patients assigned to one accountable care provider organization may and do seek a significant amount of care elsewhere--care for which the ACO is financially responsible. In order to better coordinate and direct care,  providers need real time information regarding where and when their patients are admitted, discharged, or transferred from other loci of care (emergency departments, hospitals, LTPAC, etc.) While this information is ultimately available from plans or in an APCD, the lag time precludes direct intervention at point of care.</w:t>
            </w:r>
          </w:p>
        </w:tc>
        <w:tc>
          <w:tcPr>
            <w:tcW w:w="6894" w:type="dxa"/>
          </w:tcPr>
          <w:p w14:paraId="2060ABBF" w14:textId="77777777" w:rsidR="00AC0AB6" w:rsidRPr="00274AF5" w:rsidRDefault="00AC0AB6" w:rsidP="00E47D31">
            <w:pPr>
              <w:rPr>
                <w:rFonts w:ascii="Calibri" w:eastAsia="Times New Roman" w:hAnsi="Calibri" w:cs="Times New Roman"/>
                <w:color w:val="000000"/>
              </w:rPr>
            </w:pPr>
          </w:p>
        </w:tc>
      </w:tr>
      <w:tr w:rsidR="00AC0AB6" w:rsidRPr="00274AF5" w14:paraId="44632862" w14:textId="77777777" w:rsidTr="006F600B">
        <w:tc>
          <w:tcPr>
            <w:tcW w:w="6894" w:type="dxa"/>
          </w:tcPr>
          <w:p w14:paraId="7CE92147" w14:textId="6E0A244F" w:rsidR="00AC0AB6" w:rsidRPr="00274AF5" w:rsidRDefault="00E14204" w:rsidP="005F52AF">
            <w:pPr>
              <w:pStyle w:val="ListParagraph"/>
              <w:numPr>
                <w:ilvl w:val="0"/>
                <w:numId w:val="11"/>
              </w:numPr>
              <w:ind w:left="360"/>
            </w:pPr>
            <w:r w:rsidRPr="00EA517C">
              <w:rPr>
                <w:b/>
              </w:rPr>
              <w:t>Patient Event Notifications.</w:t>
            </w:r>
            <w:r>
              <w:t xml:space="preserve"> </w:t>
            </w:r>
            <w:r w:rsidR="00FA15FA" w:rsidRPr="00274AF5">
              <w:t>ONC should focus on developing a scalable architecture and implementation guides using HL7 standar</w:t>
            </w:r>
            <w:r w:rsidR="00D94604">
              <w:t xml:space="preserve">ds and other re-usable modules, </w:t>
            </w:r>
            <w:r w:rsidR="00D94604" w:rsidRPr="00274AF5">
              <w:t>which</w:t>
            </w:r>
            <w:r w:rsidR="00FA15FA" w:rsidRPr="00274AF5">
              <w:t xml:space="preserve"> will notify an ACO or primary care provider when a patient is admitted or discharged from a hospital. Many communities with HIEs have successfully deployed this sort of alerting infrastructure, but there is a need for a lower cost and easily deployable option that is not dependent on the availability of robust HIE infrastructure at the community level. </w:t>
            </w:r>
          </w:p>
        </w:tc>
        <w:tc>
          <w:tcPr>
            <w:tcW w:w="6894" w:type="dxa"/>
          </w:tcPr>
          <w:p w14:paraId="4D9323EB" w14:textId="11D16EAD" w:rsidR="00242D4E" w:rsidRDefault="00D94604" w:rsidP="005F52AF">
            <w:pPr>
              <w:pStyle w:val="CommentText"/>
              <w:numPr>
                <w:ilvl w:val="0"/>
                <w:numId w:val="17"/>
              </w:numPr>
              <w:ind w:left="306"/>
              <w:rPr>
                <w:sz w:val="22"/>
                <w:szCs w:val="22"/>
              </w:rPr>
            </w:pPr>
            <w:r>
              <w:rPr>
                <w:sz w:val="22"/>
                <w:szCs w:val="22"/>
              </w:rPr>
              <w:t>This seems</w:t>
            </w:r>
            <w:r w:rsidR="00242D4E" w:rsidRPr="00274AF5">
              <w:rPr>
                <w:sz w:val="22"/>
                <w:szCs w:val="22"/>
              </w:rPr>
              <w:t xml:space="preserve"> the low hanging fruit that already has a strong set of business incentives due to readmission penalties</w:t>
            </w:r>
            <w:r>
              <w:rPr>
                <w:sz w:val="22"/>
                <w:szCs w:val="22"/>
              </w:rPr>
              <w:t>.</w:t>
            </w:r>
          </w:p>
          <w:p w14:paraId="7F5FC807" w14:textId="1889A8E9" w:rsidR="00D94604" w:rsidRPr="00274AF5" w:rsidRDefault="00D94604" w:rsidP="005F52AF">
            <w:pPr>
              <w:pStyle w:val="CommentText"/>
              <w:numPr>
                <w:ilvl w:val="0"/>
                <w:numId w:val="17"/>
              </w:numPr>
              <w:ind w:left="306"/>
              <w:rPr>
                <w:sz w:val="22"/>
                <w:szCs w:val="22"/>
              </w:rPr>
            </w:pPr>
            <w:r w:rsidRPr="00274AF5">
              <w:rPr>
                <w:sz w:val="22"/>
                <w:szCs w:val="22"/>
              </w:rPr>
              <w:t>One of the six HHS innovation fellows is currently assigned to ONC to develop this infrastructure.</w:t>
            </w:r>
          </w:p>
          <w:p w14:paraId="16AEA100" w14:textId="77777777" w:rsidR="00AC0AB6" w:rsidRPr="00274AF5" w:rsidRDefault="00AC0AB6" w:rsidP="00242D4E">
            <w:pPr>
              <w:ind w:left="342"/>
            </w:pPr>
          </w:p>
        </w:tc>
      </w:tr>
      <w:tr w:rsidR="00AC0AB6" w:rsidRPr="00274AF5" w14:paraId="7258A815" w14:textId="77777777" w:rsidTr="006F600B">
        <w:tc>
          <w:tcPr>
            <w:tcW w:w="6894" w:type="dxa"/>
          </w:tcPr>
          <w:p w14:paraId="59A3B65C" w14:textId="77777777" w:rsidR="00E14204" w:rsidRDefault="00FA15FA" w:rsidP="005F52AF">
            <w:pPr>
              <w:pStyle w:val="ListParagraph"/>
              <w:numPr>
                <w:ilvl w:val="0"/>
                <w:numId w:val="11"/>
              </w:numPr>
              <w:ind w:left="360"/>
            </w:pPr>
            <w:r w:rsidRPr="00EA517C">
              <w:rPr>
                <w:b/>
              </w:rPr>
              <w:t>Social Determinants of Health.</w:t>
            </w:r>
            <w:r w:rsidRPr="00274AF5">
              <w:t xml:space="preserve"> HHS, through the State Innovation Model (CMMI) should develop an effort to understand the scope and issues related to making an integrated set of social determinants of health (SDH) available for both care and planning purposes. This effort should consider: </w:t>
            </w:r>
          </w:p>
          <w:p w14:paraId="7E7BFC62" w14:textId="6D87B4C5" w:rsidR="00E14204" w:rsidRDefault="00FA15FA" w:rsidP="00E14204">
            <w:pPr>
              <w:pStyle w:val="ListParagraph"/>
              <w:numPr>
                <w:ilvl w:val="1"/>
                <w:numId w:val="7"/>
              </w:numPr>
              <w:ind w:left="1080"/>
            </w:pPr>
            <w:r w:rsidRPr="00274AF5">
              <w:t>How to drive collaboration between stakeholders including Medicaid, social services agencies, and other site</w:t>
            </w:r>
            <w:r w:rsidR="00E14204">
              <w:t>s where SDH data resides; and</w:t>
            </w:r>
          </w:p>
          <w:p w14:paraId="2B1117F6" w14:textId="758E4205" w:rsidR="00AC0AB6" w:rsidRPr="00274AF5" w:rsidRDefault="00FA15FA" w:rsidP="00E14204">
            <w:pPr>
              <w:pStyle w:val="ListParagraph"/>
              <w:numPr>
                <w:ilvl w:val="1"/>
                <w:numId w:val="7"/>
              </w:numPr>
              <w:ind w:left="1080"/>
            </w:pPr>
            <w:r w:rsidRPr="00274AF5">
              <w:t>Convening public health stakeholders to focus on determining a standardized set of SDH elements, considering different use cases, e.g. most critical data sought by ACOs.</w:t>
            </w:r>
          </w:p>
        </w:tc>
        <w:tc>
          <w:tcPr>
            <w:tcW w:w="6894" w:type="dxa"/>
          </w:tcPr>
          <w:p w14:paraId="4AC8C7FE" w14:textId="77777777" w:rsidR="00EA517C" w:rsidRPr="00EA517C" w:rsidRDefault="00EA517C" w:rsidP="005F52AF">
            <w:pPr>
              <w:pStyle w:val="CommentText"/>
              <w:numPr>
                <w:ilvl w:val="0"/>
                <w:numId w:val="18"/>
              </w:numPr>
              <w:ind w:left="306"/>
              <w:rPr>
                <w:sz w:val="22"/>
                <w:szCs w:val="22"/>
              </w:rPr>
            </w:pPr>
            <w:r w:rsidRPr="00EA517C">
              <w:rPr>
                <w:b/>
                <w:sz w:val="22"/>
                <w:szCs w:val="22"/>
              </w:rPr>
              <w:t>Consider refining:</w:t>
            </w:r>
            <w:r w:rsidRPr="00EA517C">
              <w:rPr>
                <w:sz w:val="22"/>
                <w:szCs w:val="22"/>
              </w:rPr>
              <w:t xml:space="preserve"> I am not really sure what this is. Are we talking about sharing patient level attributes (so this is really a data sharing exercise) or are we talking about using social determinants data for research and discovery?</w:t>
            </w:r>
          </w:p>
          <w:p w14:paraId="49D10279" w14:textId="1242828C" w:rsidR="00FA15FA" w:rsidRPr="00EA517C" w:rsidRDefault="00EA517C" w:rsidP="005F52AF">
            <w:pPr>
              <w:pStyle w:val="CommentText"/>
              <w:numPr>
                <w:ilvl w:val="0"/>
                <w:numId w:val="18"/>
              </w:numPr>
              <w:ind w:left="306"/>
              <w:rPr>
                <w:sz w:val="22"/>
                <w:szCs w:val="22"/>
              </w:rPr>
            </w:pPr>
            <w:r w:rsidRPr="00EA517C">
              <w:rPr>
                <w:b/>
                <w:sz w:val="22"/>
                <w:szCs w:val="22"/>
              </w:rPr>
              <w:t>Consider additional recommendation:</w:t>
            </w:r>
            <w:r w:rsidRPr="00EA517C">
              <w:rPr>
                <w:sz w:val="22"/>
                <w:szCs w:val="22"/>
              </w:rPr>
              <w:t xml:space="preserve"> We should recommend establishing CMMI pilot projects that are structured in such a way to provide this information. When dealing with different States and jurisdictions, we need a few examples and CMMI seems to have the breadth of reach politically, geographically, and culturally to give the government some valuable information on how to move the needle here.</w:t>
            </w:r>
          </w:p>
        </w:tc>
      </w:tr>
      <w:tr w:rsidR="00AC0AB6" w:rsidRPr="00274AF5" w14:paraId="6B89B359" w14:textId="77777777" w:rsidTr="006F600B">
        <w:tc>
          <w:tcPr>
            <w:tcW w:w="6894" w:type="dxa"/>
          </w:tcPr>
          <w:p w14:paraId="4E351C73" w14:textId="564BAFC0" w:rsidR="00AC0AB6" w:rsidRPr="00274AF5" w:rsidRDefault="00FA15FA" w:rsidP="005F52AF">
            <w:pPr>
              <w:pStyle w:val="ListParagraph"/>
              <w:numPr>
                <w:ilvl w:val="0"/>
                <w:numId w:val="11"/>
              </w:numPr>
              <w:ind w:left="360"/>
            </w:pPr>
            <w:r w:rsidRPr="00EA517C">
              <w:rPr>
                <w:b/>
              </w:rPr>
              <w:t>Eligibility and Benefit Data.</w:t>
            </w:r>
            <w:r w:rsidRPr="00274AF5">
              <w:t xml:space="preserve"> HHS should explore strategies to make information about real-time queries of Medicare eligibility and benefit </w:t>
            </w:r>
            <w:r w:rsidRPr="00274AF5">
              <w:lastRenderedPageBreak/>
              <w:t xml:space="preserve">determinations available to providers participating in accountable care programs </w:t>
            </w:r>
            <w:r w:rsidR="00E14204">
              <w:t xml:space="preserve">to promote </w:t>
            </w:r>
            <w:r w:rsidR="00E14204" w:rsidRPr="00274AF5">
              <w:t xml:space="preserve">timely awareness of patients’ health needs </w:t>
            </w:r>
            <w:r w:rsidRPr="00274AF5">
              <w:t xml:space="preserve">so that these providers can guide patients to settings and services that best align with their patients’ benefits and also align with the settings and services available within the ACO itself.   </w:t>
            </w:r>
          </w:p>
        </w:tc>
        <w:tc>
          <w:tcPr>
            <w:tcW w:w="6894" w:type="dxa"/>
          </w:tcPr>
          <w:p w14:paraId="66913421" w14:textId="2B3672EC" w:rsidR="00AC0AB6" w:rsidRPr="00EA517C" w:rsidRDefault="00EA517C" w:rsidP="005F52AF">
            <w:pPr>
              <w:pStyle w:val="CommentText"/>
              <w:numPr>
                <w:ilvl w:val="0"/>
                <w:numId w:val="19"/>
              </w:numPr>
              <w:ind w:left="306"/>
              <w:rPr>
                <w:sz w:val="22"/>
                <w:szCs w:val="22"/>
              </w:rPr>
            </w:pPr>
            <w:r w:rsidRPr="00EA517C">
              <w:rPr>
                <w:sz w:val="22"/>
                <w:szCs w:val="22"/>
              </w:rPr>
              <w:lastRenderedPageBreak/>
              <w:t xml:space="preserve">Agree that access to the adjudication system, rather than waiting for the CCFL claims files would help expedite the timely sharing of </w:t>
            </w:r>
            <w:r w:rsidRPr="00EA517C">
              <w:rPr>
                <w:sz w:val="22"/>
                <w:szCs w:val="22"/>
              </w:rPr>
              <w:lastRenderedPageBreak/>
              <w:t>information.</w:t>
            </w:r>
          </w:p>
        </w:tc>
      </w:tr>
    </w:tbl>
    <w:p w14:paraId="4658F1AF" w14:textId="77777777" w:rsidR="00FA15FA" w:rsidRPr="00274AF5" w:rsidRDefault="00FA15FA" w:rsidP="00E47D31">
      <w:pPr>
        <w:rPr>
          <w:rFonts w:ascii="Calibri" w:eastAsia="Times New Roman" w:hAnsi="Calibri" w:cs="Times New Roman"/>
          <w:color w:val="000000"/>
        </w:rPr>
      </w:pPr>
    </w:p>
    <w:tbl>
      <w:tblPr>
        <w:tblStyle w:val="TableGrid"/>
        <w:tblW w:w="13788" w:type="dxa"/>
        <w:tblLook w:val="04A0" w:firstRow="1" w:lastRow="0" w:firstColumn="1" w:lastColumn="0" w:noHBand="0" w:noVBand="1"/>
      </w:tblPr>
      <w:tblGrid>
        <w:gridCol w:w="6894"/>
        <w:gridCol w:w="6894"/>
      </w:tblGrid>
      <w:tr w:rsidR="00655B97" w:rsidRPr="00274AF5" w14:paraId="2D2A3788" w14:textId="77777777" w:rsidTr="001D48F4">
        <w:tc>
          <w:tcPr>
            <w:tcW w:w="6894" w:type="dxa"/>
            <w:shd w:val="clear" w:color="auto" w:fill="D9D9D9" w:themeFill="background1" w:themeFillShade="D9"/>
          </w:tcPr>
          <w:p w14:paraId="4AA84891" w14:textId="77777777" w:rsidR="00655B97" w:rsidRPr="00274AF5" w:rsidRDefault="00655B97" w:rsidP="00053E40">
            <w:pPr>
              <w:rPr>
                <w:bCs/>
                <w:i/>
              </w:rPr>
            </w:pPr>
            <w:r w:rsidRPr="00274AF5">
              <w:rPr>
                <w:bCs/>
                <w:i/>
              </w:rPr>
              <w:t>Original Text</w:t>
            </w:r>
          </w:p>
        </w:tc>
        <w:tc>
          <w:tcPr>
            <w:tcW w:w="6894" w:type="dxa"/>
            <w:shd w:val="clear" w:color="auto" w:fill="D9D9D9" w:themeFill="background1" w:themeFillShade="D9"/>
          </w:tcPr>
          <w:p w14:paraId="34F4C4AF" w14:textId="77777777" w:rsidR="00655B97" w:rsidRPr="00274AF5" w:rsidRDefault="00655B97" w:rsidP="00053E40">
            <w:pPr>
              <w:pStyle w:val="CommentText"/>
              <w:rPr>
                <w:i/>
                <w:sz w:val="22"/>
                <w:szCs w:val="22"/>
              </w:rPr>
            </w:pPr>
            <w:r w:rsidRPr="00274AF5">
              <w:rPr>
                <w:i/>
                <w:sz w:val="22"/>
                <w:szCs w:val="22"/>
              </w:rPr>
              <w:t>Comments/Major Revisions</w:t>
            </w:r>
          </w:p>
        </w:tc>
      </w:tr>
      <w:tr w:rsidR="00FA15FA" w:rsidRPr="00274AF5" w14:paraId="1C624ACC" w14:textId="77777777" w:rsidTr="001D48F4">
        <w:trPr>
          <w:trHeight w:val="3419"/>
        </w:trPr>
        <w:tc>
          <w:tcPr>
            <w:tcW w:w="6894" w:type="dxa"/>
          </w:tcPr>
          <w:p w14:paraId="7C463DAA" w14:textId="335B38A3" w:rsidR="00FA15FA" w:rsidRPr="00274AF5" w:rsidRDefault="00FA15FA" w:rsidP="005F52AF">
            <w:pPr>
              <w:pStyle w:val="ListParagraph"/>
              <w:numPr>
                <w:ilvl w:val="0"/>
                <w:numId w:val="11"/>
              </w:numPr>
              <w:ind w:left="360" w:hanging="180"/>
              <w:rPr>
                <w:rFonts w:ascii="Calibri" w:eastAsia="Times New Roman" w:hAnsi="Calibri" w:cs="Times New Roman"/>
                <w:color w:val="000000"/>
              </w:rPr>
            </w:pPr>
            <w:r w:rsidRPr="00274AF5">
              <w:rPr>
                <w:b/>
                <w:bCs/>
              </w:rPr>
              <w:t xml:space="preserve">Sharing clinical information across the healthcare neighborhood. </w:t>
            </w:r>
            <w:r w:rsidR="00E14204" w:rsidRPr="00E14204">
              <w:rPr>
                <w:bCs/>
              </w:rPr>
              <w:t>P</w:t>
            </w:r>
            <w:r w:rsidR="00E14204" w:rsidRPr="00274AF5">
              <w:t xml:space="preserve">atients, their families, and providers should expect to have consistent and timely access to standardized health information that can be securely shared between primary care providers, specialists, hospitals, mental health and substance abuse services, LTPAC, home and community-based services, other support and enabling services providers, care and case managers and coordinators, and other authorized </w:t>
            </w:r>
            <w:r w:rsidR="005E0BC8">
              <w:t>individuals and institutions (HHS’ HIE Acceleration Principles).</w:t>
            </w:r>
            <w:r w:rsidR="009F6383">
              <w:t xml:space="preserve"> </w:t>
            </w:r>
            <w:r w:rsidR="005E0BC8">
              <w:t xml:space="preserve">While many providers are helping to realize this vision, </w:t>
            </w:r>
            <w:r w:rsidR="009F6383">
              <w:t>a variety</w:t>
            </w:r>
            <w:r w:rsidR="005E0BC8">
              <w:t xml:space="preserve"> of factors continue to hold </w:t>
            </w:r>
            <w:r w:rsidR="009F6383">
              <w:t>providers</w:t>
            </w:r>
            <w:r w:rsidR="005E0BC8">
              <w:t xml:space="preserve"> back from making </w:t>
            </w:r>
            <w:r w:rsidR="009F6383">
              <w:t xml:space="preserve">sharing of clinical data. </w:t>
            </w:r>
            <w:r w:rsidR="005E0BC8">
              <w:rPr>
                <w:bCs/>
              </w:rPr>
              <w:t>HHS should leverage policy and payment incentives, as well as other programs, to encourage broader data sharing.</w:t>
            </w:r>
          </w:p>
        </w:tc>
        <w:tc>
          <w:tcPr>
            <w:tcW w:w="6894" w:type="dxa"/>
          </w:tcPr>
          <w:p w14:paraId="2DB88F68" w14:textId="4D9897EF" w:rsidR="00FA15FA" w:rsidRPr="00274AF5" w:rsidRDefault="00FA15FA" w:rsidP="005E0BC8">
            <w:pPr>
              <w:pStyle w:val="ListParagraph"/>
              <w:ind w:left="342"/>
            </w:pPr>
          </w:p>
        </w:tc>
      </w:tr>
      <w:tr w:rsidR="00EA517C" w:rsidRPr="00274AF5" w14:paraId="6566C03A" w14:textId="77777777" w:rsidTr="001D48F4">
        <w:tc>
          <w:tcPr>
            <w:tcW w:w="6894" w:type="dxa"/>
          </w:tcPr>
          <w:p w14:paraId="01DC2890" w14:textId="24B4F1CC" w:rsidR="00EA517C" w:rsidRPr="00274AF5" w:rsidRDefault="001F7F69" w:rsidP="005F52AF">
            <w:pPr>
              <w:pStyle w:val="ListParagraph"/>
              <w:numPr>
                <w:ilvl w:val="0"/>
                <w:numId w:val="8"/>
              </w:numPr>
              <w:ind w:left="360"/>
            </w:pPr>
            <w:r>
              <w:rPr>
                <w:b/>
              </w:rPr>
              <w:t>Identifying and encouraging exchange with ACO partners</w:t>
            </w:r>
            <w:r w:rsidRPr="001F7F69">
              <w:rPr>
                <w:b/>
              </w:rPr>
              <w:t>.</w:t>
            </w:r>
            <w:r>
              <w:rPr>
                <w:b/>
              </w:rPr>
              <w:t xml:space="preserve"> </w:t>
            </w:r>
            <w:r>
              <w:t>CMS should ask o</w:t>
            </w:r>
            <w:r w:rsidR="00EA517C" w:rsidRPr="00274AF5">
              <w:t xml:space="preserve">rganizations participating in </w:t>
            </w:r>
            <w:r>
              <w:t xml:space="preserve">accountable care programs to </w:t>
            </w:r>
            <w:r w:rsidR="00EA517C" w:rsidRPr="00274AF5">
              <w:t>identify major trading partners a</w:t>
            </w:r>
            <w:r>
              <w:t xml:space="preserve">s part of their application and report on where trading partners are not exchanging information. HHS could seek to </w:t>
            </w:r>
            <w:r w:rsidR="00EA517C" w:rsidRPr="00274AF5">
              <w:t xml:space="preserve">mitigate </w:t>
            </w:r>
            <w:r>
              <w:t xml:space="preserve">challenges </w:t>
            </w:r>
            <w:r w:rsidR="00EA517C" w:rsidRPr="00274AF5">
              <w:t xml:space="preserve">with partners that are not </w:t>
            </w:r>
            <w:r>
              <w:t>engaging in exchange</w:t>
            </w:r>
            <w:r w:rsidR="00EA517C" w:rsidRPr="00274AF5">
              <w:t xml:space="preserve"> and/or publicly report on identified organizations.</w:t>
            </w:r>
          </w:p>
        </w:tc>
        <w:tc>
          <w:tcPr>
            <w:tcW w:w="6894" w:type="dxa"/>
          </w:tcPr>
          <w:p w14:paraId="64CC2298" w14:textId="47C6D3CE" w:rsidR="001F7F69" w:rsidRPr="00EA517C" w:rsidRDefault="001F7F69" w:rsidP="005F52AF">
            <w:pPr>
              <w:pStyle w:val="CommentText"/>
              <w:numPr>
                <w:ilvl w:val="0"/>
                <w:numId w:val="37"/>
              </w:numPr>
              <w:ind w:left="306"/>
              <w:rPr>
                <w:rFonts w:ascii="Calibri" w:eastAsia="Calibri" w:hAnsi="Calibri"/>
                <w:bCs/>
                <w:color w:val="000000" w:themeColor="text1"/>
                <w:kern w:val="24"/>
                <w:sz w:val="22"/>
                <w:szCs w:val="22"/>
              </w:rPr>
            </w:pPr>
            <w:r w:rsidRPr="00EA517C">
              <w:rPr>
                <w:rFonts w:ascii="Calibri" w:eastAsia="Calibri" w:hAnsi="Calibri"/>
                <w:b/>
                <w:bCs/>
                <w:color w:val="000000" w:themeColor="text1"/>
                <w:kern w:val="24"/>
                <w:sz w:val="22"/>
                <w:szCs w:val="22"/>
              </w:rPr>
              <w:t>Consider removing or adding additional detail:</w:t>
            </w:r>
            <w:r w:rsidRPr="00EA517C">
              <w:rPr>
                <w:rFonts w:ascii="Calibri" w:eastAsia="Calibri" w:hAnsi="Calibri"/>
                <w:bCs/>
                <w:color w:val="000000" w:themeColor="text1"/>
                <w:kern w:val="24"/>
                <w:sz w:val="22"/>
                <w:szCs w:val="22"/>
              </w:rPr>
              <w:t xml:space="preserve"> </w:t>
            </w:r>
            <w:r>
              <w:rPr>
                <w:rFonts w:ascii="Calibri" w:eastAsia="Calibri" w:hAnsi="Calibri"/>
                <w:bCs/>
                <w:color w:val="000000" w:themeColor="text1"/>
                <w:kern w:val="24"/>
                <w:sz w:val="22"/>
                <w:szCs w:val="22"/>
              </w:rPr>
              <w:t>Unclear</w:t>
            </w:r>
            <w:r w:rsidRPr="00EA517C">
              <w:rPr>
                <w:rFonts w:ascii="Calibri" w:eastAsia="Calibri" w:hAnsi="Calibri"/>
                <w:bCs/>
                <w:color w:val="000000" w:themeColor="text1"/>
                <w:kern w:val="24"/>
                <w:sz w:val="22"/>
                <w:szCs w:val="22"/>
              </w:rPr>
              <w:t xml:space="preserve"> how this would work or whether it is a high impact recommendation.</w:t>
            </w:r>
          </w:p>
          <w:p w14:paraId="760CD57B" w14:textId="0777F5D4" w:rsidR="00EA517C" w:rsidRPr="001F7F69" w:rsidRDefault="00EA517C" w:rsidP="005F52AF">
            <w:pPr>
              <w:pStyle w:val="CommentText"/>
              <w:numPr>
                <w:ilvl w:val="0"/>
                <w:numId w:val="37"/>
              </w:numPr>
              <w:ind w:left="306"/>
              <w:rPr>
                <w:rFonts w:ascii="Calibri" w:eastAsia="Calibri" w:hAnsi="Calibri"/>
                <w:bCs/>
                <w:color w:val="000000" w:themeColor="text1"/>
                <w:kern w:val="24"/>
                <w:sz w:val="22"/>
                <w:szCs w:val="22"/>
              </w:rPr>
            </w:pPr>
            <w:r w:rsidRPr="00EA517C">
              <w:rPr>
                <w:rFonts w:ascii="Calibri" w:eastAsia="Calibri" w:hAnsi="Calibri"/>
                <w:b/>
                <w:bCs/>
                <w:color w:val="000000" w:themeColor="text1"/>
                <w:kern w:val="24"/>
                <w:sz w:val="22"/>
                <w:szCs w:val="22"/>
              </w:rPr>
              <w:t>Consider expanding:</w:t>
            </w:r>
            <w:r w:rsidRPr="00EA517C">
              <w:rPr>
                <w:rFonts w:ascii="Calibri" w:eastAsia="Calibri" w:hAnsi="Calibri"/>
                <w:bCs/>
                <w:color w:val="000000" w:themeColor="text1"/>
                <w:kern w:val="24"/>
                <w:sz w:val="22"/>
                <w:szCs w:val="22"/>
              </w:rPr>
              <w:t xml:space="preserve"> </w:t>
            </w:r>
            <w:r w:rsidR="001F7F69">
              <w:rPr>
                <w:rFonts w:ascii="Calibri" w:eastAsia="Calibri" w:hAnsi="Calibri"/>
                <w:bCs/>
                <w:color w:val="000000" w:themeColor="text1"/>
                <w:kern w:val="24"/>
                <w:sz w:val="22"/>
                <w:szCs w:val="22"/>
              </w:rPr>
              <w:t>W</w:t>
            </w:r>
            <w:r w:rsidRPr="00EA517C">
              <w:rPr>
                <w:rFonts w:ascii="Calibri" w:eastAsia="Calibri" w:hAnsi="Calibri"/>
                <w:bCs/>
                <w:color w:val="000000" w:themeColor="text1"/>
                <w:kern w:val="24"/>
                <w:sz w:val="22"/>
                <w:szCs w:val="22"/>
              </w:rPr>
              <w:t>e should expand to all types of social service agencies that receive federal and state funding or supply information to the federal and state agencies. HUD, FQHCs - look -a-likes etc.).</w:t>
            </w:r>
          </w:p>
        </w:tc>
      </w:tr>
      <w:tr w:rsidR="00EA517C" w:rsidRPr="00274AF5" w14:paraId="3E8EBB33" w14:textId="77777777" w:rsidTr="001D48F4">
        <w:tc>
          <w:tcPr>
            <w:tcW w:w="6894" w:type="dxa"/>
          </w:tcPr>
          <w:p w14:paraId="31E95B18" w14:textId="6B3A81F9" w:rsidR="00EA517C" w:rsidRPr="00274AF5" w:rsidRDefault="001F7F69" w:rsidP="005F52AF">
            <w:pPr>
              <w:pStyle w:val="ListParagraph"/>
              <w:numPr>
                <w:ilvl w:val="0"/>
                <w:numId w:val="8"/>
              </w:numPr>
              <w:ind w:left="360"/>
            </w:pPr>
            <w:r w:rsidRPr="001F7F69">
              <w:rPr>
                <w:b/>
              </w:rPr>
              <w:t xml:space="preserve">Public </w:t>
            </w:r>
            <w:r>
              <w:rPr>
                <w:b/>
              </w:rPr>
              <w:t>measures</w:t>
            </w:r>
            <w:r w:rsidRPr="001F7F69">
              <w:rPr>
                <w:b/>
              </w:rPr>
              <w:t xml:space="preserve"> around exchange.</w:t>
            </w:r>
            <w:r>
              <w:t xml:space="preserve"> </w:t>
            </w:r>
            <w:r w:rsidR="00EA517C" w:rsidRPr="00274AF5">
              <w:t>HHS could include a requirement for ACOs to share clinical data electronically for transitions of care, including those with non-ACO providers, and include a suitable measure for transitions of care as part of inpatient quality reporting and publicly report these results through the Hospital Compare Web site.</w:t>
            </w:r>
          </w:p>
        </w:tc>
        <w:tc>
          <w:tcPr>
            <w:tcW w:w="6894" w:type="dxa"/>
          </w:tcPr>
          <w:p w14:paraId="60588261" w14:textId="3E9913F6" w:rsidR="00EA517C" w:rsidRPr="005E0BC8" w:rsidRDefault="00EA517C" w:rsidP="005F52AF">
            <w:pPr>
              <w:pStyle w:val="CommentText"/>
              <w:numPr>
                <w:ilvl w:val="0"/>
                <w:numId w:val="20"/>
              </w:numPr>
              <w:ind w:left="306"/>
              <w:rPr>
                <w:sz w:val="22"/>
                <w:szCs w:val="22"/>
              </w:rPr>
            </w:pPr>
            <w:r>
              <w:rPr>
                <w:rFonts w:ascii="Calibri" w:eastAsia="Calibri" w:hAnsi="Calibri"/>
                <w:b/>
                <w:bCs/>
                <w:color w:val="000000" w:themeColor="text1"/>
                <w:kern w:val="24"/>
                <w:sz w:val="22"/>
                <w:szCs w:val="22"/>
              </w:rPr>
              <w:t>Consider strengthening further:</w:t>
            </w:r>
            <w:r>
              <w:rPr>
                <w:rFonts w:ascii="Calibri" w:eastAsia="Calibri" w:hAnsi="Calibri"/>
                <w:color w:val="000000" w:themeColor="text1"/>
                <w:kern w:val="24"/>
                <w:sz w:val="22"/>
                <w:szCs w:val="22"/>
              </w:rPr>
              <w:t xml:space="preserve"> </w:t>
            </w:r>
            <w:r w:rsidR="001F7F69">
              <w:rPr>
                <w:rFonts w:ascii="Calibri" w:eastAsia="Calibri" w:hAnsi="Calibri"/>
                <w:color w:val="000000" w:themeColor="text1"/>
                <w:kern w:val="24"/>
                <w:sz w:val="22"/>
                <w:szCs w:val="22"/>
              </w:rPr>
              <w:t>T</w:t>
            </w:r>
            <w:r>
              <w:rPr>
                <w:rFonts w:ascii="Calibri" w:eastAsia="Calibri" w:hAnsi="Calibri"/>
                <w:color w:val="000000" w:themeColor="text1"/>
                <w:kern w:val="24"/>
                <w:sz w:val="22"/>
                <w:szCs w:val="22"/>
              </w:rPr>
              <w:t>he need for ADT data should be highlighted but this is an area that MU Stage 3 could address. Alternate language: CMS should explore ways that Meaningful Use and the EHR ATCB Certification process can require all EHRs to be able to submit real-time HL-7 ADT data to trading partners and other providers of care for patients.</w:t>
            </w:r>
          </w:p>
        </w:tc>
      </w:tr>
      <w:tr w:rsidR="00EA517C" w:rsidRPr="00274AF5" w14:paraId="4D34DA7D" w14:textId="77777777" w:rsidTr="001D48F4">
        <w:tc>
          <w:tcPr>
            <w:tcW w:w="6894" w:type="dxa"/>
          </w:tcPr>
          <w:p w14:paraId="3991935E" w14:textId="6ED327C3" w:rsidR="00EA517C" w:rsidRPr="00274AF5" w:rsidRDefault="001F7F69" w:rsidP="005F52AF">
            <w:pPr>
              <w:pStyle w:val="ListParagraph"/>
              <w:numPr>
                <w:ilvl w:val="0"/>
                <w:numId w:val="8"/>
              </w:numPr>
              <w:ind w:left="360"/>
            </w:pPr>
            <w:r>
              <w:rPr>
                <w:rFonts w:ascii="Calibri" w:eastAsia="Times New Roman" w:hAnsi="Calibri" w:cs="Times New Roman"/>
                <w:b/>
                <w:color w:val="000000"/>
              </w:rPr>
              <w:t>H</w:t>
            </w:r>
            <w:r w:rsidRPr="001F7F69">
              <w:rPr>
                <w:rFonts w:ascii="Calibri" w:eastAsia="Times New Roman" w:hAnsi="Calibri" w:cs="Times New Roman"/>
                <w:b/>
                <w:color w:val="000000"/>
              </w:rPr>
              <w:t>ospital survey and certification</w:t>
            </w:r>
            <w:r>
              <w:rPr>
                <w:rFonts w:ascii="Calibri" w:eastAsia="Times New Roman" w:hAnsi="Calibri" w:cs="Times New Roman"/>
                <w:b/>
                <w:color w:val="000000"/>
              </w:rPr>
              <w:t xml:space="preserve"> standards</w:t>
            </w:r>
            <w:r w:rsidRPr="001F7F69">
              <w:rPr>
                <w:rFonts w:ascii="Calibri" w:eastAsia="Times New Roman" w:hAnsi="Calibri" w:cs="Times New Roman"/>
                <w:b/>
                <w:color w:val="000000"/>
              </w:rPr>
              <w:t>.</w:t>
            </w:r>
            <w:r>
              <w:rPr>
                <w:rFonts w:ascii="Calibri" w:eastAsia="Times New Roman" w:hAnsi="Calibri" w:cs="Times New Roman"/>
                <w:color w:val="000000"/>
              </w:rPr>
              <w:t xml:space="preserve"> </w:t>
            </w:r>
            <w:r w:rsidR="00EA517C" w:rsidRPr="00E55341">
              <w:rPr>
                <w:rFonts w:ascii="Calibri" w:eastAsia="Times New Roman" w:hAnsi="Calibri" w:cs="Times New Roman"/>
                <w:color w:val="000000"/>
              </w:rPr>
              <w:t xml:space="preserve">CMS should explore ways </w:t>
            </w:r>
            <w:r w:rsidR="00EA517C" w:rsidRPr="00E55341">
              <w:rPr>
                <w:rFonts w:ascii="Calibri" w:eastAsia="Times New Roman" w:hAnsi="Calibri" w:cs="Times New Roman"/>
                <w:color w:val="000000"/>
              </w:rPr>
              <w:lastRenderedPageBreak/>
              <w:t>to use the hospital survey and certification process and guidance to state surveyors related to admissions, discharge, and transfer to clarify the need to send</w:t>
            </w:r>
            <w:r w:rsidR="00EA517C">
              <w:rPr>
                <w:rFonts w:ascii="Calibri" w:eastAsia="Times New Roman" w:hAnsi="Calibri" w:cs="Times New Roman"/>
                <w:color w:val="000000"/>
              </w:rPr>
              <w:t xml:space="preserve"> electronic</w:t>
            </w:r>
            <w:r w:rsidR="00EA517C" w:rsidRPr="00E55341">
              <w:rPr>
                <w:rFonts w:ascii="Calibri" w:eastAsia="Times New Roman" w:hAnsi="Calibri" w:cs="Times New Roman"/>
                <w:color w:val="000000"/>
              </w:rPr>
              <w:t xml:space="preserve"> discharge summaries in a timely manner to the treating provider regardless of affiliation with the hospital.</w:t>
            </w:r>
          </w:p>
        </w:tc>
        <w:tc>
          <w:tcPr>
            <w:tcW w:w="6894" w:type="dxa"/>
          </w:tcPr>
          <w:p w14:paraId="20CF5677" w14:textId="77777777" w:rsidR="00EA517C" w:rsidRPr="00274AF5" w:rsidRDefault="00EA517C" w:rsidP="001D48F4">
            <w:pPr>
              <w:pStyle w:val="CommentText"/>
              <w:ind w:left="306"/>
              <w:rPr>
                <w:sz w:val="22"/>
                <w:szCs w:val="22"/>
              </w:rPr>
            </w:pPr>
          </w:p>
        </w:tc>
      </w:tr>
      <w:tr w:rsidR="00EA517C" w:rsidRPr="00274AF5" w14:paraId="0EFFDE82" w14:textId="77777777" w:rsidTr="001D48F4">
        <w:tc>
          <w:tcPr>
            <w:tcW w:w="6894" w:type="dxa"/>
          </w:tcPr>
          <w:p w14:paraId="04B065F4" w14:textId="3BF129C0" w:rsidR="00EA517C" w:rsidRPr="00274AF5" w:rsidRDefault="001F7F69" w:rsidP="005F52AF">
            <w:pPr>
              <w:pStyle w:val="ListParagraph"/>
              <w:numPr>
                <w:ilvl w:val="0"/>
                <w:numId w:val="8"/>
              </w:numPr>
              <w:ind w:left="360"/>
            </w:pPr>
            <w:r>
              <w:rPr>
                <w:b/>
              </w:rPr>
              <w:lastRenderedPageBreak/>
              <w:t>G</w:t>
            </w:r>
            <w:r w:rsidRPr="001F7F69">
              <w:rPr>
                <w:b/>
              </w:rPr>
              <w:t>uidance around behavioral health data.</w:t>
            </w:r>
            <w:r>
              <w:t xml:space="preserve"> </w:t>
            </w:r>
            <w:r w:rsidR="00EA517C" w:rsidRPr="00274AF5">
              <w:t xml:space="preserve">SAMHSA should consider issuance of additional guidelines to clarify issues around sensitive data regulations to address lack of clarity among providers in the field. SAMHSA, OCR, ONC, and CMS should also work together to review CFR 42 and make recommendations for changes that would support better, integrated care as visualized by the health reform community.    </w:t>
            </w:r>
          </w:p>
        </w:tc>
        <w:tc>
          <w:tcPr>
            <w:tcW w:w="6894" w:type="dxa"/>
          </w:tcPr>
          <w:p w14:paraId="7E43ED9F" w14:textId="5BDD061B" w:rsidR="00EA517C" w:rsidRPr="00274AF5" w:rsidRDefault="00EA517C" w:rsidP="005F52AF">
            <w:pPr>
              <w:pStyle w:val="CommentText"/>
              <w:numPr>
                <w:ilvl w:val="0"/>
                <w:numId w:val="21"/>
              </w:numPr>
              <w:ind w:left="306"/>
              <w:rPr>
                <w:rFonts w:ascii="Calibri" w:eastAsia="Times New Roman" w:hAnsi="Calibri" w:cs="Times New Roman"/>
                <w:color w:val="000000"/>
                <w:sz w:val="22"/>
                <w:szCs w:val="22"/>
              </w:rPr>
            </w:pPr>
            <w:r w:rsidRPr="00274AF5">
              <w:rPr>
                <w:sz w:val="22"/>
                <w:szCs w:val="22"/>
              </w:rPr>
              <w:t>Agreed</w:t>
            </w:r>
            <w:r w:rsidR="001F7F69">
              <w:rPr>
                <w:sz w:val="22"/>
                <w:szCs w:val="22"/>
              </w:rPr>
              <w:t>.</w:t>
            </w:r>
          </w:p>
        </w:tc>
      </w:tr>
    </w:tbl>
    <w:p w14:paraId="5D3CA01D" w14:textId="77777777" w:rsidR="00FA15FA" w:rsidRPr="00274AF5" w:rsidRDefault="00FA15FA" w:rsidP="00E47D31">
      <w:pPr>
        <w:rPr>
          <w:rFonts w:ascii="Calibri" w:eastAsia="Times New Roman" w:hAnsi="Calibri" w:cs="Times New Roman"/>
          <w:color w:val="000000"/>
        </w:rPr>
      </w:pPr>
    </w:p>
    <w:tbl>
      <w:tblPr>
        <w:tblStyle w:val="TableGrid"/>
        <w:tblW w:w="13788" w:type="dxa"/>
        <w:tblLook w:val="04A0" w:firstRow="1" w:lastRow="0" w:firstColumn="1" w:lastColumn="0" w:noHBand="0" w:noVBand="1"/>
      </w:tblPr>
      <w:tblGrid>
        <w:gridCol w:w="6894"/>
        <w:gridCol w:w="6894"/>
      </w:tblGrid>
      <w:tr w:rsidR="00655B97" w:rsidRPr="00274AF5" w14:paraId="598E7440" w14:textId="77777777" w:rsidTr="001D48F4">
        <w:tc>
          <w:tcPr>
            <w:tcW w:w="6894" w:type="dxa"/>
            <w:shd w:val="clear" w:color="auto" w:fill="D9D9D9" w:themeFill="background1" w:themeFillShade="D9"/>
          </w:tcPr>
          <w:p w14:paraId="3AF7DE47" w14:textId="77777777" w:rsidR="00655B97" w:rsidRPr="00274AF5" w:rsidRDefault="00655B97" w:rsidP="00053E40">
            <w:pPr>
              <w:rPr>
                <w:bCs/>
                <w:i/>
              </w:rPr>
            </w:pPr>
            <w:r w:rsidRPr="00274AF5">
              <w:rPr>
                <w:bCs/>
                <w:i/>
              </w:rPr>
              <w:t>Original Text</w:t>
            </w:r>
          </w:p>
        </w:tc>
        <w:tc>
          <w:tcPr>
            <w:tcW w:w="6894" w:type="dxa"/>
            <w:shd w:val="clear" w:color="auto" w:fill="D9D9D9" w:themeFill="background1" w:themeFillShade="D9"/>
          </w:tcPr>
          <w:p w14:paraId="52170E5A" w14:textId="77777777" w:rsidR="00655B97" w:rsidRPr="00274AF5" w:rsidRDefault="00655B97" w:rsidP="00053E40">
            <w:pPr>
              <w:pStyle w:val="CommentText"/>
              <w:rPr>
                <w:i/>
                <w:sz w:val="22"/>
                <w:szCs w:val="22"/>
              </w:rPr>
            </w:pPr>
            <w:r w:rsidRPr="00274AF5">
              <w:rPr>
                <w:i/>
                <w:sz w:val="22"/>
                <w:szCs w:val="22"/>
              </w:rPr>
              <w:t>Comments/Major Revisions</w:t>
            </w:r>
          </w:p>
        </w:tc>
      </w:tr>
      <w:tr w:rsidR="00655B97" w:rsidRPr="00274AF5" w14:paraId="5155AAD6" w14:textId="77777777" w:rsidTr="001D48F4">
        <w:tc>
          <w:tcPr>
            <w:tcW w:w="6894" w:type="dxa"/>
          </w:tcPr>
          <w:p w14:paraId="143E63D0" w14:textId="39D462DB" w:rsidR="00655B97" w:rsidRPr="00274AF5" w:rsidRDefault="00655B97" w:rsidP="005F52AF">
            <w:pPr>
              <w:pStyle w:val="ListParagraph"/>
              <w:numPr>
                <w:ilvl w:val="0"/>
                <w:numId w:val="11"/>
              </w:numPr>
              <w:ind w:left="360" w:hanging="180"/>
              <w:rPr>
                <w:b/>
                <w:bCs/>
              </w:rPr>
            </w:pPr>
            <w:r w:rsidRPr="00274AF5">
              <w:rPr>
                <w:b/>
                <w:bCs/>
              </w:rPr>
              <w:t xml:space="preserve">Data Liquidity for Accountable Care. </w:t>
            </w:r>
            <w:r w:rsidRPr="00274AF5">
              <w:rPr>
                <w:bCs/>
              </w:rPr>
              <w:t>Organizations responsible for the total cost of care for their patients must be able to manage patients across the continuum of care; providers in accountable care arrangements are seeking to integrate across different systems and among a range of health IT tools to support a comprehensive view of the patient, deliver seamless care coordination across settings, and manage populations of attributed patients. HHS/ONC should continue to use the health IT certification framework and other levers to drive interoperability across both EHRs and a support the development of a broader set of HIT tools that must work together within an ecosyst</w:t>
            </w:r>
            <w:r w:rsidR="001D48F4">
              <w:rPr>
                <w:bCs/>
              </w:rPr>
              <w:t>em supporting accountable care.</w:t>
            </w:r>
          </w:p>
        </w:tc>
        <w:tc>
          <w:tcPr>
            <w:tcW w:w="6894" w:type="dxa"/>
          </w:tcPr>
          <w:p w14:paraId="3887EB2B" w14:textId="77777777" w:rsidR="00655B97" w:rsidRPr="00274AF5" w:rsidRDefault="00655B97" w:rsidP="00E47D31">
            <w:pPr>
              <w:rPr>
                <w:rFonts w:ascii="Calibri" w:eastAsia="Times New Roman" w:hAnsi="Calibri" w:cs="Times New Roman"/>
                <w:color w:val="000000"/>
              </w:rPr>
            </w:pPr>
          </w:p>
        </w:tc>
      </w:tr>
      <w:tr w:rsidR="00655B97" w:rsidRPr="00274AF5" w14:paraId="71C550EA" w14:textId="77777777" w:rsidTr="001D48F4">
        <w:tc>
          <w:tcPr>
            <w:tcW w:w="6894" w:type="dxa"/>
          </w:tcPr>
          <w:p w14:paraId="5E87A1E4" w14:textId="4752FBB7" w:rsidR="00655B97" w:rsidRPr="005E0BC8" w:rsidRDefault="001F7F69" w:rsidP="005F52AF">
            <w:pPr>
              <w:pStyle w:val="ListParagraph"/>
              <w:numPr>
                <w:ilvl w:val="0"/>
                <w:numId w:val="22"/>
              </w:numPr>
              <w:ind w:left="360"/>
            </w:pPr>
            <w:r w:rsidRPr="001F7F69">
              <w:rPr>
                <w:b/>
              </w:rPr>
              <w:t>Interoperability standards.</w:t>
            </w:r>
            <w:r>
              <w:t xml:space="preserve"> </w:t>
            </w:r>
            <w:r w:rsidR="00655B97" w:rsidRPr="005E0BC8">
              <w:t>ONC should continue to develop more specificity in federally recognized interoperability standards that are critical to promoting seamless flow of information across systems within the ACO environment, such as discrete HL7 data feeds for admissions, discharges and transfers, notifications, labs, prescriptions, etc.</w:t>
            </w:r>
          </w:p>
        </w:tc>
        <w:tc>
          <w:tcPr>
            <w:tcW w:w="6894" w:type="dxa"/>
          </w:tcPr>
          <w:p w14:paraId="6C2A9533" w14:textId="08891327" w:rsidR="005E0BC8" w:rsidRDefault="001F7F69" w:rsidP="005F52AF">
            <w:pPr>
              <w:pStyle w:val="CommentText"/>
              <w:numPr>
                <w:ilvl w:val="0"/>
                <w:numId w:val="23"/>
              </w:numPr>
              <w:ind w:left="306"/>
              <w:rPr>
                <w:sz w:val="22"/>
                <w:szCs w:val="22"/>
              </w:rPr>
            </w:pPr>
            <w:r w:rsidRPr="001F7F69">
              <w:rPr>
                <w:b/>
                <w:sz w:val="22"/>
                <w:szCs w:val="22"/>
              </w:rPr>
              <w:t xml:space="preserve">Consider additional </w:t>
            </w:r>
            <w:r>
              <w:rPr>
                <w:b/>
                <w:sz w:val="22"/>
                <w:szCs w:val="22"/>
              </w:rPr>
              <w:t>specificity</w:t>
            </w:r>
            <w:r w:rsidRPr="001F7F69">
              <w:rPr>
                <w:b/>
                <w:sz w:val="22"/>
                <w:szCs w:val="22"/>
              </w:rPr>
              <w:t>:</w:t>
            </w:r>
            <w:r>
              <w:rPr>
                <w:sz w:val="22"/>
                <w:szCs w:val="22"/>
              </w:rPr>
              <w:t xml:space="preserve"> </w:t>
            </w:r>
            <w:r w:rsidR="005E0BC8">
              <w:rPr>
                <w:sz w:val="22"/>
                <w:szCs w:val="22"/>
              </w:rPr>
              <w:t>We should i</w:t>
            </w:r>
            <w:r w:rsidR="005E0BC8" w:rsidRPr="00274AF5">
              <w:rPr>
                <w:sz w:val="22"/>
                <w:szCs w:val="22"/>
              </w:rPr>
              <w:t>nclude such standards as potential</w:t>
            </w:r>
            <w:r w:rsidR="005E0BC8">
              <w:rPr>
                <w:sz w:val="22"/>
                <w:szCs w:val="22"/>
              </w:rPr>
              <w:t xml:space="preserve"> requirements for certification</w:t>
            </w:r>
            <w:r w:rsidR="005E0BC8" w:rsidRPr="00274AF5">
              <w:rPr>
                <w:sz w:val="22"/>
                <w:szCs w:val="22"/>
              </w:rPr>
              <w:t xml:space="preserve"> to participate in programs such as Meaningful Use stage 3.</w:t>
            </w:r>
          </w:p>
          <w:p w14:paraId="145A92FB" w14:textId="53115B75" w:rsidR="00A74B47" w:rsidRPr="005E0BC8" w:rsidRDefault="005E0BC8" w:rsidP="005F52AF">
            <w:pPr>
              <w:pStyle w:val="CommentText"/>
              <w:numPr>
                <w:ilvl w:val="0"/>
                <w:numId w:val="23"/>
              </w:numPr>
              <w:ind w:left="306"/>
              <w:rPr>
                <w:sz w:val="22"/>
                <w:szCs w:val="22"/>
              </w:rPr>
            </w:pPr>
            <w:r>
              <w:rPr>
                <w:sz w:val="22"/>
                <w:szCs w:val="22"/>
              </w:rPr>
              <w:t>Highly important—the m</w:t>
            </w:r>
            <w:r w:rsidR="00A74B47" w:rsidRPr="00274AF5">
              <w:rPr>
                <w:sz w:val="22"/>
                <w:szCs w:val="22"/>
              </w:rPr>
              <w:t xml:space="preserve">arket won’t do </w:t>
            </w:r>
            <w:r>
              <w:rPr>
                <w:sz w:val="22"/>
                <w:szCs w:val="22"/>
              </w:rPr>
              <w:t>this</w:t>
            </w:r>
            <w:r w:rsidR="00A74B47" w:rsidRPr="00274AF5">
              <w:rPr>
                <w:sz w:val="22"/>
                <w:szCs w:val="22"/>
              </w:rPr>
              <w:t xml:space="preserve"> by itself.</w:t>
            </w:r>
          </w:p>
        </w:tc>
      </w:tr>
      <w:tr w:rsidR="00655B97" w:rsidRPr="00274AF5" w14:paraId="36664E8B" w14:textId="77777777" w:rsidTr="001D48F4">
        <w:tc>
          <w:tcPr>
            <w:tcW w:w="6894" w:type="dxa"/>
          </w:tcPr>
          <w:p w14:paraId="39BE27E1" w14:textId="5EF3F8DF" w:rsidR="00655B97" w:rsidRPr="005E0BC8" w:rsidRDefault="001F7F69" w:rsidP="005F52AF">
            <w:pPr>
              <w:pStyle w:val="ListParagraph"/>
              <w:numPr>
                <w:ilvl w:val="0"/>
                <w:numId w:val="22"/>
              </w:numPr>
              <w:ind w:left="360"/>
            </w:pPr>
            <w:r w:rsidRPr="001F7F69">
              <w:rPr>
                <w:b/>
              </w:rPr>
              <w:t>Common API.</w:t>
            </w:r>
            <w:r>
              <w:t xml:space="preserve"> </w:t>
            </w:r>
            <w:r w:rsidR="00A74B47" w:rsidRPr="005E0BC8">
              <w:t xml:space="preserve">The HIT Standards Committee should consider options to implement standards being developed under the Data Access Framework (DAF) to develop a common API for HIT applications which </w:t>
            </w:r>
            <w:r w:rsidR="00A74B47" w:rsidRPr="005E0BC8">
              <w:lastRenderedPageBreak/>
              <w:t>would allow real-time sharing of information between applications. The HIT Policy Committee could then consider how these standards could be initially implemented as a part of future voluntary certification which would allow participating vendors to demonstrate that they can easily integrate with other applications.</w:t>
            </w:r>
          </w:p>
        </w:tc>
        <w:tc>
          <w:tcPr>
            <w:tcW w:w="6894" w:type="dxa"/>
          </w:tcPr>
          <w:p w14:paraId="4F0CBAC7" w14:textId="4359969E" w:rsidR="00655B97" w:rsidRPr="001F7F69" w:rsidRDefault="001F7F69" w:rsidP="005F52AF">
            <w:pPr>
              <w:pStyle w:val="CommentText"/>
              <w:numPr>
                <w:ilvl w:val="0"/>
                <w:numId w:val="24"/>
              </w:numPr>
              <w:ind w:left="306"/>
              <w:rPr>
                <w:sz w:val="22"/>
                <w:szCs w:val="22"/>
              </w:rPr>
            </w:pPr>
            <w:r w:rsidRPr="001F7F69">
              <w:rPr>
                <w:b/>
                <w:sz w:val="22"/>
                <w:szCs w:val="22"/>
              </w:rPr>
              <w:lastRenderedPageBreak/>
              <w:t>Clarify jurisdiction:</w:t>
            </w:r>
            <w:r>
              <w:rPr>
                <w:sz w:val="22"/>
                <w:szCs w:val="22"/>
              </w:rPr>
              <w:t xml:space="preserve"> Is this an HITSC or an HITPC issues?</w:t>
            </w:r>
          </w:p>
        </w:tc>
      </w:tr>
      <w:tr w:rsidR="00242D4E" w:rsidRPr="00274AF5" w14:paraId="3A5C6B99" w14:textId="77777777" w:rsidTr="001D48F4">
        <w:tc>
          <w:tcPr>
            <w:tcW w:w="6894" w:type="dxa"/>
          </w:tcPr>
          <w:p w14:paraId="56AA9D64" w14:textId="73F7FA18" w:rsidR="00242D4E" w:rsidRPr="001D48F4" w:rsidRDefault="001F7F69" w:rsidP="005F52AF">
            <w:pPr>
              <w:pStyle w:val="ListParagraph"/>
              <w:numPr>
                <w:ilvl w:val="0"/>
                <w:numId w:val="22"/>
              </w:numPr>
              <w:ind w:left="360"/>
            </w:pPr>
            <w:r w:rsidRPr="001F7F69">
              <w:rPr>
                <w:b/>
              </w:rPr>
              <w:lastRenderedPageBreak/>
              <w:t>Measures for cross-vendor exchange.</w:t>
            </w:r>
            <w:r>
              <w:t xml:space="preserve"> </w:t>
            </w:r>
            <w:r w:rsidR="00242D4E" w:rsidRPr="00274AF5">
              <w:t>The HIT Standards Committee should strengthen measures around cross-vendor exchange for meeting HIT Policy Committee and HHS objectives around transitions of care in future stages of Meaningful Use.</w:t>
            </w:r>
          </w:p>
        </w:tc>
        <w:tc>
          <w:tcPr>
            <w:tcW w:w="6894" w:type="dxa"/>
          </w:tcPr>
          <w:p w14:paraId="6A64DC18" w14:textId="6614E0EC" w:rsidR="00242D4E" w:rsidRPr="00274AF5" w:rsidRDefault="00854AE6" w:rsidP="005F52AF">
            <w:pPr>
              <w:pStyle w:val="CommentText"/>
              <w:numPr>
                <w:ilvl w:val="0"/>
                <w:numId w:val="25"/>
              </w:numPr>
              <w:ind w:left="306"/>
              <w:rPr>
                <w:sz w:val="22"/>
                <w:szCs w:val="22"/>
              </w:rPr>
            </w:pPr>
            <w:r w:rsidRPr="001F7F69">
              <w:rPr>
                <w:b/>
                <w:sz w:val="22"/>
                <w:szCs w:val="22"/>
              </w:rPr>
              <w:t>Consider removing:</w:t>
            </w:r>
            <w:r>
              <w:rPr>
                <w:sz w:val="22"/>
                <w:szCs w:val="22"/>
              </w:rPr>
              <w:t xml:space="preserve"> t</w:t>
            </w:r>
            <w:r w:rsidR="00242D4E" w:rsidRPr="00274AF5">
              <w:rPr>
                <w:sz w:val="22"/>
                <w:szCs w:val="22"/>
              </w:rPr>
              <w:t>his may not</w:t>
            </w:r>
            <w:r>
              <w:rPr>
                <w:sz w:val="22"/>
                <w:szCs w:val="22"/>
              </w:rPr>
              <w:t xml:space="preserve"> be appropriate or relevant. </w:t>
            </w:r>
            <w:r w:rsidR="00242D4E" w:rsidRPr="00274AF5">
              <w:rPr>
                <w:sz w:val="22"/>
                <w:szCs w:val="22"/>
              </w:rPr>
              <w:t>If a large integrated delivery system (like Kaiser, the VA, Intermountain Health etc.</w:t>
            </w:r>
            <w:r>
              <w:rPr>
                <w:sz w:val="22"/>
                <w:szCs w:val="22"/>
              </w:rPr>
              <w:t>)</w:t>
            </w:r>
            <w:r w:rsidR="00242D4E" w:rsidRPr="00274AF5">
              <w:rPr>
                <w:sz w:val="22"/>
                <w:szCs w:val="22"/>
              </w:rPr>
              <w:t xml:space="preserve"> has a single vendor they will not need to demo</w:t>
            </w:r>
            <w:r>
              <w:rPr>
                <w:sz w:val="22"/>
                <w:szCs w:val="22"/>
              </w:rPr>
              <w:t xml:space="preserve">nstrate cross vendor exchange, </w:t>
            </w:r>
            <w:r w:rsidR="00242D4E" w:rsidRPr="00274AF5">
              <w:rPr>
                <w:sz w:val="22"/>
                <w:szCs w:val="22"/>
              </w:rPr>
              <w:t>especiall</w:t>
            </w:r>
            <w:r>
              <w:rPr>
                <w:sz w:val="22"/>
                <w:szCs w:val="22"/>
              </w:rPr>
              <w:t xml:space="preserve">y if the vendor has a HISP. </w:t>
            </w:r>
          </w:p>
        </w:tc>
      </w:tr>
      <w:tr w:rsidR="001D48F4" w:rsidRPr="00274AF5" w14:paraId="446EEDCF" w14:textId="77777777" w:rsidTr="00E55341">
        <w:tc>
          <w:tcPr>
            <w:tcW w:w="6894" w:type="dxa"/>
          </w:tcPr>
          <w:p w14:paraId="41A7A20B" w14:textId="6890CD89" w:rsidR="001D48F4" w:rsidRPr="00274AF5" w:rsidRDefault="001F7F69" w:rsidP="005F52AF">
            <w:pPr>
              <w:pStyle w:val="ListParagraph"/>
              <w:numPr>
                <w:ilvl w:val="0"/>
                <w:numId w:val="22"/>
              </w:numPr>
              <w:ind w:left="360"/>
            </w:pPr>
            <w:r w:rsidRPr="001F7F69">
              <w:rPr>
                <w:b/>
              </w:rPr>
              <w:t>Remote monitoring devices.</w:t>
            </w:r>
            <w:r>
              <w:t xml:space="preserve"> </w:t>
            </w:r>
            <w:r w:rsidR="001D48F4" w:rsidRPr="00274AF5">
              <w:t>ONC and FDA should review barriers, and issues related beyond, linked to the use of patient focused remote monitoring devices payment, certification, quality, satisfaction, and how data from these can best be made available</w:t>
            </w:r>
            <w:r>
              <w:t xml:space="preserve"> to the clinicians of record.</w:t>
            </w:r>
          </w:p>
        </w:tc>
        <w:tc>
          <w:tcPr>
            <w:tcW w:w="6894" w:type="dxa"/>
          </w:tcPr>
          <w:p w14:paraId="57005FFA" w14:textId="7CB36793" w:rsidR="001D48F4" w:rsidRPr="00274AF5" w:rsidRDefault="001D48F4" w:rsidP="005F52AF">
            <w:pPr>
              <w:pStyle w:val="ListParagraph"/>
              <w:numPr>
                <w:ilvl w:val="0"/>
                <w:numId w:val="26"/>
              </w:numPr>
              <w:ind w:left="306"/>
            </w:pPr>
            <w:r>
              <w:t>*</w:t>
            </w:r>
            <w:r w:rsidR="001F7F69">
              <w:t>ADDED</w:t>
            </w:r>
            <w:r>
              <w:t xml:space="preserve"> RECOMMENDATION*</w:t>
            </w:r>
          </w:p>
        </w:tc>
      </w:tr>
      <w:tr w:rsidR="001F7F69" w:rsidRPr="00274AF5" w14:paraId="3150277C" w14:textId="77777777" w:rsidTr="001D48F4">
        <w:tc>
          <w:tcPr>
            <w:tcW w:w="6894" w:type="dxa"/>
          </w:tcPr>
          <w:p w14:paraId="0276D766" w14:textId="39841C44" w:rsidR="001F7F69" w:rsidRPr="00274AF5" w:rsidRDefault="001F7F69" w:rsidP="005F52AF">
            <w:pPr>
              <w:pStyle w:val="ListParagraph"/>
              <w:numPr>
                <w:ilvl w:val="0"/>
                <w:numId w:val="22"/>
              </w:numPr>
              <w:ind w:left="360"/>
            </w:pPr>
            <w:r w:rsidRPr="00274AF5">
              <w:t>The HIT Standards Committee should direct ONC or another HITSC/HITPC workgroup to consider activities that build upon or complement the current certification process to increase vendor accountability for effectively implementing interoperability specifications. This group could consider several different mechanisms including:</w:t>
            </w:r>
          </w:p>
        </w:tc>
        <w:tc>
          <w:tcPr>
            <w:tcW w:w="6894" w:type="dxa"/>
          </w:tcPr>
          <w:p w14:paraId="24321B5B" w14:textId="3179D6DC" w:rsidR="001F7F69" w:rsidRPr="005375FC" w:rsidRDefault="001F7F69" w:rsidP="005F52AF">
            <w:pPr>
              <w:pStyle w:val="CommentText"/>
              <w:numPr>
                <w:ilvl w:val="0"/>
                <w:numId w:val="27"/>
              </w:numPr>
              <w:ind w:left="306"/>
              <w:rPr>
                <w:sz w:val="22"/>
                <w:szCs w:val="22"/>
              </w:rPr>
            </w:pPr>
            <w:r w:rsidRPr="005375FC">
              <w:rPr>
                <w:rFonts w:ascii="Calibri" w:eastAsia="Calibri" w:hAnsi="Calibri"/>
                <w:bCs/>
                <w:color w:val="000000" w:themeColor="text1"/>
                <w:kern w:val="24"/>
                <w:sz w:val="22"/>
                <w:szCs w:val="22"/>
              </w:rPr>
              <w:t>As we move beyond ONC CEHRT 2014 we need to be careful about how EHRT is defined.  I continue to believe that the goal is to be able to exchange critical data among multiple HIT platforms, products, and product types. This means a clear focus on interoperability, which is under the aegis of the HITSC.</w:t>
            </w:r>
          </w:p>
        </w:tc>
      </w:tr>
      <w:tr w:rsidR="001F7F69" w:rsidRPr="00274AF5" w14:paraId="44FD3028" w14:textId="77777777" w:rsidTr="001D48F4">
        <w:tc>
          <w:tcPr>
            <w:tcW w:w="6894" w:type="dxa"/>
          </w:tcPr>
          <w:p w14:paraId="65FC59FB" w14:textId="420E37D8" w:rsidR="001F7F69" w:rsidRPr="00274AF5" w:rsidRDefault="001F7F69" w:rsidP="005F52AF">
            <w:pPr>
              <w:pStyle w:val="ListParagraph"/>
              <w:numPr>
                <w:ilvl w:val="0"/>
                <w:numId w:val="9"/>
              </w:numPr>
              <w:ind w:left="1080"/>
            </w:pPr>
            <w:r w:rsidRPr="00274AF5">
              <w:t xml:space="preserve">Developing an “accreditation” or “recognition” program for vendors who have demonstrated the ability to efficiently and easily share data across systems and within population health management platforms in practice (i.e. beyond demonstrating interoperability under controlled conditions). </w:t>
            </w:r>
          </w:p>
        </w:tc>
        <w:tc>
          <w:tcPr>
            <w:tcW w:w="6894" w:type="dxa"/>
          </w:tcPr>
          <w:p w14:paraId="1D14E0B5" w14:textId="0ECB3023" w:rsidR="001F7F69" w:rsidRPr="00D04476" w:rsidRDefault="001F7F69" w:rsidP="005F52AF">
            <w:pPr>
              <w:pStyle w:val="CommentText"/>
              <w:numPr>
                <w:ilvl w:val="0"/>
                <w:numId w:val="27"/>
              </w:numPr>
              <w:ind w:left="306"/>
              <w:rPr>
                <w:sz w:val="22"/>
                <w:szCs w:val="22"/>
              </w:rPr>
            </w:pPr>
            <w:r>
              <w:rPr>
                <w:rFonts w:ascii="Calibri" w:eastAsia="Calibri" w:hAnsi="Calibri"/>
                <w:b/>
                <w:bCs/>
                <w:color w:val="000000" w:themeColor="text1"/>
                <w:kern w:val="24"/>
                <w:sz w:val="22"/>
                <w:szCs w:val="22"/>
              </w:rPr>
              <w:t xml:space="preserve">Consider eliminating this concept: </w:t>
            </w:r>
            <w:r>
              <w:rPr>
                <w:rFonts w:ascii="Calibri" w:eastAsia="Calibri" w:hAnsi="Calibri"/>
                <w:color w:val="000000" w:themeColor="text1"/>
                <w:kern w:val="24"/>
                <w:sz w:val="22"/>
                <w:szCs w:val="22"/>
              </w:rPr>
              <w:t xml:space="preserve">1) The market will quickly figure out which vendors are truly willing to play in the interoperability space without yet another government run program (and all that this entails) 2) There is currently NCQA accreditation, ONC certification,  KLAS recognition, etc. Another recognition program may not bring much value, but would certainly add to burden and costs.   </w:t>
            </w:r>
          </w:p>
        </w:tc>
      </w:tr>
      <w:tr w:rsidR="001F7F69" w:rsidRPr="00274AF5" w14:paraId="52BD1A46" w14:textId="77777777" w:rsidTr="001D48F4">
        <w:tc>
          <w:tcPr>
            <w:tcW w:w="6894" w:type="dxa"/>
          </w:tcPr>
          <w:p w14:paraId="03F4D7D3" w14:textId="20B952CF" w:rsidR="001F7F69" w:rsidRPr="00274AF5" w:rsidRDefault="001F7F69" w:rsidP="005F52AF">
            <w:pPr>
              <w:pStyle w:val="ListParagraph"/>
              <w:numPr>
                <w:ilvl w:val="0"/>
                <w:numId w:val="9"/>
              </w:numPr>
              <w:ind w:left="1080"/>
            </w:pPr>
            <w:r w:rsidRPr="00274AF5">
              <w:t>Developing a more robust system for monitoring performance of certified products’ ability to effectively implement exchange in practice, e.g. through a system for identifying customer complaints, with an option to place vendor certification in a provisional status if identified concerns are not addressed.</w:t>
            </w:r>
          </w:p>
        </w:tc>
        <w:tc>
          <w:tcPr>
            <w:tcW w:w="6894" w:type="dxa"/>
          </w:tcPr>
          <w:p w14:paraId="725DA8F2" w14:textId="77777777" w:rsidR="005375FC" w:rsidRDefault="001F7F69" w:rsidP="005F52AF">
            <w:pPr>
              <w:pStyle w:val="CommentText"/>
              <w:numPr>
                <w:ilvl w:val="0"/>
                <w:numId w:val="27"/>
              </w:numPr>
              <w:ind w:left="306"/>
              <w:rPr>
                <w:rFonts w:ascii="Calibri" w:eastAsia="Calibri" w:hAnsi="Calibri"/>
                <w:b/>
                <w:bCs/>
                <w:color w:val="000000" w:themeColor="text1"/>
                <w:kern w:val="24"/>
                <w:sz w:val="22"/>
                <w:szCs w:val="22"/>
              </w:rPr>
            </w:pPr>
            <w:r w:rsidRPr="001F7F69">
              <w:rPr>
                <w:rFonts w:ascii="Calibri" w:eastAsia="Calibri" w:hAnsi="Calibri"/>
                <w:b/>
                <w:bCs/>
                <w:color w:val="000000" w:themeColor="text1"/>
                <w:kern w:val="24"/>
                <w:sz w:val="22"/>
                <w:szCs w:val="22"/>
              </w:rPr>
              <w:t>Consider limiting this recommendation solely to transparency:</w:t>
            </w:r>
            <w:r w:rsidRPr="001F7F69">
              <w:rPr>
                <w:rFonts w:ascii="Calibri" w:eastAsia="Calibri" w:hAnsi="Calibri"/>
                <w:bCs/>
                <w:color w:val="000000" w:themeColor="text1"/>
                <w:kern w:val="24"/>
                <w:sz w:val="22"/>
                <w:szCs w:val="22"/>
              </w:rPr>
              <w:t xml:space="preserve"> </w:t>
            </w:r>
            <w:r>
              <w:rPr>
                <w:rFonts w:ascii="Calibri" w:eastAsia="Calibri" w:hAnsi="Calibri"/>
                <w:bCs/>
                <w:color w:val="000000" w:themeColor="text1"/>
                <w:kern w:val="24"/>
                <w:sz w:val="22"/>
                <w:szCs w:val="22"/>
              </w:rPr>
              <w:t>W</w:t>
            </w:r>
            <w:r w:rsidRPr="001F7F69">
              <w:rPr>
                <w:rFonts w:ascii="Calibri" w:eastAsia="Calibri" w:hAnsi="Calibri"/>
                <w:bCs/>
                <w:color w:val="000000" w:themeColor="text1"/>
                <w:kern w:val="24"/>
                <w:sz w:val="22"/>
                <w:szCs w:val="22"/>
              </w:rPr>
              <w:t>hile concept is important, difficult to effectively tie it back to certification. The problem is that a vendor could meet the certification requirements to the letter while not really effectively supporting exchange in practice.</w:t>
            </w:r>
            <w:r w:rsidRPr="001F7F69">
              <w:rPr>
                <w:rFonts w:ascii="Calibri" w:eastAsia="Calibri" w:hAnsi="Calibri"/>
                <w:b/>
                <w:bCs/>
                <w:color w:val="000000" w:themeColor="text1"/>
                <w:kern w:val="24"/>
                <w:sz w:val="22"/>
                <w:szCs w:val="22"/>
              </w:rPr>
              <w:t xml:space="preserve"> </w:t>
            </w:r>
          </w:p>
          <w:p w14:paraId="63085BF8" w14:textId="6617FA5A" w:rsidR="001F7F69" w:rsidRPr="005375FC" w:rsidRDefault="001F7F69" w:rsidP="005F52AF">
            <w:pPr>
              <w:pStyle w:val="CommentText"/>
              <w:numPr>
                <w:ilvl w:val="0"/>
                <w:numId w:val="27"/>
              </w:numPr>
              <w:ind w:left="306"/>
              <w:rPr>
                <w:rFonts w:ascii="Calibri" w:eastAsia="Calibri" w:hAnsi="Calibri"/>
                <w:bCs/>
                <w:color w:val="000000" w:themeColor="text1"/>
                <w:kern w:val="24"/>
                <w:sz w:val="22"/>
                <w:szCs w:val="22"/>
              </w:rPr>
            </w:pPr>
            <w:r w:rsidRPr="005375FC">
              <w:rPr>
                <w:rFonts w:ascii="Calibri" w:eastAsia="Calibri" w:hAnsi="Calibri"/>
                <w:bCs/>
                <w:color w:val="000000" w:themeColor="text1"/>
                <w:kern w:val="24"/>
                <w:sz w:val="22"/>
                <w:szCs w:val="22"/>
              </w:rPr>
              <w:t>Could this be assessing how well customers do at ‘using the exchange’</w:t>
            </w:r>
            <w:r w:rsidR="005375FC">
              <w:rPr>
                <w:rFonts w:ascii="Calibri" w:eastAsia="Calibri" w:hAnsi="Calibri"/>
                <w:bCs/>
                <w:color w:val="000000" w:themeColor="text1"/>
                <w:kern w:val="24"/>
                <w:sz w:val="22"/>
                <w:szCs w:val="22"/>
              </w:rPr>
              <w:t>?</w:t>
            </w:r>
            <w:r w:rsidRPr="005375FC">
              <w:rPr>
                <w:rFonts w:ascii="Calibri" w:eastAsia="Calibri" w:hAnsi="Calibri"/>
                <w:bCs/>
                <w:color w:val="000000" w:themeColor="text1"/>
                <w:kern w:val="24"/>
                <w:sz w:val="22"/>
                <w:szCs w:val="22"/>
              </w:rPr>
              <w:t xml:space="preserve"> Certification can be technically com</w:t>
            </w:r>
            <w:r w:rsidR="005375FC">
              <w:rPr>
                <w:rFonts w:ascii="Calibri" w:eastAsia="Calibri" w:hAnsi="Calibri"/>
                <w:bCs/>
                <w:color w:val="000000" w:themeColor="text1"/>
                <w:kern w:val="24"/>
                <w:sz w:val="22"/>
                <w:szCs w:val="22"/>
              </w:rPr>
              <w:t>pliant but practically unusable.</w:t>
            </w:r>
          </w:p>
        </w:tc>
      </w:tr>
      <w:tr w:rsidR="001F7F69" w:rsidRPr="00274AF5" w14:paraId="62F027F7" w14:textId="77777777" w:rsidTr="001D48F4">
        <w:tc>
          <w:tcPr>
            <w:tcW w:w="6894" w:type="dxa"/>
          </w:tcPr>
          <w:p w14:paraId="191317A1" w14:textId="2FA8C23A" w:rsidR="001F7F69" w:rsidRPr="00274AF5" w:rsidRDefault="001F7F69" w:rsidP="005F52AF">
            <w:pPr>
              <w:pStyle w:val="ListParagraph"/>
              <w:numPr>
                <w:ilvl w:val="0"/>
                <w:numId w:val="9"/>
              </w:numPr>
              <w:ind w:left="1080"/>
            </w:pPr>
            <w:r w:rsidRPr="00274AF5">
              <w:t xml:space="preserve">Developing additional testing procedures that demonstrate </w:t>
            </w:r>
            <w:r w:rsidRPr="00274AF5">
              <w:lastRenderedPageBreak/>
              <w:t>the technical ability to not only send data in a recognized manner, but also receive and make data computable within a receiving application.</w:t>
            </w:r>
          </w:p>
        </w:tc>
        <w:tc>
          <w:tcPr>
            <w:tcW w:w="6894" w:type="dxa"/>
          </w:tcPr>
          <w:p w14:paraId="0C7E437F" w14:textId="62E4E3B4" w:rsidR="001F7F69" w:rsidRPr="00D04476" w:rsidRDefault="001F7F69" w:rsidP="005F52AF">
            <w:pPr>
              <w:pStyle w:val="CommentText"/>
              <w:numPr>
                <w:ilvl w:val="0"/>
                <w:numId w:val="27"/>
              </w:numPr>
              <w:ind w:left="306"/>
              <w:rPr>
                <w:sz w:val="22"/>
                <w:szCs w:val="22"/>
              </w:rPr>
            </w:pPr>
            <w:r>
              <w:rPr>
                <w:rFonts w:ascii="Calibri" w:eastAsia="Calibri" w:hAnsi="Calibri"/>
                <w:color w:val="000000" w:themeColor="text1"/>
                <w:kern w:val="24"/>
                <w:sz w:val="22"/>
                <w:szCs w:val="22"/>
              </w:rPr>
              <w:lastRenderedPageBreak/>
              <w:t>Critical aspect. Makes no sense to send what can’t be received.</w:t>
            </w:r>
          </w:p>
        </w:tc>
      </w:tr>
    </w:tbl>
    <w:p w14:paraId="6F5B93B9" w14:textId="02E8C8DD" w:rsidR="00E06021" w:rsidRPr="00274AF5" w:rsidRDefault="0064385D" w:rsidP="000538D8">
      <w:pPr>
        <w:tabs>
          <w:tab w:val="left" w:pos="3802"/>
          <w:tab w:val="left" w:pos="7453"/>
        </w:tabs>
        <w:rPr>
          <w:rFonts w:ascii="Calibri" w:eastAsia="Times New Roman" w:hAnsi="Calibri" w:cs="Times New Roman"/>
          <w:color w:val="000000"/>
        </w:rPr>
      </w:pPr>
      <w:r>
        <w:rPr>
          <w:rFonts w:ascii="Calibri" w:eastAsia="Times New Roman" w:hAnsi="Calibri" w:cs="Times New Roman"/>
          <w:color w:val="000000"/>
        </w:rPr>
        <w:lastRenderedPageBreak/>
        <w:tab/>
      </w:r>
      <w:r>
        <w:rPr>
          <w:rFonts w:ascii="Calibri" w:eastAsia="Times New Roman" w:hAnsi="Calibri" w:cs="Times New Roman"/>
          <w:color w:val="000000"/>
        </w:rPr>
        <w:tab/>
      </w:r>
    </w:p>
    <w:tbl>
      <w:tblPr>
        <w:tblStyle w:val="TableGrid"/>
        <w:tblW w:w="13788" w:type="dxa"/>
        <w:tblLook w:val="04A0" w:firstRow="1" w:lastRow="0" w:firstColumn="1" w:lastColumn="0" w:noHBand="0" w:noVBand="1"/>
      </w:tblPr>
      <w:tblGrid>
        <w:gridCol w:w="6948"/>
        <w:gridCol w:w="6840"/>
      </w:tblGrid>
      <w:tr w:rsidR="00E06021" w:rsidRPr="00274AF5" w14:paraId="7F6957AF" w14:textId="77777777" w:rsidTr="005375FC">
        <w:tc>
          <w:tcPr>
            <w:tcW w:w="6948" w:type="dxa"/>
            <w:shd w:val="clear" w:color="auto" w:fill="D9D9D9" w:themeFill="background1" w:themeFillShade="D9"/>
          </w:tcPr>
          <w:p w14:paraId="18070ACF" w14:textId="77777777" w:rsidR="00E06021" w:rsidRPr="00274AF5" w:rsidRDefault="00E06021" w:rsidP="00053E40">
            <w:pPr>
              <w:rPr>
                <w:bCs/>
                <w:i/>
              </w:rPr>
            </w:pPr>
            <w:r w:rsidRPr="00274AF5">
              <w:rPr>
                <w:bCs/>
                <w:i/>
              </w:rPr>
              <w:t>Original Text</w:t>
            </w:r>
          </w:p>
        </w:tc>
        <w:tc>
          <w:tcPr>
            <w:tcW w:w="6840" w:type="dxa"/>
            <w:shd w:val="clear" w:color="auto" w:fill="D9D9D9" w:themeFill="background1" w:themeFillShade="D9"/>
          </w:tcPr>
          <w:p w14:paraId="6136690F" w14:textId="77777777" w:rsidR="00E06021" w:rsidRPr="00274AF5" w:rsidRDefault="00E06021" w:rsidP="00053E40">
            <w:pPr>
              <w:pStyle w:val="CommentText"/>
              <w:rPr>
                <w:i/>
                <w:sz w:val="22"/>
                <w:szCs w:val="22"/>
              </w:rPr>
            </w:pPr>
            <w:r w:rsidRPr="00274AF5">
              <w:rPr>
                <w:i/>
                <w:sz w:val="22"/>
                <w:szCs w:val="22"/>
              </w:rPr>
              <w:t>Comments/Major Revisions</w:t>
            </w:r>
          </w:p>
        </w:tc>
      </w:tr>
      <w:tr w:rsidR="00E06021" w:rsidRPr="00274AF5" w14:paraId="531B3494" w14:textId="77777777" w:rsidTr="005375FC">
        <w:trPr>
          <w:trHeight w:val="1790"/>
        </w:trPr>
        <w:tc>
          <w:tcPr>
            <w:tcW w:w="6948" w:type="dxa"/>
          </w:tcPr>
          <w:p w14:paraId="498D6D2C" w14:textId="074B20F9" w:rsidR="00E06021" w:rsidRPr="00274AF5" w:rsidRDefault="00E06021" w:rsidP="005F52AF">
            <w:pPr>
              <w:pStyle w:val="ListParagraph"/>
              <w:numPr>
                <w:ilvl w:val="0"/>
                <w:numId w:val="11"/>
              </w:numPr>
              <w:ind w:left="360" w:hanging="180"/>
            </w:pPr>
            <w:r w:rsidRPr="00274AF5">
              <w:rPr>
                <w:b/>
                <w:bCs/>
              </w:rPr>
              <w:t>Use of data and information at the point of care.</w:t>
            </w:r>
            <w:r w:rsidRPr="00274AF5">
              <w:t xml:space="preserve"> Organizations operating within accountable care models are focused on developing infrastructure that allows clinicians to deliver seamless, coordinated care based around a single view of the patient. HIT applications must support collaboration across the care team informed by point-of-care access to key clinical and administrative data.</w:t>
            </w:r>
          </w:p>
        </w:tc>
        <w:tc>
          <w:tcPr>
            <w:tcW w:w="6840" w:type="dxa"/>
          </w:tcPr>
          <w:p w14:paraId="51A21C0E" w14:textId="77777777" w:rsidR="00E06021" w:rsidRPr="00274AF5" w:rsidRDefault="00E06021" w:rsidP="00E06021">
            <w:pPr>
              <w:rPr>
                <w:rFonts w:ascii="Calibri" w:eastAsia="Times New Roman" w:hAnsi="Calibri" w:cs="Times New Roman"/>
                <w:color w:val="000000"/>
              </w:rPr>
            </w:pPr>
          </w:p>
        </w:tc>
      </w:tr>
      <w:tr w:rsidR="00E06021" w:rsidRPr="00274AF5" w14:paraId="785B88D3" w14:textId="77777777" w:rsidTr="005375FC">
        <w:trPr>
          <w:trHeight w:val="4409"/>
        </w:trPr>
        <w:tc>
          <w:tcPr>
            <w:tcW w:w="6948" w:type="dxa"/>
          </w:tcPr>
          <w:p w14:paraId="01524795" w14:textId="59D276EF" w:rsidR="005375FC" w:rsidRPr="005375FC" w:rsidRDefault="00D51F2D" w:rsidP="005375FC">
            <w:pPr>
              <w:pStyle w:val="ListParagraph"/>
              <w:numPr>
                <w:ilvl w:val="0"/>
                <w:numId w:val="4"/>
              </w:numPr>
              <w:rPr>
                <w:rFonts w:ascii="Calibri" w:eastAsia="Times New Roman" w:hAnsi="Calibri" w:cs="Times New Roman"/>
                <w:color w:val="000000"/>
              </w:rPr>
            </w:pPr>
            <w:r w:rsidRPr="00D51F2D">
              <w:rPr>
                <w:rFonts w:ascii="Calibri" w:eastAsia="Times New Roman" w:hAnsi="Calibri" w:cs="Times New Roman"/>
                <w:b/>
                <w:color w:val="000000"/>
              </w:rPr>
              <w:t>Accelerate progress on shared c</w:t>
            </w:r>
            <w:r w:rsidR="005375FC" w:rsidRPr="00D51F2D">
              <w:rPr>
                <w:rFonts w:ascii="Calibri" w:eastAsia="Times New Roman" w:hAnsi="Calibri" w:cs="Times New Roman"/>
                <w:b/>
                <w:color w:val="000000"/>
              </w:rPr>
              <w:t>are plan</w:t>
            </w:r>
            <w:r w:rsidRPr="00D51F2D">
              <w:rPr>
                <w:rFonts w:ascii="Calibri" w:eastAsia="Times New Roman" w:hAnsi="Calibri" w:cs="Times New Roman"/>
                <w:b/>
                <w:color w:val="000000"/>
              </w:rPr>
              <w:t>s</w:t>
            </w:r>
            <w:r w:rsidR="005375FC" w:rsidRPr="00D51F2D">
              <w:rPr>
                <w:rFonts w:ascii="Calibri" w:eastAsia="Times New Roman" w:hAnsi="Calibri" w:cs="Times New Roman"/>
                <w:b/>
                <w:color w:val="000000"/>
              </w:rPr>
              <w:t>.</w:t>
            </w:r>
            <w:r w:rsidR="005375FC" w:rsidRPr="005375FC">
              <w:rPr>
                <w:rFonts w:ascii="Calibri" w:eastAsia="Times New Roman" w:hAnsi="Calibri" w:cs="Times New Roman"/>
                <w:color w:val="000000"/>
              </w:rPr>
              <w:t xml:space="preserve"> </w:t>
            </w:r>
            <w:r w:rsidR="00E06021" w:rsidRPr="005375FC">
              <w:rPr>
                <w:rFonts w:ascii="Calibri" w:eastAsia="Times New Roman" w:hAnsi="Calibri" w:cs="Times New Roman"/>
                <w:color w:val="000000"/>
              </w:rPr>
              <w:t xml:space="preserve">The HIT Policy Committee should task a workgroup or tiger team to </w:t>
            </w:r>
            <w:r w:rsidR="005375FC" w:rsidRPr="005375FC">
              <w:rPr>
                <w:rFonts w:ascii="Calibri" w:eastAsia="Times New Roman" w:hAnsi="Calibri" w:cs="Times New Roman"/>
                <w:color w:val="000000"/>
              </w:rPr>
              <w:t>make recommendations on</w:t>
            </w:r>
            <w:r w:rsidR="00E06021" w:rsidRPr="005375FC">
              <w:rPr>
                <w:rFonts w:ascii="Calibri" w:eastAsia="Times New Roman" w:hAnsi="Calibri" w:cs="Times New Roman"/>
                <w:color w:val="000000"/>
              </w:rPr>
              <w:t xml:space="preserve"> how to </w:t>
            </w:r>
            <w:r w:rsidR="005375FC" w:rsidRPr="005375FC">
              <w:rPr>
                <w:rFonts w:ascii="Calibri" w:eastAsia="Times New Roman" w:hAnsi="Calibri" w:cs="Times New Roman"/>
                <w:color w:val="000000"/>
              </w:rPr>
              <w:t>define electronic care planning; what policies, standards and programs are needed to support asynchronous and synchronous care planning; and how care team members including the patient/caregiver can adopt a shared process for developing and exchanging electronic care plans.  Key areas of focus include:</w:t>
            </w:r>
          </w:p>
          <w:p w14:paraId="4C90BF33" w14:textId="6CFFC850" w:rsidR="005375FC" w:rsidRPr="005375FC" w:rsidRDefault="005375FC" w:rsidP="005F52AF">
            <w:pPr>
              <w:pStyle w:val="ListParagraph"/>
              <w:numPr>
                <w:ilvl w:val="0"/>
                <w:numId w:val="38"/>
              </w:numPr>
              <w:rPr>
                <w:rFonts w:ascii="Calibri" w:eastAsia="Times New Roman" w:hAnsi="Calibri" w:cs="Times New Roman"/>
                <w:color w:val="000000"/>
              </w:rPr>
            </w:pPr>
            <w:r w:rsidRPr="005375FC">
              <w:rPr>
                <w:rFonts w:ascii="Calibri" w:eastAsia="Times New Roman" w:hAnsi="Calibri" w:cs="Times New Roman"/>
                <w:color w:val="000000"/>
              </w:rPr>
              <w:t>Developing a roadmap or trajectory for shared care planning in the short and long-term building on what is optimal for the patient/caregiver while considering existing and emerging policies, standards and programs</w:t>
            </w:r>
            <w:r w:rsidR="00D51F2D">
              <w:rPr>
                <w:rFonts w:ascii="Calibri" w:eastAsia="Times New Roman" w:hAnsi="Calibri" w:cs="Times New Roman"/>
                <w:color w:val="000000"/>
              </w:rPr>
              <w:t>.</w:t>
            </w:r>
          </w:p>
          <w:p w14:paraId="6803D77A" w14:textId="77777777" w:rsidR="005375FC" w:rsidRPr="005375FC" w:rsidRDefault="005375FC" w:rsidP="005F52AF">
            <w:pPr>
              <w:pStyle w:val="ListParagraph"/>
              <w:numPr>
                <w:ilvl w:val="0"/>
                <w:numId w:val="38"/>
              </w:numPr>
              <w:rPr>
                <w:rFonts w:ascii="Calibri" w:eastAsia="Times New Roman" w:hAnsi="Calibri" w:cs="Times New Roman"/>
                <w:color w:val="000000"/>
              </w:rPr>
            </w:pPr>
            <w:r w:rsidRPr="005375FC">
              <w:rPr>
                <w:rFonts w:ascii="Calibri" w:eastAsia="Times New Roman" w:hAnsi="Calibri" w:cs="Times New Roman"/>
                <w:color w:val="000000"/>
              </w:rPr>
              <w:t>Identifying an agreed upon term for the electronic care plan and the processes by which interdisciplinary care teams may develop, update, exchange and access the electronic care plan.</w:t>
            </w:r>
          </w:p>
          <w:p w14:paraId="766E415A" w14:textId="365E324A" w:rsidR="005375FC" w:rsidRPr="005375FC" w:rsidRDefault="005375FC" w:rsidP="005F52AF">
            <w:pPr>
              <w:pStyle w:val="ListParagraph"/>
              <w:numPr>
                <w:ilvl w:val="0"/>
                <w:numId w:val="38"/>
              </w:numPr>
              <w:rPr>
                <w:rFonts w:ascii="Calibri" w:eastAsia="Times New Roman" w:hAnsi="Calibri" w:cs="Times New Roman"/>
                <w:color w:val="000000"/>
              </w:rPr>
            </w:pPr>
            <w:r w:rsidRPr="005375FC">
              <w:rPr>
                <w:rFonts w:ascii="Calibri" w:eastAsia="Times New Roman" w:hAnsi="Calibri" w:cs="Times New Roman"/>
                <w:color w:val="000000"/>
              </w:rPr>
              <w:t>Determining the impact of these electronic care plan exchange processes on workflow and system r</w:t>
            </w:r>
            <w:r w:rsidR="00D51F2D">
              <w:rPr>
                <w:rFonts w:ascii="Calibri" w:eastAsia="Times New Roman" w:hAnsi="Calibri" w:cs="Times New Roman"/>
                <w:color w:val="000000"/>
              </w:rPr>
              <w:t>ollout across provider settings.</w:t>
            </w:r>
          </w:p>
          <w:p w14:paraId="55BCF665" w14:textId="0FB4B13F" w:rsidR="00E06021" w:rsidRPr="005375FC" w:rsidRDefault="005375FC" w:rsidP="005F52AF">
            <w:pPr>
              <w:pStyle w:val="ListParagraph"/>
              <w:numPr>
                <w:ilvl w:val="0"/>
                <w:numId w:val="38"/>
              </w:numPr>
              <w:rPr>
                <w:rFonts w:ascii="Calibri" w:eastAsia="Times New Roman" w:hAnsi="Calibri" w:cs="Times New Roman"/>
                <w:color w:val="000000"/>
              </w:rPr>
            </w:pPr>
            <w:r w:rsidRPr="005375FC">
              <w:rPr>
                <w:rFonts w:ascii="Calibri" w:eastAsia="Times New Roman" w:hAnsi="Calibri" w:cs="Times New Roman"/>
                <w:color w:val="000000"/>
              </w:rPr>
              <w:t>Identifying the governance strategies and implications for curating, managing and maintaining an electronic care plan.</w:t>
            </w:r>
          </w:p>
        </w:tc>
        <w:tc>
          <w:tcPr>
            <w:tcW w:w="6840" w:type="dxa"/>
          </w:tcPr>
          <w:p w14:paraId="24CFA5F3" w14:textId="29469CE3" w:rsidR="0064385D" w:rsidRDefault="0064385D" w:rsidP="005F52AF">
            <w:pPr>
              <w:pStyle w:val="CommentText"/>
              <w:numPr>
                <w:ilvl w:val="0"/>
                <w:numId w:val="28"/>
              </w:numPr>
              <w:ind w:left="306"/>
              <w:rPr>
                <w:sz w:val="22"/>
                <w:szCs w:val="22"/>
              </w:rPr>
            </w:pPr>
            <w:r w:rsidRPr="00D04476">
              <w:rPr>
                <w:b/>
                <w:sz w:val="22"/>
                <w:szCs w:val="22"/>
              </w:rPr>
              <w:t>Consider additional recommendation</w:t>
            </w:r>
            <w:r w:rsidR="00D04476">
              <w:rPr>
                <w:b/>
                <w:sz w:val="22"/>
                <w:szCs w:val="22"/>
              </w:rPr>
              <w:t>:</w:t>
            </w:r>
            <w:r>
              <w:rPr>
                <w:sz w:val="22"/>
                <w:szCs w:val="22"/>
              </w:rPr>
              <w:t xml:space="preserve"> </w:t>
            </w:r>
            <w:r w:rsidR="00033BEB">
              <w:rPr>
                <w:sz w:val="22"/>
                <w:szCs w:val="22"/>
              </w:rPr>
              <w:t>p</w:t>
            </w:r>
            <w:r>
              <w:rPr>
                <w:sz w:val="22"/>
                <w:szCs w:val="22"/>
              </w:rPr>
              <w:t xml:space="preserve">romote granting agencies (CMMI/AHRQ/HRSA/etc.) </w:t>
            </w:r>
            <w:r w:rsidR="00E06021" w:rsidRPr="00274AF5">
              <w:rPr>
                <w:sz w:val="22"/>
                <w:szCs w:val="22"/>
              </w:rPr>
              <w:t xml:space="preserve">in testing/piloting best practices for Shared Care plans that would support a </w:t>
            </w:r>
            <w:r>
              <w:rPr>
                <w:sz w:val="22"/>
                <w:szCs w:val="22"/>
              </w:rPr>
              <w:t>m</w:t>
            </w:r>
            <w:r w:rsidR="00E06021" w:rsidRPr="00274AF5">
              <w:rPr>
                <w:sz w:val="22"/>
                <w:szCs w:val="22"/>
              </w:rPr>
              <w:t xml:space="preserve">arket-based adoption of such tools. </w:t>
            </w:r>
          </w:p>
          <w:p w14:paraId="4D45585B" w14:textId="791B94B8" w:rsidR="00E06021" w:rsidRPr="00274AF5" w:rsidRDefault="00E06021" w:rsidP="0064385D">
            <w:pPr>
              <w:pStyle w:val="CommentText"/>
              <w:rPr>
                <w:sz w:val="22"/>
                <w:szCs w:val="22"/>
              </w:rPr>
            </w:pPr>
          </w:p>
        </w:tc>
      </w:tr>
      <w:tr w:rsidR="00E06021" w:rsidRPr="00274AF5" w14:paraId="32278A08" w14:textId="77777777" w:rsidTr="005375FC">
        <w:tc>
          <w:tcPr>
            <w:tcW w:w="6948" w:type="dxa"/>
          </w:tcPr>
          <w:p w14:paraId="1A69B4C6" w14:textId="46CCD699" w:rsidR="00E06021" w:rsidRPr="00274AF5" w:rsidRDefault="00D51F2D" w:rsidP="0046217C">
            <w:pPr>
              <w:pStyle w:val="ListParagraph"/>
              <w:numPr>
                <w:ilvl w:val="0"/>
                <w:numId w:val="4"/>
              </w:numPr>
              <w:rPr>
                <w:rFonts w:ascii="Calibri" w:eastAsia="Times New Roman" w:hAnsi="Calibri" w:cs="Times New Roman"/>
                <w:color w:val="000000"/>
              </w:rPr>
            </w:pPr>
            <w:r>
              <w:rPr>
                <w:rFonts w:ascii="Calibri" w:eastAsia="Times New Roman" w:hAnsi="Calibri" w:cs="Times New Roman"/>
                <w:b/>
                <w:color w:val="000000"/>
              </w:rPr>
              <w:t>Incentivize</w:t>
            </w:r>
            <w:r w:rsidRPr="00D51F2D">
              <w:rPr>
                <w:rFonts w:ascii="Calibri" w:eastAsia="Times New Roman" w:hAnsi="Calibri" w:cs="Times New Roman"/>
                <w:b/>
                <w:color w:val="000000"/>
              </w:rPr>
              <w:t xml:space="preserve"> care plan usage.</w:t>
            </w:r>
            <w:r>
              <w:rPr>
                <w:rFonts w:ascii="Calibri" w:eastAsia="Times New Roman" w:hAnsi="Calibri" w:cs="Times New Roman"/>
                <w:color w:val="000000"/>
              </w:rPr>
              <w:t xml:space="preserve"> </w:t>
            </w:r>
            <w:r w:rsidR="00E06021" w:rsidRPr="00274AF5">
              <w:rPr>
                <w:rFonts w:ascii="Calibri" w:eastAsia="Times New Roman" w:hAnsi="Calibri" w:cs="Times New Roman"/>
                <w:color w:val="000000"/>
              </w:rPr>
              <w:t xml:space="preserve">For a future stage of Meaningful Use, consider an objective that providers must collaborate in the management of a common, patient-centered shared care plan for a </w:t>
            </w:r>
            <w:r w:rsidR="00E06021" w:rsidRPr="00274AF5">
              <w:rPr>
                <w:rFonts w:ascii="Calibri" w:eastAsia="Times New Roman" w:hAnsi="Calibri" w:cs="Times New Roman"/>
                <w:color w:val="000000"/>
              </w:rPr>
              <w:lastRenderedPageBreak/>
              <w:t>specified portion of patients with chronic conditions.</w:t>
            </w:r>
          </w:p>
          <w:p w14:paraId="6A9D0AD3" w14:textId="77777777" w:rsidR="00E06021" w:rsidRPr="00274AF5" w:rsidRDefault="00E06021" w:rsidP="00E06021">
            <w:pPr>
              <w:rPr>
                <w:rFonts w:ascii="Calibri" w:eastAsia="Times New Roman" w:hAnsi="Calibri" w:cs="Times New Roman"/>
                <w:color w:val="000000"/>
              </w:rPr>
            </w:pPr>
          </w:p>
        </w:tc>
        <w:tc>
          <w:tcPr>
            <w:tcW w:w="6840" w:type="dxa"/>
          </w:tcPr>
          <w:p w14:paraId="25B52A61" w14:textId="6B22FE05" w:rsidR="00E06021" w:rsidRPr="0046217C" w:rsidRDefault="0046217C" w:rsidP="005F52AF">
            <w:pPr>
              <w:pStyle w:val="CommentText"/>
              <w:numPr>
                <w:ilvl w:val="0"/>
                <w:numId w:val="29"/>
              </w:numPr>
              <w:ind w:left="306"/>
              <w:rPr>
                <w:sz w:val="22"/>
                <w:szCs w:val="22"/>
              </w:rPr>
            </w:pPr>
            <w:r w:rsidRPr="00D04476">
              <w:rPr>
                <w:b/>
                <w:sz w:val="22"/>
                <w:szCs w:val="22"/>
              </w:rPr>
              <w:lastRenderedPageBreak/>
              <w:t>Consider removing:</w:t>
            </w:r>
            <w:r>
              <w:rPr>
                <w:sz w:val="22"/>
                <w:szCs w:val="22"/>
              </w:rPr>
              <w:t xml:space="preserve"> t</w:t>
            </w:r>
            <w:r w:rsidR="00E06021" w:rsidRPr="00274AF5">
              <w:rPr>
                <w:sz w:val="22"/>
                <w:szCs w:val="22"/>
              </w:rPr>
              <w:t xml:space="preserve">his </w:t>
            </w:r>
            <w:r>
              <w:rPr>
                <w:sz w:val="22"/>
                <w:szCs w:val="22"/>
              </w:rPr>
              <w:t>should probably not be an</w:t>
            </w:r>
            <w:r w:rsidR="00E06021" w:rsidRPr="00274AF5">
              <w:rPr>
                <w:sz w:val="22"/>
                <w:szCs w:val="22"/>
              </w:rPr>
              <w:t xml:space="preserve"> MU requirement for the simple reason that once the technology is available and the payment incentives are aligned, the prov</w:t>
            </w:r>
            <w:r>
              <w:rPr>
                <w:sz w:val="22"/>
                <w:szCs w:val="22"/>
              </w:rPr>
              <w:t xml:space="preserve">ider community will be </w:t>
            </w:r>
            <w:r>
              <w:rPr>
                <w:sz w:val="22"/>
                <w:szCs w:val="22"/>
              </w:rPr>
              <w:lastRenderedPageBreak/>
              <w:t>incentivized</w:t>
            </w:r>
            <w:r w:rsidR="00E06021" w:rsidRPr="00274AF5">
              <w:rPr>
                <w:sz w:val="22"/>
                <w:szCs w:val="22"/>
              </w:rPr>
              <w:t xml:space="preserve"> to do this in the name of good patient care. Adding </w:t>
            </w:r>
            <w:r>
              <w:rPr>
                <w:sz w:val="22"/>
                <w:szCs w:val="22"/>
              </w:rPr>
              <w:t xml:space="preserve">a </w:t>
            </w:r>
            <w:r w:rsidR="00E06021" w:rsidRPr="00274AF5">
              <w:rPr>
                <w:sz w:val="22"/>
                <w:szCs w:val="22"/>
              </w:rPr>
              <w:t xml:space="preserve">requirement to </w:t>
            </w:r>
            <w:r>
              <w:rPr>
                <w:sz w:val="22"/>
                <w:szCs w:val="22"/>
              </w:rPr>
              <w:t>the f</w:t>
            </w:r>
            <w:r w:rsidR="00E06021" w:rsidRPr="00274AF5">
              <w:rPr>
                <w:sz w:val="22"/>
                <w:szCs w:val="22"/>
              </w:rPr>
              <w:t xml:space="preserve">ederally </w:t>
            </w:r>
            <w:r w:rsidRPr="00274AF5">
              <w:rPr>
                <w:sz w:val="22"/>
                <w:szCs w:val="22"/>
              </w:rPr>
              <w:t>sponsored</w:t>
            </w:r>
            <w:r w:rsidR="00E06021" w:rsidRPr="00274AF5">
              <w:rPr>
                <w:sz w:val="22"/>
                <w:szCs w:val="22"/>
              </w:rPr>
              <w:t xml:space="preserve"> incentive or penalty program will not add value, but would be considered administratively burdensome.</w:t>
            </w:r>
          </w:p>
        </w:tc>
      </w:tr>
      <w:tr w:rsidR="00E06021" w:rsidRPr="00274AF5" w14:paraId="22C9FBCB" w14:textId="77777777" w:rsidTr="005375FC">
        <w:tc>
          <w:tcPr>
            <w:tcW w:w="6948" w:type="dxa"/>
          </w:tcPr>
          <w:p w14:paraId="790A37CB" w14:textId="338F253F" w:rsidR="00E06021" w:rsidRPr="00274AF5" w:rsidRDefault="00D51F2D" w:rsidP="0046217C">
            <w:pPr>
              <w:pStyle w:val="ListParagraph"/>
              <w:numPr>
                <w:ilvl w:val="0"/>
                <w:numId w:val="4"/>
              </w:numPr>
            </w:pPr>
            <w:r w:rsidRPr="00D51F2D">
              <w:rPr>
                <w:b/>
              </w:rPr>
              <w:lastRenderedPageBreak/>
              <w:t>Coverage and eligibility data at the point of care.</w:t>
            </w:r>
            <w:r>
              <w:t xml:space="preserve"> </w:t>
            </w:r>
            <w:r w:rsidR="00E06021" w:rsidRPr="00274AF5">
              <w:t>ONC should explore standards/Meaningful Use objectives to promote the availability of coverage, eligibility and benefit data at the point of care to assist clinicians in making informed decisions about costs and referrals.</w:t>
            </w:r>
          </w:p>
          <w:p w14:paraId="31E710A0" w14:textId="77CF0144" w:rsidR="00E06021" w:rsidRPr="00274AF5" w:rsidRDefault="00033BEB" w:rsidP="00033BEB">
            <w:pPr>
              <w:tabs>
                <w:tab w:val="left" w:pos="2367"/>
              </w:tabs>
              <w:rPr>
                <w:rFonts w:ascii="Calibri" w:eastAsia="Times New Roman" w:hAnsi="Calibri" w:cs="Times New Roman"/>
                <w:color w:val="000000"/>
              </w:rPr>
            </w:pPr>
            <w:r>
              <w:rPr>
                <w:rFonts w:ascii="Calibri" w:eastAsia="Times New Roman" w:hAnsi="Calibri" w:cs="Times New Roman"/>
                <w:color w:val="000000"/>
              </w:rPr>
              <w:tab/>
            </w:r>
          </w:p>
        </w:tc>
        <w:tc>
          <w:tcPr>
            <w:tcW w:w="6840" w:type="dxa"/>
          </w:tcPr>
          <w:p w14:paraId="08759B0D" w14:textId="69E2E88B" w:rsidR="00E06021" w:rsidRPr="00274AF5" w:rsidRDefault="00033BEB" w:rsidP="005F52AF">
            <w:pPr>
              <w:pStyle w:val="CommentText"/>
              <w:numPr>
                <w:ilvl w:val="0"/>
                <w:numId w:val="30"/>
              </w:numPr>
              <w:ind w:left="306"/>
              <w:rPr>
                <w:sz w:val="22"/>
                <w:szCs w:val="22"/>
              </w:rPr>
            </w:pPr>
            <w:r w:rsidRPr="00D51F2D">
              <w:rPr>
                <w:b/>
                <w:sz w:val="22"/>
                <w:szCs w:val="22"/>
              </w:rPr>
              <w:t>Move recommendation:</w:t>
            </w:r>
            <w:r>
              <w:rPr>
                <w:sz w:val="22"/>
                <w:szCs w:val="22"/>
              </w:rPr>
              <w:t xml:space="preserve"> Should be covered under access to administrative data section. This is not a Meaningful Use issue, but a payer issue.</w:t>
            </w:r>
          </w:p>
        </w:tc>
      </w:tr>
      <w:tr w:rsidR="00E06021" w:rsidRPr="00274AF5" w14:paraId="0C309AE4" w14:textId="77777777" w:rsidTr="005375FC">
        <w:tc>
          <w:tcPr>
            <w:tcW w:w="6948" w:type="dxa"/>
          </w:tcPr>
          <w:p w14:paraId="3FB2D506" w14:textId="1594B270" w:rsidR="00E06021" w:rsidRPr="00274AF5" w:rsidRDefault="00D51F2D" w:rsidP="0046217C">
            <w:pPr>
              <w:pStyle w:val="ListParagraph"/>
              <w:numPr>
                <w:ilvl w:val="0"/>
                <w:numId w:val="4"/>
              </w:numPr>
            </w:pPr>
            <w:r w:rsidRPr="00D51F2D">
              <w:rPr>
                <w:b/>
              </w:rPr>
              <w:t>Claims data at the point of care.</w:t>
            </w:r>
            <w:r>
              <w:t xml:space="preserve"> </w:t>
            </w:r>
            <w:r w:rsidR="00E06021" w:rsidRPr="00274AF5">
              <w:t>ONC should consider promoting adoption of standards/functionalit</w:t>
            </w:r>
            <w:r w:rsidR="0046217C">
              <w:t>y around the capacity to view and analyze</w:t>
            </w:r>
            <w:r w:rsidR="00E06021" w:rsidRPr="00274AF5">
              <w:t xml:space="preserve"> claims data within HIT applications.</w:t>
            </w:r>
          </w:p>
          <w:p w14:paraId="1481DA1B" w14:textId="77777777" w:rsidR="00E06021" w:rsidRPr="00274AF5" w:rsidRDefault="00E06021" w:rsidP="00E06021"/>
        </w:tc>
        <w:tc>
          <w:tcPr>
            <w:tcW w:w="6840" w:type="dxa"/>
          </w:tcPr>
          <w:p w14:paraId="57AB08B0" w14:textId="5DDEF978" w:rsidR="00E06021" w:rsidRPr="00274AF5" w:rsidRDefault="0046217C" w:rsidP="005F52AF">
            <w:pPr>
              <w:pStyle w:val="CommentText"/>
              <w:numPr>
                <w:ilvl w:val="0"/>
                <w:numId w:val="31"/>
              </w:numPr>
              <w:ind w:left="306"/>
              <w:rPr>
                <w:sz w:val="22"/>
                <w:szCs w:val="22"/>
              </w:rPr>
            </w:pPr>
            <w:r w:rsidRPr="00D51F2D">
              <w:rPr>
                <w:b/>
                <w:sz w:val="22"/>
                <w:szCs w:val="22"/>
              </w:rPr>
              <w:t>Consider removing:</w:t>
            </w:r>
            <w:r>
              <w:rPr>
                <w:sz w:val="22"/>
                <w:szCs w:val="22"/>
              </w:rPr>
              <w:t xml:space="preserve"> </w:t>
            </w:r>
            <w:r w:rsidR="00D51F2D">
              <w:rPr>
                <w:sz w:val="22"/>
                <w:szCs w:val="22"/>
              </w:rPr>
              <w:t>N</w:t>
            </w:r>
            <w:r w:rsidR="00E06021" w:rsidRPr="00274AF5">
              <w:rPr>
                <w:sz w:val="22"/>
                <w:szCs w:val="22"/>
              </w:rPr>
              <w:t>ot sure that this has much value if ACO’s have access to claims data from either</w:t>
            </w:r>
            <w:r>
              <w:rPr>
                <w:sz w:val="22"/>
                <w:szCs w:val="22"/>
              </w:rPr>
              <w:t xml:space="preserve"> </w:t>
            </w:r>
            <w:r w:rsidR="00E06021" w:rsidRPr="00274AF5">
              <w:rPr>
                <w:sz w:val="22"/>
                <w:szCs w:val="22"/>
              </w:rPr>
              <w:t>APCDs or payers directly. Claims are u</w:t>
            </w:r>
            <w:r>
              <w:rPr>
                <w:sz w:val="22"/>
                <w:szCs w:val="22"/>
              </w:rPr>
              <w:t xml:space="preserve">seful, as stated above, </w:t>
            </w:r>
            <w:r w:rsidR="00E06021" w:rsidRPr="00274AF5">
              <w:rPr>
                <w:sz w:val="22"/>
                <w:szCs w:val="22"/>
              </w:rPr>
              <w:t>but not for clinical decision making at point of care because of the significant t</w:t>
            </w:r>
            <w:r>
              <w:rPr>
                <w:sz w:val="22"/>
                <w:szCs w:val="22"/>
              </w:rPr>
              <w:t xml:space="preserve">imelag associated with them. </w:t>
            </w:r>
            <w:r w:rsidR="00E06021" w:rsidRPr="00274AF5">
              <w:rPr>
                <w:sz w:val="22"/>
                <w:szCs w:val="22"/>
              </w:rPr>
              <w:t>ADT data is real time. So</w:t>
            </w:r>
            <w:r>
              <w:rPr>
                <w:sz w:val="22"/>
                <w:szCs w:val="22"/>
              </w:rPr>
              <w:t xml:space="preserve"> is clinical data from EHRs.</w:t>
            </w:r>
          </w:p>
          <w:p w14:paraId="5498FD0C" w14:textId="41756A42" w:rsidR="00E06021" w:rsidRPr="0046217C" w:rsidRDefault="0046217C" w:rsidP="005F52AF">
            <w:pPr>
              <w:pStyle w:val="CommentText"/>
              <w:numPr>
                <w:ilvl w:val="0"/>
                <w:numId w:val="31"/>
              </w:numPr>
              <w:ind w:left="306"/>
              <w:rPr>
                <w:sz w:val="22"/>
                <w:szCs w:val="22"/>
              </w:rPr>
            </w:pPr>
            <w:r w:rsidRPr="00D51F2D">
              <w:rPr>
                <w:b/>
                <w:sz w:val="22"/>
                <w:szCs w:val="22"/>
              </w:rPr>
              <w:t>Consider removing:</w:t>
            </w:r>
            <w:r>
              <w:rPr>
                <w:sz w:val="22"/>
                <w:szCs w:val="22"/>
              </w:rPr>
              <w:t xml:space="preserve"> </w:t>
            </w:r>
            <w:r w:rsidR="00D51F2D">
              <w:rPr>
                <w:sz w:val="22"/>
                <w:szCs w:val="22"/>
              </w:rPr>
              <w:t>A</w:t>
            </w:r>
            <w:r w:rsidR="00E06021" w:rsidRPr="00274AF5">
              <w:rPr>
                <w:sz w:val="22"/>
                <w:szCs w:val="22"/>
              </w:rPr>
              <w:t>gree that we probably don’t want to dr</w:t>
            </w:r>
            <w:r>
              <w:rPr>
                <w:sz w:val="22"/>
                <w:szCs w:val="22"/>
              </w:rPr>
              <w:t>ive the claims data into the EHR.</w:t>
            </w:r>
          </w:p>
        </w:tc>
      </w:tr>
    </w:tbl>
    <w:p w14:paraId="2E42BE10" w14:textId="77777777" w:rsidR="00E06021" w:rsidRPr="00274AF5" w:rsidRDefault="00E06021" w:rsidP="000538D8">
      <w:pPr>
        <w:rPr>
          <w:rFonts w:ascii="Calibri" w:eastAsia="Times New Roman" w:hAnsi="Calibri" w:cs="Times New Roman"/>
          <w:color w:val="000000"/>
        </w:rPr>
      </w:pPr>
    </w:p>
    <w:tbl>
      <w:tblPr>
        <w:tblStyle w:val="TableGrid"/>
        <w:tblW w:w="13788" w:type="dxa"/>
        <w:tblLook w:val="04A0" w:firstRow="1" w:lastRow="0" w:firstColumn="1" w:lastColumn="0" w:noHBand="0" w:noVBand="1"/>
      </w:tblPr>
      <w:tblGrid>
        <w:gridCol w:w="6948"/>
        <w:gridCol w:w="6840"/>
      </w:tblGrid>
      <w:tr w:rsidR="00E06021" w:rsidRPr="00274AF5" w14:paraId="143B790D" w14:textId="77777777" w:rsidTr="006F600B">
        <w:tc>
          <w:tcPr>
            <w:tcW w:w="6948" w:type="dxa"/>
            <w:shd w:val="clear" w:color="auto" w:fill="D9D9D9" w:themeFill="background1" w:themeFillShade="D9"/>
          </w:tcPr>
          <w:p w14:paraId="3954B86B" w14:textId="77777777" w:rsidR="00E06021" w:rsidRPr="00274AF5" w:rsidRDefault="00E06021" w:rsidP="00053E40">
            <w:pPr>
              <w:rPr>
                <w:bCs/>
                <w:i/>
              </w:rPr>
            </w:pPr>
            <w:r w:rsidRPr="00274AF5">
              <w:rPr>
                <w:bCs/>
                <w:i/>
              </w:rPr>
              <w:t>Original Text</w:t>
            </w:r>
          </w:p>
        </w:tc>
        <w:tc>
          <w:tcPr>
            <w:tcW w:w="6840" w:type="dxa"/>
            <w:shd w:val="clear" w:color="auto" w:fill="D9D9D9" w:themeFill="background1" w:themeFillShade="D9"/>
          </w:tcPr>
          <w:p w14:paraId="0233B1DF" w14:textId="77777777" w:rsidR="00E06021" w:rsidRPr="00274AF5" w:rsidRDefault="00E06021" w:rsidP="00053E40">
            <w:pPr>
              <w:pStyle w:val="CommentText"/>
              <w:rPr>
                <w:i/>
                <w:sz w:val="22"/>
                <w:szCs w:val="22"/>
              </w:rPr>
            </w:pPr>
            <w:r w:rsidRPr="00274AF5">
              <w:rPr>
                <w:i/>
                <w:sz w:val="22"/>
                <w:szCs w:val="22"/>
              </w:rPr>
              <w:t>Comments/Major Revisions</w:t>
            </w:r>
          </w:p>
        </w:tc>
      </w:tr>
      <w:tr w:rsidR="00E06021" w:rsidRPr="00274AF5" w14:paraId="1638B649" w14:textId="77777777" w:rsidTr="006F600B">
        <w:tc>
          <w:tcPr>
            <w:tcW w:w="6948" w:type="dxa"/>
          </w:tcPr>
          <w:p w14:paraId="4FAE80D8" w14:textId="76B6CCFC" w:rsidR="00E06021" w:rsidRPr="0046217C" w:rsidRDefault="00E06021" w:rsidP="005F52AF">
            <w:pPr>
              <w:pStyle w:val="ListParagraph"/>
              <w:numPr>
                <w:ilvl w:val="0"/>
                <w:numId w:val="11"/>
              </w:numPr>
              <w:ind w:left="360" w:hanging="90"/>
              <w:rPr>
                <w:b/>
                <w:bCs/>
              </w:rPr>
            </w:pPr>
            <w:r w:rsidRPr="00274AF5">
              <w:rPr>
                <w:b/>
                <w:bCs/>
              </w:rPr>
              <w:t xml:space="preserve">Administrative Simplification. </w:t>
            </w:r>
            <w:r w:rsidRPr="00274AF5">
              <w:rPr>
                <w:bCs/>
              </w:rPr>
              <w:t>Organizations participating in accountable care arrangements and other delivery system reform efforts are facing a significant burden associated with documentation and reporting to federal, state, and commercial entities implementing accountability mechanisms associated with these programs. This additional burden poses challenges to successful participation by provider organizations and adds costs to the system.</w:t>
            </w:r>
            <w:r w:rsidRPr="00274AF5">
              <w:rPr>
                <w:b/>
                <w:bCs/>
              </w:rPr>
              <w:t xml:space="preserve"> </w:t>
            </w:r>
          </w:p>
        </w:tc>
        <w:tc>
          <w:tcPr>
            <w:tcW w:w="6840" w:type="dxa"/>
          </w:tcPr>
          <w:p w14:paraId="7491BE26" w14:textId="77777777" w:rsidR="00E06021" w:rsidRPr="00274AF5" w:rsidRDefault="00E06021" w:rsidP="0046217C">
            <w:pPr>
              <w:pStyle w:val="CommentText"/>
              <w:ind w:left="342"/>
              <w:rPr>
                <w:sz w:val="22"/>
                <w:szCs w:val="22"/>
              </w:rPr>
            </w:pPr>
          </w:p>
        </w:tc>
      </w:tr>
      <w:tr w:rsidR="00E06021" w:rsidRPr="00274AF5" w14:paraId="0AD52EFB" w14:textId="77777777" w:rsidTr="006F600B">
        <w:tc>
          <w:tcPr>
            <w:tcW w:w="6948" w:type="dxa"/>
          </w:tcPr>
          <w:p w14:paraId="18B5D960" w14:textId="3819E881" w:rsidR="00E06021" w:rsidRPr="00274AF5" w:rsidRDefault="00D51F2D" w:rsidP="005F52AF">
            <w:pPr>
              <w:pStyle w:val="ListParagraph"/>
              <w:numPr>
                <w:ilvl w:val="0"/>
                <w:numId w:val="10"/>
              </w:numPr>
            </w:pPr>
            <w:r w:rsidRPr="00D51F2D">
              <w:rPr>
                <w:b/>
              </w:rPr>
              <w:t>Reporting simplification.</w:t>
            </w:r>
            <w:r>
              <w:t xml:space="preserve"> </w:t>
            </w:r>
            <w:r w:rsidR="005F52AF" w:rsidRPr="00D51F2D">
              <w:t xml:space="preserve">The HIT Policy Committee should support ONC and HHS developing a vision for how to eliminate all redundancies and variations in the quality reporting requirements among HRSA, SAMHSA, and CMS and an associated strategy to build toward this vision. This strategy could seek to define an environment in which every measure is calculated once in a standardized format at the provider setting level or by an intermediary, and then submitted to an intermediary or central HHS warehouse where it can be accessed by </w:t>
            </w:r>
            <w:r w:rsidR="005F52AF" w:rsidRPr="00D51F2D">
              <w:lastRenderedPageBreak/>
              <w:t>the agencies that may require it. Strategy should also extend to commercial payers who could align with and utilize this infrastructure.</w:t>
            </w:r>
          </w:p>
        </w:tc>
        <w:tc>
          <w:tcPr>
            <w:tcW w:w="6840" w:type="dxa"/>
          </w:tcPr>
          <w:p w14:paraId="18837DBA" w14:textId="12D849FC" w:rsidR="00E06021" w:rsidRPr="00274AF5" w:rsidRDefault="00033BEB" w:rsidP="005F52AF">
            <w:pPr>
              <w:pStyle w:val="CommentText"/>
              <w:numPr>
                <w:ilvl w:val="0"/>
                <w:numId w:val="32"/>
              </w:numPr>
              <w:ind w:left="306"/>
              <w:rPr>
                <w:sz w:val="22"/>
                <w:szCs w:val="22"/>
              </w:rPr>
            </w:pPr>
            <w:r w:rsidRPr="00033BEB">
              <w:rPr>
                <w:b/>
                <w:sz w:val="22"/>
                <w:szCs w:val="22"/>
              </w:rPr>
              <w:lastRenderedPageBreak/>
              <w:t>Scope issue:</w:t>
            </w:r>
            <w:r>
              <w:rPr>
                <w:sz w:val="22"/>
                <w:szCs w:val="22"/>
              </w:rPr>
              <w:t xml:space="preserve"> </w:t>
            </w:r>
            <w:r w:rsidR="0046217C">
              <w:rPr>
                <w:sz w:val="22"/>
                <w:szCs w:val="22"/>
              </w:rPr>
              <w:t xml:space="preserve">This is an important sentiment, but does it </w:t>
            </w:r>
            <w:r w:rsidR="00E06021" w:rsidRPr="00274AF5">
              <w:rPr>
                <w:sz w:val="22"/>
                <w:szCs w:val="22"/>
              </w:rPr>
              <w:t>extend beyond HITPC’s scope?</w:t>
            </w:r>
          </w:p>
          <w:p w14:paraId="1360FCF6" w14:textId="77777777" w:rsidR="00E06021" w:rsidRPr="00274AF5" w:rsidRDefault="00E06021" w:rsidP="001D48F4">
            <w:pPr>
              <w:pStyle w:val="CommentText"/>
              <w:rPr>
                <w:sz w:val="22"/>
                <w:szCs w:val="22"/>
              </w:rPr>
            </w:pPr>
          </w:p>
        </w:tc>
      </w:tr>
      <w:tr w:rsidR="00E06021" w:rsidRPr="00274AF5" w14:paraId="0F0B5CE4" w14:textId="77777777" w:rsidTr="006F600B">
        <w:tc>
          <w:tcPr>
            <w:tcW w:w="6948" w:type="dxa"/>
          </w:tcPr>
          <w:p w14:paraId="2F77FCD8" w14:textId="771F7F57" w:rsidR="00E06021" w:rsidRPr="00274AF5" w:rsidRDefault="00D51F2D" w:rsidP="005F52AF">
            <w:pPr>
              <w:pStyle w:val="ListParagraph"/>
              <w:numPr>
                <w:ilvl w:val="0"/>
                <w:numId w:val="10"/>
              </w:numPr>
            </w:pPr>
            <w:r w:rsidRPr="00D51F2D">
              <w:rPr>
                <w:b/>
              </w:rPr>
              <w:lastRenderedPageBreak/>
              <w:t>Measure alignment.</w:t>
            </w:r>
            <w:r>
              <w:t xml:space="preserve"> </w:t>
            </w:r>
            <w:r w:rsidR="00E06021" w:rsidRPr="00274AF5">
              <w:t>HHS/ONC should continue to support efforts to align ACO metrics with other payer, state and federal quality and performance metrics, as well as with HL7’s Consolidated-CDA standards, Meaningful Use, and public and private payer billing requirements.</w:t>
            </w:r>
          </w:p>
        </w:tc>
        <w:tc>
          <w:tcPr>
            <w:tcW w:w="6840" w:type="dxa"/>
          </w:tcPr>
          <w:p w14:paraId="292BC403" w14:textId="7B2D88A5" w:rsidR="00E06021" w:rsidRPr="00274AF5" w:rsidRDefault="0046217C" w:rsidP="005F52AF">
            <w:pPr>
              <w:pStyle w:val="CommentText"/>
              <w:numPr>
                <w:ilvl w:val="0"/>
                <w:numId w:val="33"/>
              </w:numPr>
              <w:ind w:left="306"/>
              <w:rPr>
                <w:sz w:val="22"/>
                <w:szCs w:val="22"/>
              </w:rPr>
            </w:pPr>
            <w:r w:rsidRPr="00033BEB">
              <w:rPr>
                <w:b/>
                <w:sz w:val="22"/>
                <w:szCs w:val="22"/>
              </w:rPr>
              <w:t>Consider removing:</w:t>
            </w:r>
            <w:r>
              <w:rPr>
                <w:sz w:val="22"/>
                <w:szCs w:val="22"/>
              </w:rPr>
              <w:t xml:space="preserve"> This is repetitive with recommendation above.</w:t>
            </w:r>
          </w:p>
        </w:tc>
      </w:tr>
      <w:tr w:rsidR="00E06021" w:rsidRPr="00274AF5" w14:paraId="57E7FEB7" w14:textId="77777777" w:rsidTr="006F600B">
        <w:tc>
          <w:tcPr>
            <w:tcW w:w="6948" w:type="dxa"/>
          </w:tcPr>
          <w:p w14:paraId="41F75A57" w14:textId="0E6511C3" w:rsidR="00E06021" w:rsidRPr="00274AF5" w:rsidRDefault="00D51F2D" w:rsidP="005F52AF">
            <w:pPr>
              <w:pStyle w:val="ListParagraph"/>
              <w:numPr>
                <w:ilvl w:val="0"/>
                <w:numId w:val="10"/>
              </w:numPr>
            </w:pPr>
            <w:r w:rsidRPr="00D51F2D">
              <w:rPr>
                <w:b/>
              </w:rPr>
              <w:t>Administrative procedures.</w:t>
            </w:r>
            <w:r>
              <w:t xml:space="preserve"> </w:t>
            </w:r>
            <w:r w:rsidR="00E06021" w:rsidRPr="00274AF5">
              <w:t>The HITSC should consider development of or building upon standards for administrative procedures associate</w:t>
            </w:r>
            <w:r w:rsidR="00033BEB">
              <w:t xml:space="preserve">d with the provision of care. </w:t>
            </w:r>
            <w:r w:rsidR="00E06021" w:rsidRPr="00274AF5">
              <w:t xml:space="preserve">Examples include prior authorization for medication and procedures, referrals for care, and certification requirements regarding necessity of care imposed on attending physicans in the hospital setting.  </w:t>
            </w:r>
          </w:p>
        </w:tc>
        <w:tc>
          <w:tcPr>
            <w:tcW w:w="6840" w:type="dxa"/>
          </w:tcPr>
          <w:p w14:paraId="3C31ABE2" w14:textId="589BC09C" w:rsidR="00033BEB" w:rsidRDefault="00033BEB" w:rsidP="005F52AF">
            <w:pPr>
              <w:pStyle w:val="CommentText"/>
              <w:numPr>
                <w:ilvl w:val="0"/>
                <w:numId w:val="34"/>
              </w:numPr>
              <w:ind w:left="306"/>
              <w:rPr>
                <w:sz w:val="22"/>
                <w:szCs w:val="22"/>
              </w:rPr>
            </w:pPr>
            <w:r>
              <w:rPr>
                <w:sz w:val="22"/>
                <w:szCs w:val="22"/>
              </w:rPr>
              <w:t>*ADDED RECOMMENDATION*</w:t>
            </w:r>
          </w:p>
          <w:p w14:paraId="49518855" w14:textId="5721BFCC" w:rsidR="00E06021" w:rsidRPr="0046217C" w:rsidRDefault="00E06021" w:rsidP="005F52AF">
            <w:pPr>
              <w:pStyle w:val="CommentText"/>
              <w:numPr>
                <w:ilvl w:val="0"/>
                <w:numId w:val="34"/>
              </w:numPr>
              <w:ind w:left="306"/>
              <w:rPr>
                <w:sz w:val="22"/>
                <w:szCs w:val="22"/>
              </w:rPr>
            </w:pPr>
            <w:r w:rsidRPr="00274AF5">
              <w:rPr>
                <w:sz w:val="22"/>
                <w:szCs w:val="22"/>
              </w:rPr>
              <w:t>CAQC is doing some of this, but slowly and</w:t>
            </w:r>
            <w:r w:rsidR="00033BEB">
              <w:rPr>
                <w:sz w:val="22"/>
                <w:szCs w:val="22"/>
              </w:rPr>
              <w:t xml:space="preserve"> without Federal recognition. </w:t>
            </w:r>
            <w:r w:rsidRPr="00274AF5">
              <w:rPr>
                <w:sz w:val="22"/>
                <w:szCs w:val="22"/>
              </w:rPr>
              <w:t>Meanwhile, there are a host of payers with a host of differ</w:t>
            </w:r>
            <w:r w:rsidR="00033BEB">
              <w:rPr>
                <w:sz w:val="22"/>
                <w:szCs w:val="22"/>
              </w:rPr>
              <w:t>ent procedures for Prior Auth.</w:t>
            </w:r>
            <w:r w:rsidRPr="00274AF5">
              <w:rPr>
                <w:sz w:val="22"/>
                <w:szCs w:val="22"/>
              </w:rPr>
              <w:t xml:space="preserve"> Some Medicaid programs still require downloading a form and faxing it in.     </w:t>
            </w:r>
          </w:p>
        </w:tc>
      </w:tr>
      <w:tr w:rsidR="00E06021" w:rsidRPr="00274AF5" w14:paraId="567C038B" w14:textId="77777777" w:rsidTr="006F600B">
        <w:tc>
          <w:tcPr>
            <w:tcW w:w="6948" w:type="dxa"/>
          </w:tcPr>
          <w:p w14:paraId="347FE5F5" w14:textId="7364A0B3" w:rsidR="00E06021" w:rsidRPr="00274AF5" w:rsidRDefault="00D51F2D" w:rsidP="005F52AF">
            <w:pPr>
              <w:pStyle w:val="ListParagraph"/>
              <w:numPr>
                <w:ilvl w:val="0"/>
                <w:numId w:val="10"/>
              </w:numPr>
            </w:pPr>
            <w:r>
              <w:rPr>
                <w:b/>
              </w:rPr>
              <w:t>Review regulatory burden</w:t>
            </w:r>
            <w:r w:rsidRPr="00D51F2D">
              <w:rPr>
                <w:b/>
              </w:rPr>
              <w:t>.</w:t>
            </w:r>
            <w:r>
              <w:t xml:space="preserve"> </w:t>
            </w:r>
            <w:r w:rsidR="00E06021" w:rsidRPr="00274AF5">
              <w:t xml:space="preserve">The HITPC should task a workgroup to review and evaluate the efficacy and burden of all of the CMS documentation requirements for each patient encounter within the health care system and make recommendation to CMS regarding which are important for patient care and which represent mostly administrative burden.  </w:t>
            </w:r>
          </w:p>
        </w:tc>
        <w:tc>
          <w:tcPr>
            <w:tcW w:w="6840" w:type="dxa"/>
          </w:tcPr>
          <w:p w14:paraId="2AB7F9AE" w14:textId="77777777" w:rsidR="00033BEB" w:rsidRDefault="00033BEB" w:rsidP="005F52AF">
            <w:pPr>
              <w:pStyle w:val="CommentText"/>
              <w:numPr>
                <w:ilvl w:val="0"/>
                <w:numId w:val="35"/>
              </w:numPr>
              <w:rPr>
                <w:sz w:val="22"/>
                <w:szCs w:val="22"/>
              </w:rPr>
            </w:pPr>
            <w:r>
              <w:rPr>
                <w:sz w:val="22"/>
                <w:szCs w:val="22"/>
              </w:rPr>
              <w:t>*ADDED RECOMMENDATION*</w:t>
            </w:r>
          </w:p>
          <w:p w14:paraId="29A5BE23" w14:textId="2528BA72" w:rsidR="00E06021" w:rsidRPr="0046217C" w:rsidRDefault="0046217C" w:rsidP="005F52AF">
            <w:pPr>
              <w:pStyle w:val="CommentText"/>
              <w:numPr>
                <w:ilvl w:val="0"/>
                <w:numId w:val="35"/>
              </w:numPr>
              <w:rPr>
                <w:sz w:val="22"/>
                <w:szCs w:val="22"/>
              </w:rPr>
            </w:pPr>
            <w:r w:rsidRPr="00033BEB">
              <w:rPr>
                <w:b/>
                <w:sz w:val="22"/>
                <w:szCs w:val="22"/>
              </w:rPr>
              <w:t>Consider removing:</w:t>
            </w:r>
            <w:r>
              <w:rPr>
                <w:sz w:val="22"/>
                <w:szCs w:val="22"/>
              </w:rPr>
              <w:t xml:space="preserve"> </w:t>
            </w:r>
            <w:r w:rsidR="00D51F2D">
              <w:rPr>
                <w:sz w:val="22"/>
                <w:szCs w:val="22"/>
              </w:rPr>
              <w:t>T</w:t>
            </w:r>
            <w:r w:rsidR="00E06021" w:rsidRPr="00274AF5">
              <w:rPr>
                <w:sz w:val="22"/>
                <w:szCs w:val="22"/>
              </w:rPr>
              <w:t>his seems over-reaching</w:t>
            </w:r>
            <w:r>
              <w:rPr>
                <w:sz w:val="22"/>
                <w:szCs w:val="22"/>
              </w:rPr>
              <w:t>.</w:t>
            </w:r>
          </w:p>
        </w:tc>
      </w:tr>
      <w:tr w:rsidR="00E06021" w:rsidRPr="00274AF5" w14:paraId="310E57EF" w14:textId="77777777" w:rsidTr="006F600B">
        <w:tc>
          <w:tcPr>
            <w:tcW w:w="6948" w:type="dxa"/>
          </w:tcPr>
          <w:p w14:paraId="15A540A1" w14:textId="03210788" w:rsidR="00E06021" w:rsidRPr="00274AF5" w:rsidRDefault="00D51F2D" w:rsidP="005F52AF">
            <w:pPr>
              <w:pStyle w:val="ListParagraph"/>
              <w:numPr>
                <w:ilvl w:val="0"/>
                <w:numId w:val="10"/>
              </w:numPr>
            </w:pPr>
            <w:r w:rsidRPr="00D51F2D">
              <w:rPr>
                <w:b/>
              </w:rPr>
              <w:t>Clinical decision support efficacy.</w:t>
            </w:r>
            <w:r>
              <w:t xml:space="preserve"> </w:t>
            </w:r>
            <w:r w:rsidR="00E06021" w:rsidRPr="00274AF5">
              <w:t xml:space="preserve">ONC should conduct an evaluation of the efficacy of existing CDS tools and consider approaches to improve same.      </w:t>
            </w:r>
          </w:p>
        </w:tc>
        <w:tc>
          <w:tcPr>
            <w:tcW w:w="6840" w:type="dxa"/>
          </w:tcPr>
          <w:p w14:paraId="28DE2D3A" w14:textId="77777777" w:rsidR="00033BEB" w:rsidRDefault="00033BEB" w:rsidP="005F52AF">
            <w:pPr>
              <w:pStyle w:val="CommentText"/>
              <w:numPr>
                <w:ilvl w:val="0"/>
                <w:numId w:val="36"/>
              </w:numPr>
              <w:ind w:left="306"/>
              <w:rPr>
                <w:sz w:val="22"/>
                <w:szCs w:val="22"/>
              </w:rPr>
            </w:pPr>
            <w:r>
              <w:rPr>
                <w:sz w:val="22"/>
                <w:szCs w:val="22"/>
              </w:rPr>
              <w:t>*ADDED RECOMMENDATION*</w:t>
            </w:r>
          </w:p>
          <w:p w14:paraId="7FAD2917" w14:textId="77777777" w:rsidR="00E06021" w:rsidRPr="00274AF5" w:rsidRDefault="00E06021" w:rsidP="0046217C">
            <w:pPr>
              <w:pStyle w:val="CommentText"/>
              <w:ind w:left="-18"/>
              <w:rPr>
                <w:sz w:val="22"/>
                <w:szCs w:val="22"/>
              </w:rPr>
            </w:pPr>
          </w:p>
        </w:tc>
      </w:tr>
    </w:tbl>
    <w:p w14:paraId="1EE76C19" w14:textId="77777777" w:rsidR="00655B97" w:rsidRPr="00274AF5" w:rsidRDefault="00655B97" w:rsidP="00655B97"/>
    <w:sectPr w:rsidR="00655B97" w:rsidRPr="00274AF5" w:rsidSect="008E41EA">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7A5F2" w14:textId="77777777" w:rsidR="005F52AF" w:rsidRDefault="005F52AF" w:rsidP="000650DB">
      <w:pPr>
        <w:spacing w:after="0" w:line="240" w:lineRule="auto"/>
      </w:pPr>
      <w:r>
        <w:separator/>
      </w:r>
    </w:p>
  </w:endnote>
  <w:endnote w:type="continuationSeparator" w:id="0">
    <w:p w14:paraId="440F1C2A" w14:textId="77777777" w:rsidR="005F52AF" w:rsidRDefault="005F52AF" w:rsidP="000650DB">
      <w:pPr>
        <w:spacing w:after="0" w:line="240" w:lineRule="auto"/>
      </w:pPr>
      <w:r>
        <w:continuationSeparator/>
      </w:r>
    </w:p>
  </w:endnote>
  <w:endnote w:type="continuationNotice" w:id="1">
    <w:p w14:paraId="46A9BF9F" w14:textId="77777777" w:rsidR="005F52AF" w:rsidRDefault="005F5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248165"/>
      <w:docPartObj>
        <w:docPartGallery w:val="Page Numbers (Bottom of Page)"/>
        <w:docPartUnique/>
      </w:docPartObj>
    </w:sdtPr>
    <w:sdtEndPr>
      <w:rPr>
        <w:noProof/>
      </w:rPr>
    </w:sdtEndPr>
    <w:sdtContent>
      <w:p w14:paraId="3AF7651C" w14:textId="77777777" w:rsidR="009D6CB6" w:rsidRDefault="009D6CB6">
        <w:pPr>
          <w:pStyle w:val="Footer"/>
          <w:jc w:val="right"/>
        </w:pPr>
        <w:r>
          <w:fldChar w:fldCharType="begin"/>
        </w:r>
        <w:r>
          <w:instrText xml:space="preserve"> PAGE   \* MERGEFORMAT </w:instrText>
        </w:r>
        <w:r>
          <w:fldChar w:fldCharType="separate"/>
        </w:r>
        <w:r w:rsidR="009D6175">
          <w:rPr>
            <w:noProof/>
          </w:rPr>
          <w:t>10</w:t>
        </w:r>
        <w:r>
          <w:rPr>
            <w:noProof/>
          </w:rPr>
          <w:fldChar w:fldCharType="end"/>
        </w:r>
      </w:p>
    </w:sdtContent>
  </w:sdt>
  <w:p w14:paraId="3FEEA87B" w14:textId="77777777" w:rsidR="009D6CB6" w:rsidRDefault="009D6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07D32" w14:textId="77777777" w:rsidR="005F52AF" w:rsidRDefault="005F52AF" w:rsidP="000650DB">
      <w:pPr>
        <w:spacing w:after="0" w:line="240" w:lineRule="auto"/>
      </w:pPr>
      <w:r>
        <w:separator/>
      </w:r>
    </w:p>
  </w:footnote>
  <w:footnote w:type="continuationSeparator" w:id="0">
    <w:p w14:paraId="7B299695" w14:textId="77777777" w:rsidR="005F52AF" w:rsidRDefault="005F52AF" w:rsidP="000650DB">
      <w:pPr>
        <w:spacing w:after="0" w:line="240" w:lineRule="auto"/>
      </w:pPr>
      <w:r>
        <w:continuationSeparator/>
      </w:r>
    </w:p>
  </w:footnote>
  <w:footnote w:type="continuationNotice" w:id="1">
    <w:p w14:paraId="08640644" w14:textId="77777777" w:rsidR="005F52AF" w:rsidRDefault="005F52A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468730"/>
      <w:docPartObj>
        <w:docPartGallery w:val="Watermarks"/>
        <w:docPartUnique/>
      </w:docPartObj>
    </w:sdtPr>
    <w:sdtEndPr/>
    <w:sdtContent>
      <w:p w14:paraId="30A0C266" w14:textId="77777777" w:rsidR="009D6CB6" w:rsidRDefault="009D6175">
        <w:pPr>
          <w:pStyle w:val="Header"/>
        </w:pPr>
        <w:r>
          <w:rPr>
            <w:noProof/>
            <w:lang w:eastAsia="zh-TW"/>
          </w:rPr>
          <w:pict w14:anchorId="7F4C6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22E"/>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8496F"/>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E3300"/>
    <w:multiLevelType w:val="hybridMultilevel"/>
    <w:tmpl w:val="D11CA7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0409"/>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47629"/>
    <w:multiLevelType w:val="hybridMultilevel"/>
    <w:tmpl w:val="CD38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9647F"/>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73300"/>
    <w:multiLevelType w:val="hybridMultilevel"/>
    <w:tmpl w:val="81E2300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F5A37"/>
    <w:multiLevelType w:val="hybridMultilevel"/>
    <w:tmpl w:val="0606952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4E4949"/>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922FB"/>
    <w:multiLevelType w:val="hybridMultilevel"/>
    <w:tmpl w:val="71BA6B7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CF29C1"/>
    <w:multiLevelType w:val="hybridMultilevel"/>
    <w:tmpl w:val="CCE86C4E"/>
    <w:lvl w:ilvl="0" w:tplc="0409000F">
      <w:start w:val="1"/>
      <w:numFmt w:val="decimal"/>
      <w:lvlText w:val="%1."/>
      <w:lvlJc w:val="left"/>
      <w:pPr>
        <w:ind w:left="-266" w:hanging="360"/>
      </w:pPr>
      <w:rPr>
        <w:rFonts w:hint="default"/>
      </w:rPr>
    </w:lvl>
    <w:lvl w:ilvl="1" w:tplc="04090003">
      <w:start w:val="1"/>
      <w:numFmt w:val="bullet"/>
      <w:lvlText w:val="o"/>
      <w:lvlJc w:val="left"/>
      <w:pPr>
        <w:ind w:left="454" w:hanging="360"/>
      </w:pPr>
      <w:rPr>
        <w:rFonts w:ascii="Courier New" w:hAnsi="Courier New" w:cs="Courier New" w:hint="default"/>
      </w:rPr>
    </w:lvl>
    <w:lvl w:ilvl="2" w:tplc="04090005">
      <w:start w:val="1"/>
      <w:numFmt w:val="bullet"/>
      <w:lvlText w:val=""/>
      <w:lvlJc w:val="left"/>
      <w:pPr>
        <w:ind w:left="1174" w:hanging="360"/>
      </w:pPr>
      <w:rPr>
        <w:rFonts w:ascii="Wingdings" w:hAnsi="Wingdings" w:hint="default"/>
      </w:rPr>
    </w:lvl>
    <w:lvl w:ilvl="3" w:tplc="04090001" w:tentative="1">
      <w:start w:val="1"/>
      <w:numFmt w:val="bullet"/>
      <w:lvlText w:val=""/>
      <w:lvlJc w:val="left"/>
      <w:pPr>
        <w:ind w:left="1894" w:hanging="360"/>
      </w:pPr>
      <w:rPr>
        <w:rFonts w:ascii="Symbol" w:hAnsi="Symbol" w:hint="default"/>
      </w:rPr>
    </w:lvl>
    <w:lvl w:ilvl="4" w:tplc="04090003" w:tentative="1">
      <w:start w:val="1"/>
      <w:numFmt w:val="bullet"/>
      <w:lvlText w:val="o"/>
      <w:lvlJc w:val="left"/>
      <w:pPr>
        <w:ind w:left="2614" w:hanging="360"/>
      </w:pPr>
      <w:rPr>
        <w:rFonts w:ascii="Courier New" w:hAnsi="Courier New" w:cs="Courier New" w:hint="default"/>
      </w:rPr>
    </w:lvl>
    <w:lvl w:ilvl="5" w:tplc="04090005" w:tentative="1">
      <w:start w:val="1"/>
      <w:numFmt w:val="bullet"/>
      <w:lvlText w:val=""/>
      <w:lvlJc w:val="left"/>
      <w:pPr>
        <w:ind w:left="3334" w:hanging="360"/>
      </w:pPr>
      <w:rPr>
        <w:rFonts w:ascii="Wingdings" w:hAnsi="Wingdings" w:hint="default"/>
      </w:rPr>
    </w:lvl>
    <w:lvl w:ilvl="6" w:tplc="04090001" w:tentative="1">
      <w:start w:val="1"/>
      <w:numFmt w:val="bullet"/>
      <w:lvlText w:val=""/>
      <w:lvlJc w:val="left"/>
      <w:pPr>
        <w:ind w:left="4054" w:hanging="360"/>
      </w:pPr>
      <w:rPr>
        <w:rFonts w:ascii="Symbol" w:hAnsi="Symbol" w:hint="default"/>
      </w:rPr>
    </w:lvl>
    <w:lvl w:ilvl="7" w:tplc="04090003" w:tentative="1">
      <w:start w:val="1"/>
      <w:numFmt w:val="bullet"/>
      <w:lvlText w:val="o"/>
      <w:lvlJc w:val="left"/>
      <w:pPr>
        <w:ind w:left="4774" w:hanging="360"/>
      </w:pPr>
      <w:rPr>
        <w:rFonts w:ascii="Courier New" w:hAnsi="Courier New" w:cs="Courier New" w:hint="default"/>
      </w:rPr>
    </w:lvl>
    <w:lvl w:ilvl="8" w:tplc="04090005" w:tentative="1">
      <w:start w:val="1"/>
      <w:numFmt w:val="bullet"/>
      <w:lvlText w:val=""/>
      <w:lvlJc w:val="left"/>
      <w:pPr>
        <w:ind w:left="5494" w:hanging="360"/>
      </w:pPr>
      <w:rPr>
        <w:rFonts w:ascii="Wingdings" w:hAnsi="Wingdings" w:hint="default"/>
      </w:rPr>
    </w:lvl>
  </w:abstractNum>
  <w:abstractNum w:abstractNumId="11">
    <w:nsid w:val="23E01449"/>
    <w:multiLevelType w:val="hybridMultilevel"/>
    <w:tmpl w:val="A9B03F6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892236"/>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81428"/>
    <w:multiLevelType w:val="hybridMultilevel"/>
    <w:tmpl w:val="3DD0D3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365FC1"/>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1D73B7"/>
    <w:multiLevelType w:val="hybridMultilevel"/>
    <w:tmpl w:val="0C1600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463F75"/>
    <w:multiLevelType w:val="hybridMultilevel"/>
    <w:tmpl w:val="73F0420C"/>
    <w:lvl w:ilvl="0" w:tplc="04090013">
      <w:start w:val="1"/>
      <w:numFmt w:val="upperRoman"/>
      <w:lvlText w:val="%1."/>
      <w:lvlJc w:val="right"/>
      <w:pPr>
        <w:ind w:left="1080" w:hanging="360"/>
      </w:pPr>
      <w:rPr>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3A5D97"/>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94524A"/>
    <w:multiLevelType w:val="hybridMultilevel"/>
    <w:tmpl w:val="3B94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9A5851"/>
    <w:multiLevelType w:val="hybridMultilevel"/>
    <w:tmpl w:val="662AE730"/>
    <w:lvl w:ilvl="0" w:tplc="04090019">
      <w:start w:val="1"/>
      <w:numFmt w:val="lowerLetter"/>
      <w:lvlText w:val="%1."/>
      <w:lvlJc w:val="left"/>
      <w:pPr>
        <w:ind w:left="1080" w:hanging="360"/>
      </w:pPr>
      <w:rPr>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F631EB"/>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85A73"/>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A09BE"/>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F118B5"/>
    <w:multiLevelType w:val="hybridMultilevel"/>
    <w:tmpl w:val="10E0D45E"/>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4">
    <w:nsid w:val="49440753"/>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F42AF8"/>
    <w:multiLevelType w:val="hybridMultilevel"/>
    <w:tmpl w:val="3DD0D3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575437"/>
    <w:multiLevelType w:val="hybridMultilevel"/>
    <w:tmpl w:val="0C8A5A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B6F05B6"/>
    <w:multiLevelType w:val="hybridMultilevel"/>
    <w:tmpl w:val="A87E8C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CF41AF"/>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201E03"/>
    <w:multiLevelType w:val="hybridMultilevel"/>
    <w:tmpl w:val="C0C615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5314515"/>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CA4656"/>
    <w:multiLevelType w:val="hybridMultilevel"/>
    <w:tmpl w:val="257EA982"/>
    <w:lvl w:ilvl="0" w:tplc="541AD85E">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702982"/>
    <w:multiLevelType w:val="hybridMultilevel"/>
    <w:tmpl w:val="A9B03F6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8271B4"/>
    <w:multiLevelType w:val="hybridMultilevel"/>
    <w:tmpl w:val="3DD0D3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A57130"/>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300A83"/>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567DC9"/>
    <w:multiLevelType w:val="hybridMultilevel"/>
    <w:tmpl w:val="3DD0D3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50477EA"/>
    <w:multiLevelType w:val="hybridMultilevel"/>
    <w:tmpl w:val="CCE86C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0C0F0B"/>
    <w:multiLevelType w:val="hybridMultilevel"/>
    <w:tmpl w:val="8C563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572901"/>
    <w:multiLevelType w:val="hybridMultilevel"/>
    <w:tmpl w:val="8BD03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37"/>
  </w:num>
  <w:num w:numId="4">
    <w:abstractNumId w:val="29"/>
  </w:num>
  <w:num w:numId="5">
    <w:abstractNumId w:val="31"/>
  </w:num>
  <w:num w:numId="6">
    <w:abstractNumId w:val="15"/>
  </w:num>
  <w:num w:numId="7">
    <w:abstractNumId w:val="19"/>
  </w:num>
  <w:num w:numId="8">
    <w:abstractNumId w:val="32"/>
  </w:num>
  <w:num w:numId="9">
    <w:abstractNumId w:val="6"/>
  </w:num>
  <w:num w:numId="10">
    <w:abstractNumId w:val="7"/>
  </w:num>
  <w:num w:numId="11">
    <w:abstractNumId w:val="16"/>
  </w:num>
  <w:num w:numId="12">
    <w:abstractNumId w:val="25"/>
  </w:num>
  <w:num w:numId="13">
    <w:abstractNumId w:val="13"/>
  </w:num>
  <w:num w:numId="14">
    <w:abstractNumId w:val="36"/>
  </w:num>
  <w:num w:numId="15">
    <w:abstractNumId w:val="33"/>
  </w:num>
  <w:num w:numId="16">
    <w:abstractNumId w:val="9"/>
  </w:num>
  <w:num w:numId="17">
    <w:abstractNumId w:val="1"/>
  </w:num>
  <w:num w:numId="18">
    <w:abstractNumId w:val="30"/>
  </w:num>
  <w:num w:numId="19">
    <w:abstractNumId w:val="35"/>
  </w:num>
  <w:num w:numId="20">
    <w:abstractNumId w:val="10"/>
  </w:num>
  <w:num w:numId="21">
    <w:abstractNumId w:val="3"/>
  </w:num>
  <w:num w:numId="22">
    <w:abstractNumId w:val="11"/>
  </w:num>
  <w:num w:numId="23">
    <w:abstractNumId w:val="28"/>
  </w:num>
  <w:num w:numId="24">
    <w:abstractNumId w:val="8"/>
  </w:num>
  <w:num w:numId="25">
    <w:abstractNumId w:val="24"/>
  </w:num>
  <w:num w:numId="26">
    <w:abstractNumId w:val="34"/>
  </w:num>
  <w:num w:numId="27">
    <w:abstractNumId w:val="12"/>
  </w:num>
  <w:num w:numId="28">
    <w:abstractNumId w:val="17"/>
  </w:num>
  <w:num w:numId="29">
    <w:abstractNumId w:val="5"/>
  </w:num>
  <w:num w:numId="30">
    <w:abstractNumId w:val="27"/>
  </w:num>
  <w:num w:numId="31">
    <w:abstractNumId w:val="20"/>
  </w:num>
  <w:num w:numId="32">
    <w:abstractNumId w:val="21"/>
  </w:num>
  <w:num w:numId="33">
    <w:abstractNumId w:val="22"/>
  </w:num>
  <w:num w:numId="34">
    <w:abstractNumId w:val="0"/>
  </w:num>
  <w:num w:numId="35">
    <w:abstractNumId w:val="26"/>
  </w:num>
  <w:num w:numId="36">
    <w:abstractNumId w:val="38"/>
  </w:num>
  <w:num w:numId="37">
    <w:abstractNumId w:val="39"/>
  </w:num>
  <w:num w:numId="38">
    <w:abstractNumId w:val="23"/>
  </w:num>
  <w:num w:numId="39">
    <w:abstractNumId w:val="4"/>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DB"/>
    <w:rsid w:val="0000509B"/>
    <w:rsid w:val="000162DB"/>
    <w:rsid w:val="0002148F"/>
    <w:rsid w:val="0003220A"/>
    <w:rsid w:val="00033BEB"/>
    <w:rsid w:val="00035BF9"/>
    <w:rsid w:val="000414A8"/>
    <w:rsid w:val="00050D79"/>
    <w:rsid w:val="000538D8"/>
    <w:rsid w:val="000624D2"/>
    <w:rsid w:val="000643EA"/>
    <w:rsid w:val="000650DB"/>
    <w:rsid w:val="00074B48"/>
    <w:rsid w:val="00075B72"/>
    <w:rsid w:val="00085238"/>
    <w:rsid w:val="000852F6"/>
    <w:rsid w:val="00086693"/>
    <w:rsid w:val="00093F66"/>
    <w:rsid w:val="00095D36"/>
    <w:rsid w:val="000A1C13"/>
    <w:rsid w:val="000B2136"/>
    <w:rsid w:val="000B2EF2"/>
    <w:rsid w:val="000B49B2"/>
    <w:rsid w:val="000B5A6E"/>
    <w:rsid w:val="000D1473"/>
    <w:rsid w:val="000D67A0"/>
    <w:rsid w:val="000D70FE"/>
    <w:rsid w:val="000E1728"/>
    <w:rsid w:val="000E748E"/>
    <w:rsid w:val="00111AD9"/>
    <w:rsid w:val="00126B96"/>
    <w:rsid w:val="001330E5"/>
    <w:rsid w:val="0014030E"/>
    <w:rsid w:val="00141399"/>
    <w:rsid w:val="00164EC3"/>
    <w:rsid w:val="00174948"/>
    <w:rsid w:val="00174D64"/>
    <w:rsid w:val="00180AA9"/>
    <w:rsid w:val="00181E3D"/>
    <w:rsid w:val="00195A10"/>
    <w:rsid w:val="001A2284"/>
    <w:rsid w:val="001C1E73"/>
    <w:rsid w:val="001C4E0F"/>
    <w:rsid w:val="001D35E9"/>
    <w:rsid w:val="001D48F4"/>
    <w:rsid w:val="001E1AE6"/>
    <w:rsid w:val="001F7F69"/>
    <w:rsid w:val="00204266"/>
    <w:rsid w:val="00206F14"/>
    <w:rsid w:val="00236A76"/>
    <w:rsid w:val="00242D4E"/>
    <w:rsid w:val="002522DE"/>
    <w:rsid w:val="00257146"/>
    <w:rsid w:val="00264254"/>
    <w:rsid w:val="00274AF5"/>
    <w:rsid w:val="00282A99"/>
    <w:rsid w:val="00287401"/>
    <w:rsid w:val="00292375"/>
    <w:rsid w:val="002A071E"/>
    <w:rsid w:val="002B30F6"/>
    <w:rsid w:val="002C0534"/>
    <w:rsid w:val="002D333B"/>
    <w:rsid w:val="002D7E6D"/>
    <w:rsid w:val="00307DB0"/>
    <w:rsid w:val="003108C9"/>
    <w:rsid w:val="00356E82"/>
    <w:rsid w:val="003930CF"/>
    <w:rsid w:val="003A2CF8"/>
    <w:rsid w:val="003B39B0"/>
    <w:rsid w:val="003B4595"/>
    <w:rsid w:val="003C5C7A"/>
    <w:rsid w:val="003D6B15"/>
    <w:rsid w:val="00405C10"/>
    <w:rsid w:val="00407816"/>
    <w:rsid w:val="0041780E"/>
    <w:rsid w:val="00432FE6"/>
    <w:rsid w:val="00435699"/>
    <w:rsid w:val="00441EF0"/>
    <w:rsid w:val="0046217C"/>
    <w:rsid w:val="004626CD"/>
    <w:rsid w:val="00465BEF"/>
    <w:rsid w:val="00465C37"/>
    <w:rsid w:val="004670CC"/>
    <w:rsid w:val="004726F5"/>
    <w:rsid w:val="00476E03"/>
    <w:rsid w:val="004A0FFD"/>
    <w:rsid w:val="004B21AC"/>
    <w:rsid w:val="004C13C3"/>
    <w:rsid w:val="004C1D6F"/>
    <w:rsid w:val="004C3442"/>
    <w:rsid w:val="004C5E0A"/>
    <w:rsid w:val="004C6EC2"/>
    <w:rsid w:val="004D75FE"/>
    <w:rsid w:val="004D77C3"/>
    <w:rsid w:val="00515B66"/>
    <w:rsid w:val="00532F93"/>
    <w:rsid w:val="005375FC"/>
    <w:rsid w:val="00543AA9"/>
    <w:rsid w:val="00555507"/>
    <w:rsid w:val="005566E6"/>
    <w:rsid w:val="0057760B"/>
    <w:rsid w:val="0057793E"/>
    <w:rsid w:val="0058249D"/>
    <w:rsid w:val="005B0763"/>
    <w:rsid w:val="005B2AB0"/>
    <w:rsid w:val="005B744D"/>
    <w:rsid w:val="005C56AA"/>
    <w:rsid w:val="005C6EF7"/>
    <w:rsid w:val="005C7AEB"/>
    <w:rsid w:val="005D12AC"/>
    <w:rsid w:val="005D4BAF"/>
    <w:rsid w:val="005D4E77"/>
    <w:rsid w:val="005D515B"/>
    <w:rsid w:val="005E0BC8"/>
    <w:rsid w:val="005F52AF"/>
    <w:rsid w:val="0060006A"/>
    <w:rsid w:val="00611EE8"/>
    <w:rsid w:val="00624204"/>
    <w:rsid w:val="00624F60"/>
    <w:rsid w:val="00625B1B"/>
    <w:rsid w:val="00630EFD"/>
    <w:rsid w:val="00631679"/>
    <w:rsid w:val="006350A0"/>
    <w:rsid w:val="0064385D"/>
    <w:rsid w:val="00655B97"/>
    <w:rsid w:val="00657332"/>
    <w:rsid w:val="00680058"/>
    <w:rsid w:val="006916B4"/>
    <w:rsid w:val="00695FE0"/>
    <w:rsid w:val="006A30E1"/>
    <w:rsid w:val="006A6FE0"/>
    <w:rsid w:val="006B3541"/>
    <w:rsid w:val="006C5B17"/>
    <w:rsid w:val="006D1970"/>
    <w:rsid w:val="006E5B5E"/>
    <w:rsid w:val="006F600B"/>
    <w:rsid w:val="00701BA6"/>
    <w:rsid w:val="00724201"/>
    <w:rsid w:val="00730BD0"/>
    <w:rsid w:val="00740848"/>
    <w:rsid w:val="00756E77"/>
    <w:rsid w:val="007662DF"/>
    <w:rsid w:val="007A1AE3"/>
    <w:rsid w:val="007A41D6"/>
    <w:rsid w:val="007A798A"/>
    <w:rsid w:val="007C72EF"/>
    <w:rsid w:val="007E5ED0"/>
    <w:rsid w:val="0080486E"/>
    <w:rsid w:val="00807194"/>
    <w:rsid w:val="00807C12"/>
    <w:rsid w:val="008335C5"/>
    <w:rsid w:val="00845E5D"/>
    <w:rsid w:val="00847DB8"/>
    <w:rsid w:val="00853889"/>
    <w:rsid w:val="00854AE6"/>
    <w:rsid w:val="00857F50"/>
    <w:rsid w:val="00870E16"/>
    <w:rsid w:val="00871676"/>
    <w:rsid w:val="00874925"/>
    <w:rsid w:val="00884F3C"/>
    <w:rsid w:val="008B211D"/>
    <w:rsid w:val="008C13BE"/>
    <w:rsid w:val="008C5629"/>
    <w:rsid w:val="008C5654"/>
    <w:rsid w:val="008D123F"/>
    <w:rsid w:val="008E0B64"/>
    <w:rsid w:val="008E41EA"/>
    <w:rsid w:val="008E79DB"/>
    <w:rsid w:val="00916291"/>
    <w:rsid w:val="0092160D"/>
    <w:rsid w:val="00924848"/>
    <w:rsid w:val="00927242"/>
    <w:rsid w:val="009318ED"/>
    <w:rsid w:val="009357AA"/>
    <w:rsid w:val="009421E5"/>
    <w:rsid w:val="00964F9C"/>
    <w:rsid w:val="00967F95"/>
    <w:rsid w:val="00984070"/>
    <w:rsid w:val="00987B62"/>
    <w:rsid w:val="00992E22"/>
    <w:rsid w:val="009C205A"/>
    <w:rsid w:val="009C4D74"/>
    <w:rsid w:val="009C655F"/>
    <w:rsid w:val="009D6175"/>
    <w:rsid w:val="009D6CB6"/>
    <w:rsid w:val="009E37CC"/>
    <w:rsid w:val="009E6F7C"/>
    <w:rsid w:val="009E7E62"/>
    <w:rsid w:val="009F51F0"/>
    <w:rsid w:val="009F6383"/>
    <w:rsid w:val="009F7897"/>
    <w:rsid w:val="00A02193"/>
    <w:rsid w:val="00A104D4"/>
    <w:rsid w:val="00A11203"/>
    <w:rsid w:val="00A130EB"/>
    <w:rsid w:val="00A34CA2"/>
    <w:rsid w:val="00A5249D"/>
    <w:rsid w:val="00A655CA"/>
    <w:rsid w:val="00A67735"/>
    <w:rsid w:val="00A706CD"/>
    <w:rsid w:val="00A74B47"/>
    <w:rsid w:val="00A76BB8"/>
    <w:rsid w:val="00A81732"/>
    <w:rsid w:val="00A858B7"/>
    <w:rsid w:val="00AA617F"/>
    <w:rsid w:val="00AC057E"/>
    <w:rsid w:val="00AC0AB6"/>
    <w:rsid w:val="00AC1ACF"/>
    <w:rsid w:val="00AC5ED9"/>
    <w:rsid w:val="00AD25DC"/>
    <w:rsid w:val="00AD7DCA"/>
    <w:rsid w:val="00AE2D32"/>
    <w:rsid w:val="00AE51B7"/>
    <w:rsid w:val="00AF4786"/>
    <w:rsid w:val="00AF6241"/>
    <w:rsid w:val="00B225F8"/>
    <w:rsid w:val="00B26677"/>
    <w:rsid w:val="00B71CC1"/>
    <w:rsid w:val="00B767DF"/>
    <w:rsid w:val="00B81285"/>
    <w:rsid w:val="00B81DEC"/>
    <w:rsid w:val="00B87178"/>
    <w:rsid w:val="00BA091A"/>
    <w:rsid w:val="00BA0992"/>
    <w:rsid w:val="00BB74CD"/>
    <w:rsid w:val="00BC5043"/>
    <w:rsid w:val="00BC6AB6"/>
    <w:rsid w:val="00BD4CEC"/>
    <w:rsid w:val="00BE0A8D"/>
    <w:rsid w:val="00BE0FF3"/>
    <w:rsid w:val="00BE1173"/>
    <w:rsid w:val="00BF6F86"/>
    <w:rsid w:val="00C04954"/>
    <w:rsid w:val="00C04F94"/>
    <w:rsid w:val="00C0537D"/>
    <w:rsid w:val="00C11E31"/>
    <w:rsid w:val="00C1261D"/>
    <w:rsid w:val="00C2550F"/>
    <w:rsid w:val="00C2729B"/>
    <w:rsid w:val="00C64257"/>
    <w:rsid w:val="00C746D6"/>
    <w:rsid w:val="00C917AF"/>
    <w:rsid w:val="00C92E83"/>
    <w:rsid w:val="00CA1F35"/>
    <w:rsid w:val="00CB36AB"/>
    <w:rsid w:val="00CE3C2F"/>
    <w:rsid w:val="00CF4095"/>
    <w:rsid w:val="00D00DB0"/>
    <w:rsid w:val="00D04476"/>
    <w:rsid w:val="00D0798F"/>
    <w:rsid w:val="00D10EF3"/>
    <w:rsid w:val="00D17565"/>
    <w:rsid w:val="00D24907"/>
    <w:rsid w:val="00D26142"/>
    <w:rsid w:val="00D26FA0"/>
    <w:rsid w:val="00D31156"/>
    <w:rsid w:val="00D34AC9"/>
    <w:rsid w:val="00D417AD"/>
    <w:rsid w:val="00D51F2D"/>
    <w:rsid w:val="00D5692A"/>
    <w:rsid w:val="00D73096"/>
    <w:rsid w:val="00D7649E"/>
    <w:rsid w:val="00D81F45"/>
    <w:rsid w:val="00D82F70"/>
    <w:rsid w:val="00D9211A"/>
    <w:rsid w:val="00D93155"/>
    <w:rsid w:val="00D94604"/>
    <w:rsid w:val="00D954C0"/>
    <w:rsid w:val="00D955A9"/>
    <w:rsid w:val="00D97A4A"/>
    <w:rsid w:val="00DA3779"/>
    <w:rsid w:val="00DA477D"/>
    <w:rsid w:val="00DA6F45"/>
    <w:rsid w:val="00DB2695"/>
    <w:rsid w:val="00DF3FAB"/>
    <w:rsid w:val="00E03521"/>
    <w:rsid w:val="00E06021"/>
    <w:rsid w:val="00E07815"/>
    <w:rsid w:val="00E1050A"/>
    <w:rsid w:val="00E14204"/>
    <w:rsid w:val="00E45C32"/>
    <w:rsid w:val="00E46858"/>
    <w:rsid w:val="00E47D31"/>
    <w:rsid w:val="00E520C0"/>
    <w:rsid w:val="00E5293D"/>
    <w:rsid w:val="00E6364B"/>
    <w:rsid w:val="00E7333F"/>
    <w:rsid w:val="00E8108E"/>
    <w:rsid w:val="00E852DE"/>
    <w:rsid w:val="00E92C91"/>
    <w:rsid w:val="00EA517C"/>
    <w:rsid w:val="00EB05E5"/>
    <w:rsid w:val="00EB0FB8"/>
    <w:rsid w:val="00EC5E9C"/>
    <w:rsid w:val="00EC6945"/>
    <w:rsid w:val="00ED5FA6"/>
    <w:rsid w:val="00ED61CB"/>
    <w:rsid w:val="00EE0151"/>
    <w:rsid w:val="00EF0872"/>
    <w:rsid w:val="00F27A99"/>
    <w:rsid w:val="00F31122"/>
    <w:rsid w:val="00F31A1A"/>
    <w:rsid w:val="00F44FBD"/>
    <w:rsid w:val="00F529A7"/>
    <w:rsid w:val="00F54A8C"/>
    <w:rsid w:val="00F563D2"/>
    <w:rsid w:val="00F57CB0"/>
    <w:rsid w:val="00F63723"/>
    <w:rsid w:val="00F76833"/>
    <w:rsid w:val="00F77E2F"/>
    <w:rsid w:val="00F87CA1"/>
    <w:rsid w:val="00F9022F"/>
    <w:rsid w:val="00F90F62"/>
    <w:rsid w:val="00FA15FA"/>
    <w:rsid w:val="00FA79F8"/>
    <w:rsid w:val="00FE0AC4"/>
    <w:rsid w:val="00FE3ADE"/>
    <w:rsid w:val="00FF0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C5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0DB"/>
    <w:pPr>
      <w:ind w:left="720"/>
      <w:contextualSpacing/>
    </w:pPr>
  </w:style>
  <w:style w:type="paragraph" w:styleId="Header">
    <w:name w:val="header"/>
    <w:basedOn w:val="Normal"/>
    <w:link w:val="HeaderChar"/>
    <w:uiPriority w:val="99"/>
    <w:unhideWhenUsed/>
    <w:rsid w:val="00065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0DB"/>
  </w:style>
  <w:style w:type="paragraph" w:styleId="Footer">
    <w:name w:val="footer"/>
    <w:basedOn w:val="Normal"/>
    <w:link w:val="FooterChar"/>
    <w:uiPriority w:val="99"/>
    <w:unhideWhenUsed/>
    <w:rsid w:val="00065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0DB"/>
  </w:style>
  <w:style w:type="character" w:styleId="CommentReference">
    <w:name w:val="annotation reference"/>
    <w:basedOn w:val="DefaultParagraphFont"/>
    <w:uiPriority w:val="99"/>
    <w:semiHidden/>
    <w:unhideWhenUsed/>
    <w:rsid w:val="0000509B"/>
    <w:rPr>
      <w:sz w:val="16"/>
      <w:szCs w:val="16"/>
    </w:rPr>
  </w:style>
  <w:style w:type="paragraph" w:styleId="CommentText">
    <w:name w:val="annotation text"/>
    <w:basedOn w:val="Normal"/>
    <w:link w:val="CommentTextChar"/>
    <w:uiPriority w:val="99"/>
    <w:unhideWhenUsed/>
    <w:rsid w:val="00B81285"/>
    <w:pPr>
      <w:spacing w:line="240" w:lineRule="auto"/>
    </w:pPr>
    <w:rPr>
      <w:sz w:val="20"/>
      <w:szCs w:val="20"/>
    </w:rPr>
  </w:style>
  <w:style w:type="character" w:customStyle="1" w:styleId="CommentTextChar">
    <w:name w:val="Comment Text Char"/>
    <w:basedOn w:val="DefaultParagraphFont"/>
    <w:link w:val="CommentText"/>
    <w:uiPriority w:val="99"/>
    <w:rsid w:val="0000509B"/>
    <w:rPr>
      <w:sz w:val="20"/>
      <w:szCs w:val="20"/>
    </w:rPr>
  </w:style>
  <w:style w:type="paragraph" w:styleId="CommentSubject">
    <w:name w:val="annotation subject"/>
    <w:basedOn w:val="CommentText"/>
    <w:next w:val="CommentText"/>
    <w:link w:val="CommentSubjectChar"/>
    <w:uiPriority w:val="99"/>
    <w:semiHidden/>
    <w:unhideWhenUsed/>
    <w:rsid w:val="0000509B"/>
    <w:rPr>
      <w:b/>
      <w:bCs/>
    </w:rPr>
  </w:style>
  <w:style w:type="character" w:customStyle="1" w:styleId="CommentSubjectChar">
    <w:name w:val="Comment Subject Char"/>
    <w:basedOn w:val="CommentTextChar"/>
    <w:link w:val="CommentSubject"/>
    <w:uiPriority w:val="99"/>
    <w:semiHidden/>
    <w:rsid w:val="0000509B"/>
    <w:rPr>
      <w:b/>
      <w:bCs/>
      <w:sz w:val="20"/>
      <w:szCs w:val="20"/>
    </w:rPr>
  </w:style>
  <w:style w:type="paragraph" w:styleId="Revision">
    <w:name w:val="Revision"/>
    <w:hidden/>
    <w:uiPriority w:val="99"/>
    <w:semiHidden/>
    <w:rsid w:val="0000509B"/>
    <w:pPr>
      <w:spacing w:after="0" w:line="240" w:lineRule="auto"/>
    </w:pPr>
  </w:style>
  <w:style w:type="paragraph" w:styleId="BalloonText">
    <w:name w:val="Balloon Text"/>
    <w:basedOn w:val="Normal"/>
    <w:link w:val="BalloonTextChar"/>
    <w:uiPriority w:val="99"/>
    <w:semiHidden/>
    <w:unhideWhenUsed/>
    <w:rsid w:val="00005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09B"/>
    <w:rPr>
      <w:rFonts w:ascii="Tahoma" w:hAnsi="Tahoma" w:cs="Tahoma"/>
      <w:sz w:val="16"/>
      <w:szCs w:val="16"/>
    </w:rPr>
  </w:style>
  <w:style w:type="table" w:styleId="TableGrid">
    <w:name w:val="Table Grid"/>
    <w:basedOn w:val="TableNormal"/>
    <w:uiPriority w:val="59"/>
    <w:rsid w:val="00BA0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0DB"/>
    <w:pPr>
      <w:ind w:left="720"/>
      <w:contextualSpacing/>
    </w:pPr>
  </w:style>
  <w:style w:type="paragraph" w:styleId="Header">
    <w:name w:val="header"/>
    <w:basedOn w:val="Normal"/>
    <w:link w:val="HeaderChar"/>
    <w:uiPriority w:val="99"/>
    <w:unhideWhenUsed/>
    <w:rsid w:val="00065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0DB"/>
  </w:style>
  <w:style w:type="paragraph" w:styleId="Footer">
    <w:name w:val="footer"/>
    <w:basedOn w:val="Normal"/>
    <w:link w:val="FooterChar"/>
    <w:uiPriority w:val="99"/>
    <w:unhideWhenUsed/>
    <w:rsid w:val="00065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0DB"/>
  </w:style>
  <w:style w:type="character" w:styleId="CommentReference">
    <w:name w:val="annotation reference"/>
    <w:basedOn w:val="DefaultParagraphFont"/>
    <w:uiPriority w:val="99"/>
    <w:semiHidden/>
    <w:unhideWhenUsed/>
    <w:rsid w:val="0000509B"/>
    <w:rPr>
      <w:sz w:val="16"/>
      <w:szCs w:val="16"/>
    </w:rPr>
  </w:style>
  <w:style w:type="paragraph" w:styleId="CommentText">
    <w:name w:val="annotation text"/>
    <w:basedOn w:val="Normal"/>
    <w:link w:val="CommentTextChar"/>
    <w:uiPriority w:val="99"/>
    <w:unhideWhenUsed/>
    <w:rsid w:val="00B81285"/>
    <w:pPr>
      <w:spacing w:line="240" w:lineRule="auto"/>
    </w:pPr>
    <w:rPr>
      <w:sz w:val="20"/>
      <w:szCs w:val="20"/>
    </w:rPr>
  </w:style>
  <w:style w:type="character" w:customStyle="1" w:styleId="CommentTextChar">
    <w:name w:val="Comment Text Char"/>
    <w:basedOn w:val="DefaultParagraphFont"/>
    <w:link w:val="CommentText"/>
    <w:uiPriority w:val="99"/>
    <w:rsid w:val="0000509B"/>
    <w:rPr>
      <w:sz w:val="20"/>
      <w:szCs w:val="20"/>
    </w:rPr>
  </w:style>
  <w:style w:type="paragraph" w:styleId="CommentSubject">
    <w:name w:val="annotation subject"/>
    <w:basedOn w:val="CommentText"/>
    <w:next w:val="CommentText"/>
    <w:link w:val="CommentSubjectChar"/>
    <w:uiPriority w:val="99"/>
    <w:semiHidden/>
    <w:unhideWhenUsed/>
    <w:rsid w:val="0000509B"/>
    <w:rPr>
      <w:b/>
      <w:bCs/>
    </w:rPr>
  </w:style>
  <w:style w:type="character" w:customStyle="1" w:styleId="CommentSubjectChar">
    <w:name w:val="Comment Subject Char"/>
    <w:basedOn w:val="CommentTextChar"/>
    <w:link w:val="CommentSubject"/>
    <w:uiPriority w:val="99"/>
    <w:semiHidden/>
    <w:rsid w:val="0000509B"/>
    <w:rPr>
      <w:b/>
      <w:bCs/>
      <w:sz w:val="20"/>
      <w:szCs w:val="20"/>
    </w:rPr>
  </w:style>
  <w:style w:type="paragraph" w:styleId="Revision">
    <w:name w:val="Revision"/>
    <w:hidden/>
    <w:uiPriority w:val="99"/>
    <w:semiHidden/>
    <w:rsid w:val="0000509B"/>
    <w:pPr>
      <w:spacing w:after="0" w:line="240" w:lineRule="auto"/>
    </w:pPr>
  </w:style>
  <w:style w:type="paragraph" w:styleId="BalloonText">
    <w:name w:val="Balloon Text"/>
    <w:basedOn w:val="Normal"/>
    <w:link w:val="BalloonTextChar"/>
    <w:uiPriority w:val="99"/>
    <w:semiHidden/>
    <w:unhideWhenUsed/>
    <w:rsid w:val="00005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09B"/>
    <w:rPr>
      <w:rFonts w:ascii="Tahoma" w:hAnsi="Tahoma" w:cs="Tahoma"/>
      <w:sz w:val="16"/>
      <w:szCs w:val="16"/>
    </w:rPr>
  </w:style>
  <w:style w:type="table" w:styleId="TableGrid">
    <w:name w:val="Table Grid"/>
    <w:basedOn w:val="TableNormal"/>
    <w:uiPriority w:val="59"/>
    <w:rsid w:val="00BA0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210">
      <w:bodyDiv w:val="1"/>
      <w:marLeft w:val="0"/>
      <w:marRight w:val="0"/>
      <w:marTop w:val="0"/>
      <w:marBottom w:val="0"/>
      <w:divBdr>
        <w:top w:val="none" w:sz="0" w:space="0" w:color="auto"/>
        <w:left w:val="none" w:sz="0" w:space="0" w:color="auto"/>
        <w:bottom w:val="none" w:sz="0" w:space="0" w:color="auto"/>
        <w:right w:val="none" w:sz="0" w:space="0" w:color="auto"/>
      </w:divBdr>
    </w:div>
    <w:div w:id="26030717">
      <w:bodyDiv w:val="1"/>
      <w:marLeft w:val="0"/>
      <w:marRight w:val="0"/>
      <w:marTop w:val="0"/>
      <w:marBottom w:val="0"/>
      <w:divBdr>
        <w:top w:val="none" w:sz="0" w:space="0" w:color="auto"/>
        <w:left w:val="none" w:sz="0" w:space="0" w:color="auto"/>
        <w:bottom w:val="none" w:sz="0" w:space="0" w:color="auto"/>
        <w:right w:val="none" w:sz="0" w:space="0" w:color="auto"/>
      </w:divBdr>
      <w:divsChild>
        <w:div w:id="810632953">
          <w:marLeft w:val="547"/>
          <w:marRight w:val="0"/>
          <w:marTop w:val="0"/>
          <w:marBottom w:val="0"/>
          <w:divBdr>
            <w:top w:val="none" w:sz="0" w:space="0" w:color="auto"/>
            <w:left w:val="none" w:sz="0" w:space="0" w:color="auto"/>
            <w:bottom w:val="none" w:sz="0" w:space="0" w:color="auto"/>
            <w:right w:val="none" w:sz="0" w:space="0" w:color="auto"/>
          </w:divBdr>
        </w:div>
        <w:div w:id="1692956476">
          <w:marLeft w:val="547"/>
          <w:marRight w:val="0"/>
          <w:marTop w:val="0"/>
          <w:marBottom w:val="0"/>
          <w:divBdr>
            <w:top w:val="none" w:sz="0" w:space="0" w:color="auto"/>
            <w:left w:val="none" w:sz="0" w:space="0" w:color="auto"/>
            <w:bottom w:val="none" w:sz="0" w:space="0" w:color="auto"/>
            <w:right w:val="none" w:sz="0" w:space="0" w:color="auto"/>
          </w:divBdr>
        </w:div>
        <w:div w:id="129136518">
          <w:marLeft w:val="547"/>
          <w:marRight w:val="0"/>
          <w:marTop w:val="0"/>
          <w:marBottom w:val="0"/>
          <w:divBdr>
            <w:top w:val="none" w:sz="0" w:space="0" w:color="auto"/>
            <w:left w:val="none" w:sz="0" w:space="0" w:color="auto"/>
            <w:bottom w:val="none" w:sz="0" w:space="0" w:color="auto"/>
            <w:right w:val="none" w:sz="0" w:space="0" w:color="auto"/>
          </w:divBdr>
        </w:div>
      </w:divsChild>
    </w:div>
    <w:div w:id="40174260">
      <w:bodyDiv w:val="1"/>
      <w:marLeft w:val="0"/>
      <w:marRight w:val="0"/>
      <w:marTop w:val="0"/>
      <w:marBottom w:val="0"/>
      <w:divBdr>
        <w:top w:val="none" w:sz="0" w:space="0" w:color="auto"/>
        <w:left w:val="none" w:sz="0" w:space="0" w:color="auto"/>
        <w:bottom w:val="none" w:sz="0" w:space="0" w:color="auto"/>
        <w:right w:val="none" w:sz="0" w:space="0" w:color="auto"/>
      </w:divBdr>
      <w:divsChild>
        <w:div w:id="1620407818">
          <w:marLeft w:val="806"/>
          <w:marRight w:val="0"/>
          <w:marTop w:val="106"/>
          <w:marBottom w:val="0"/>
          <w:divBdr>
            <w:top w:val="none" w:sz="0" w:space="0" w:color="auto"/>
            <w:left w:val="none" w:sz="0" w:space="0" w:color="auto"/>
            <w:bottom w:val="none" w:sz="0" w:space="0" w:color="auto"/>
            <w:right w:val="none" w:sz="0" w:space="0" w:color="auto"/>
          </w:divBdr>
        </w:div>
        <w:div w:id="566837718">
          <w:marLeft w:val="806"/>
          <w:marRight w:val="0"/>
          <w:marTop w:val="106"/>
          <w:marBottom w:val="0"/>
          <w:divBdr>
            <w:top w:val="none" w:sz="0" w:space="0" w:color="auto"/>
            <w:left w:val="none" w:sz="0" w:space="0" w:color="auto"/>
            <w:bottom w:val="none" w:sz="0" w:space="0" w:color="auto"/>
            <w:right w:val="none" w:sz="0" w:space="0" w:color="auto"/>
          </w:divBdr>
        </w:div>
        <w:div w:id="2116363158">
          <w:marLeft w:val="806"/>
          <w:marRight w:val="0"/>
          <w:marTop w:val="106"/>
          <w:marBottom w:val="0"/>
          <w:divBdr>
            <w:top w:val="none" w:sz="0" w:space="0" w:color="auto"/>
            <w:left w:val="none" w:sz="0" w:space="0" w:color="auto"/>
            <w:bottom w:val="none" w:sz="0" w:space="0" w:color="auto"/>
            <w:right w:val="none" w:sz="0" w:space="0" w:color="auto"/>
          </w:divBdr>
        </w:div>
        <w:div w:id="60181599">
          <w:marLeft w:val="806"/>
          <w:marRight w:val="0"/>
          <w:marTop w:val="106"/>
          <w:marBottom w:val="0"/>
          <w:divBdr>
            <w:top w:val="none" w:sz="0" w:space="0" w:color="auto"/>
            <w:left w:val="none" w:sz="0" w:space="0" w:color="auto"/>
            <w:bottom w:val="none" w:sz="0" w:space="0" w:color="auto"/>
            <w:right w:val="none" w:sz="0" w:space="0" w:color="auto"/>
          </w:divBdr>
        </w:div>
      </w:divsChild>
    </w:div>
    <w:div w:id="47343263">
      <w:bodyDiv w:val="1"/>
      <w:marLeft w:val="0"/>
      <w:marRight w:val="0"/>
      <w:marTop w:val="0"/>
      <w:marBottom w:val="0"/>
      <w:divBdr>
        <w:top w:val="none" w:sz="0" w:space="0" w:color="auto"/>
        <w:left w:val="none" w:sz="0" w:space="0" w:color="auto"/>
        <w:bottom w:val="none" w:sz="0" w:space="0" w:color="auto"/>
        <w:right w:val="none" w:sz="0" w:space="0" w:color="auto"/>
      </w:divBdr>
    </w:div>
    <w:div w:id="48842620">
      <w:bodyDiv w:val="1"/>
      <w:marLeft w:val="0"/>
      <w:marRight w:val="0"/>
      <w:marTop w:val="0"/>
      <w:marBottom w:val="0"/>
      <w:divBdr>
        <w:top w:val="none" w:sz="0" w:space="0" w:color="auto"/>
        <w:left w:val="none" w:sz="0" w:space="0" w:color="auto"/>
        <w:bottom w:val="none" w:sz="0" w:space="0" w:color="auto"/>
        <w:right w:val="none" w:sz="0" w:space="0" w:color="auto"/>
      </w:divBdr>
    </w:div>
    <w:div w:id="136000356">
      <w:bodyDiv w:val="1"/>
      <w:marLeft w:val="0"/>
      <w:marRight w:val="0"/>
      <w:marTop w:val="0"/>
      <w:marBottom w:val="0"/>
      <w:divBdr>
        <w:top w:val="none" w:sz="0" w:space="0" w:color="auto"/>
        <w:left w:val="none" w:sz="0" w:space="0" w:color="auto"/>
        <w:bottom w:val="none" w:sz="0" w:space="0" w:color="auto"/>
        <w:right w:val="none" w:sz="0" w:space="0" w:color="auto"/>
      </w:divBdr>
    </w:div>
    <w:div w:id="187523698">
      <w:bodyDiv w:val="1"/>
      <w:marLeft w:val="0"/>
      <w:marRight w:val="0"/>
      <w:marTop w:val="0"/>
      <w:marBottom w:val="0"/>
      <w:divBdr>
        <w:top w:val="none" w:sz="0" w:space="0" w:color="auto"/>
        <w:left w:val="none" w:sz="0" w:space="0" w:color="auto"/>
        <w:bottom w:val="none" w:sz="0" w:space="0" w:color="auto"/>
        <w:right w:val="none" w:sz="0" w:space="0" w:color="auto"/>
      </w:divBdr>
      <w:divsChild>
        <w:div w:id="578835232">
          <w:marLeft w:val="547"/>
          <w:marRight w:val="0"/>
          <w:marTop w:val="0"/>
          <w:marBottom w:val="0"/>
          <w:divBdr>
            <w:top w:val="none" w:sz="0" w:space="0" w:color="auto"/>
            <w:left w:val="none" w:sz="0" w:space="0" w:color="auto"/>
            <w:bottom w:val="none" w:sz="0" w:space="0" w:color="auto"/>
            <w:right w:val="none" w:sz="0" w:space="0" w:color="auto"/>
          </w:divBdr>
        </w:div>
      </w:divsChild>
    </w:div>
    <w:div w:id="238367322">
      <w:bodyDiv w:val="1"/>
      <w:marLeft w:val="0"/>
      <w:marRight w:val="0"/>
      <w:marTop w:val="0"/>
      <w:marBottom w:val="0"/>
      <w:divBdr>
        <w:top w:val="none" w:sz="0" w:space="0" w:color="auto"/>
        <w:left w:val="none" w:sz="0" w:space="0" w:color="auto"/>
        <w:bottom w:val="none" w:sz="0" w:space="0" w:color="auto"/>
        <w:right w:val="none" w:sz="0" w:space="0" w:color="auto"/>
      </w:divBdr>
      <w:divsChild>
        <w:div w:id="358052128">
          <w:marLeft w:val="547"/>
          <w:marRight w:val="0"/>
          <w:marTop w:val="0"/>
          <w:marBottom w:val="0"/>
          <w:divBdr>
            <w:top w:val="none" w:sz="0" w:space="0" w:color="auto"/>
            <w:left w:val="none" w:sz="0" w:space="0" w:color="auto"/>
            <w:bottom w:val="none" w:sz="0" w:space="0" w:color="auto"/>
            <w:right w:val="none" w:sz="0" w:space="0" w:color="auto"/>
          </w:divBdr>
        </w:div>
      </w:divsChild>
    </w:div>
    <w:div w:id="327294622">
      <w:bodyDiv w:val="1"/>
      <w:marLeft w:val="0"/>
      <w:marRight w:val="0"/>
      <w:marTop w:val="0"/>
      <w:marBottom w:val="0"/>
      <w:divBdr>
        <w:top w:val="none" w:sz="0" w:space="0" w:color="auto"/>
        <w:left w:val="none" w:sz="0" w:space="0" w:color="auto"/>
        <w:bottom w:val="none" w:sz="0" w:space="0" w:color="auto"/>
        <w:right w:val="none" w:sz="0" w:space="0" w:color="auto"/>
      </w:divBdr>
    </w:div>
    <w:div w:id="356396170">
      <w:bodyDiv w:val="1"/>
      <w:marLeft w:val="0"/>
      <w:marRight w:val="0"/>
      <w:marTop w:val="0"/>
      <w:marBottom w:val="0"/>
      <w:divBdr>
        <w:top w:val="none" w:sz="0" w:space="0" w:color="auto"/>
        <w:left w:val="none" w:sz="0" w:space="0" w:color="auto"/>
        <w:bottom w:val="none" w:sz="0" w:space="0" w:color="auto"/>
        <w:right w:val="none" w:sz="0" w:space="0" w:color="auto"/>
      </w:divBdr>
      <w:divsChild>
        <w:div w:id="1101026386">
          <w:marLeft w:val="547"/>
          <w:marRight w:val="0"/>
          <w:marTop w:val="106"/>
          <w:marBottom w:val="0"/>
          <w:divBdr>
            <w:top w:val="none" w:sz="0" w:space="0" w:color="auto"/>
            <w:left w:val="none" w:sz="0" w:space="0" w:color="auto"/>
            <w:bottom w:val="none" w:sz="0" w:space="0" w:color="auto"/>
            <w:right w:val="none" w:sz="0" w:space="0" w:color="auto"/>
          </w:divBdr>
        </w:div>
        <w:div w:id="829295420">
          <w:marLeft w:val="547"/>
          <w:marRight w:val="0"/>
          <w:marTop w:val="106"/>
          <w:marBottom w:val="0"/>
          <w:divBdr>
            <w:top w:val="none" w:sz="0" w:space="0" w:color="auto"/>
            <w:left w:val="none" w:sz="0" w:space="0" w:color="auto"/>
            <w:bottom w:val="none" w:sz="0" w:space="0" w:color="auto"/>
            <w:right w:val="none" w:sz="0" w:space="0" w:color="auto"/>
          </w:divBdr>
        </w:div>
        <w:div w:id="38095519">
          <w:marLeft w:val="547"/>
          <w:marRight w:val="0"/>
          <w:marTop w:val="106"/>
          <w:marBottom w:val="0"/>
          <w:divBdr>
            <w:top w:val="none" w:sz="0" w:space="0" w:color="auto"/>
            <w:left w:val="none" w:sz="0" w:space="0" w:color="auto"/>
            <w:bottom w:val="none" w:sz="0" w:space="0" w:color="auto"/>
            <w:right w:val="none" w:sz="0" w:space="0" w:color="auto"/>
          </w:divBdr>
        </w:div>
        <w:div w:id="236405781">
          <w:marLeft w:val="547"/>
          <w:marRight w:val="0"/>
          <w:marTop w:val="106"/>
          <w:marBottom w:val="0"/>
          <w:divBdr>
            <w:top w:val="none" w:sz="0" w:space="0" w:color="auto"/>
            <w:left w:val="none" w:sz="0" w:space="0" w:color="auto"/>
            <w:bottom w:val="none" w:sz="0" w:space="0" w:color="auto"/>
            <w:right w:val="none" w:sz="0" w:space="0" w:color="auto"/>
          </w:divBdr>
        </w:div>
        <w:div w:id="942802920">
          <w:marLeft w:val="547"/>
          <w:marRight w:val="0"/>
          <w:marTop w:val="106"/>
          <w:marBottom w:val="0"/>
          <w:divBdr>
            <w:top w:val="none" w:sz="0" w:space="0" w:color="auto"/>
            <w:left w:val="none" w:sz="0" w:space="0" w:color="auto"/>
            <w:bottom w:val="none" w:sz="0" w:space="0" w:color="auto"/>
            <w:right w:val="none" w:sz="0" w:space="0" w:color="auto"/>
          </w:divBdr>
        </w:div>
        <w:div w:id="337930354">
          <w:marLeft w:val="547"/>
          <w:marRight w:val="0"/>
          <w:marTop w:val="106"/>
          <w:marBottom w:val="0"/>
          <w:divBdr>
            <w:top w:val="none" w:sz="0" w:space="0" w:color="auto"/>
            <w:left w:val="none" w:sz="0" w:space="0" w:color="auto"/>
            <w:bottom w:val="none" w:sz="0" w:space="0" w:color="auto"/>
            <w:right w:val="none" w:sz="0" w:space="0" w:color="auto"/>
          </w:divBdr>
        </w:div>
      </w:divsChild>
    </w:div>
    <w:div w:id="414212018">
      <w:bodyDiv w:val="1"/>
      <w:marLeft w:val="0"/>
      <w:marRight w:val="0"/>
      <w:marTop w:val="0"/>
      <w:marBottom w:val="0"/>
      <w:divBdr>
        <w:top w:val="none" w:sz="0" w:space="0" w:color="auto"/>
        <w:left w:val="none" w:sz="0" w:space="0" w:color="auto"/>
        <w:bottom w:val="none" w:sz="0" w:space="0" w:color="auto"/>
        <w:right w:val="none" w:sz="0" w:space="0" w:color="auto"/>
      </w:divBdr>
      <w:divsChild>
        <w:div w:id="1481533254">
          <w:marLeft w:val="547"/>
          <w:marRight w:val="0"/>
          <w:marTop w:val="0"/>
          <w:marBottom w:val="0"/>
          <w:divBdr>
            <w:top w:val="none" w:sz="0" w:space="0" w:color="auto"/>
            <w:left w:val="none" w:sz="0" w:space="0" w:color="auto"/>
            <w:bottom w:val="none" w:sz="0" w:space="0" w:color="auto"/>
            <w:right w:val="none" w:sz="0" w:space="0" w:color="auto"/>
          </w:divBdr>
        </w:div>
        <w:div w:id="688020650">
          <w:marLeft w:val="547"/>
          <w:marRight w:val="0"/>
          <w:marTop w:val="0"/>
          <w:marBottom w:val="0"/>
          <w:divBdr>
            <w:top w:val="none" w:sz="0" w:space="0" w:color="auto"/>
            <w:left w:val="none" w:sz="0" w:space="0" w:color="auto"/>
            <w:bottom w:val="none" w:sz="0" w:space="0" w:color="auto"/>
            <w:right w:val="none" w:sz="0" w:space="0" w:color="auto"/>
          </w:divBdr>
        </w:div>
      </w:divsChild>
    </w:div>
    <w:div w:id="435175492">
      <w:bodyDiv w:val="1"/>
      <w:marLeft w:val="0"/>
      <w:marRight w:val="0"/>
      <w:marTop w:val="0"/>
      <w:marBottom w:val="0"/>
      <w:divBdr>
        <w:top w:val="none" w:sz="0" w:space="0" w:color="auto"/>
        <w:left w:val="none" w:sz="0" w:space="0" w:color="auto"/>
        <w:bottom w:val="none" w:sz="0" w:space="0" w:color="auto"/>
        <w:right w:val="none" w:sz="0" w:space="0" w:color="auto"/>
      </w:divBdr>
    </w:div>
    <w:div w:id="455567241">
      <w:bodyDiv w:val="1"/>
      <w:marLeft w:val="0"/>
      <w:marRight w:val="0"/>
      <w:marTop w:val="0"/>
      <w:marBottom w:val="0"/>
      <w:divBdr>
        <w:top w:val="none" w:sz="0" w:space="0" w:color="auto"/>
        <w:left w:val="none" w:sz="0" w:space="0" w:color="auto"/>
        <w:bottom w:val="none" w:sz="0" w:space="0" w:color="auto"/>
        <w:right w:val="none" w:sz="0" w:space="0" w:color="auto"/>
      </w:divBdr>
    </w:div>
    <w:div w:id="461193643">
      <w:bodyDiv w:val="1"/>
      <w:marLeft w:val="0"/>
      <w:marRight w:val="0"/>
      <w:marTop w:val="0"/>
      <w:marBottom w:val="0"/>
      <w:divBdr>
        <w:top w:val="none" w:sz="0" w:space="0" w:color="auto"/>
        <w:left w:val="none" w:sz="0" w:space="0" w:color="auto"/>
        <w:bottom w:val="none" w:sz="0" w:space="0" w:color="auto"/>
        <w:right w:val="none" w:sz="0" w:space="0" w:color="auto"/>
      </w:divBdr>
    </w:div>
    <w:div w:id="519783847">
      <w:bodyDiv w:val="1"/>
      <w:marLeft w:val="0"/>
      <w:marRight w:val="0"/>
      <w:marTop w:val="0"/>
      <w:marBottom w:val="0"/>
      <w:divBdr>
        <w:top w:val="none" w:sz="0" w:space="0" w:color="auto"/>
        <w:left w:val="none" w:sz="0" w:space="0" w:color="auto"/>
        <w:bottom w:val="none" w:sz="0" w:space="0" w:color="auto"/>
        <w:right w:val="none" w:sz="0" w:space="0" w:color="auto"/>
      </w:divBdr>
    </w:div>
    <w:div w:id="607544713">
      <w:bodyDiv w:val="1"/>
      <w:marLeft w:val="0"/>
      <w:marRight w:val="0"/>
      <w:marTop w:val="0"/>
      <w:marBottom w:val="0"/>
      <w:divBdr>
        <w:top w:val="none" w:sz="0" w:space="0" w:color="auto"/>
        <w:left w:val="none" w:sz="0" w:space="0" w:color="auto"/>
        <w:bottom w:val="none" w:sz="0" w:space="0" w:color="auto"/>
        <w:right w:val="none" w:sz="0" w:space="0" w:color="auto"/>
      </w:divBdr>
    </w:div>
    <w:div w:id="617373925">
      <w:bodyDiv w:val="1"/>
      <w:marLeft w:val="0"/>
      <w:marRight w:val="0"/>
      <w:marTop w:val="0"/>
      <w:marBottom w:val="0"/>
      <w:divBdr>
        <w:top w:val="none" w:sz="0" w:space="0" w:color="auto"/>
        <w:left w:val="none" w:sz="0" w:space="0" w:color="auto"/>
        <w:bottom w:val="none" w:sz="0" w:space="0" w:color="auto"/>
        <w:right w:val="none" w:sz="0" w:space="0" w:color="auto"/>
      </w:divBdr>
    </w:div>
    <w:div w:id="622270394">
      <w:bodyDiv w:val="1"/>
      <w:marLeft w:val="0"/>
      <w:marRight w:val="0"/>
      <w:marTop w:val="0"/>
      <w:marBottom w:val="0"/>
      <w:divBdr>
        <w:top w:val="none" w:sz="0" w:space="0" w:color="auto"/>
        <w:left w:val="none" w:sz="0" w:space="0" w:color="auto"/>
        <w:bottom w:val="none" w:sz="0" w:space="0" w:color="auto"/>
        <w:right w:val="none" w:sz="0" w:space="0" w:color="auto"/>
      </w:divBdr>
    </w:div>
    <w:div w:id="660697176">
      <w:bodyDiv w:val="1"/>
      <w:marLeft w:val="0"/>
      <w:marRight w:val="0"/>
      <w:marTop w:val="0"/>
      <w:marBottom w:val="0"/>
      <w:divBdr>
        <w:top w:val="none" w:sz="0" w:space="0" w:color="auto"/>
        <w:left w:val="none" w:sz="0" w:space="0" w:color="auto"/>
        <w:bottom w:val="none" w:sz="0" w:space="0" w:color="auto"/>
        <w:right w:val="none" w:sz="0" w:space="0" w:color="auto"/>
      </w:divBdr>
      <w:divsChild>
        <w:div w:id="1955011869">
          <w:marLeft w:val="547"/>
          <w:marRight w:val="0"/>
          <w:marTop w:val="0"/>
          <w:marBottom w:val="0"/>
          <w:divBdr>
            <w:top w:val="none" w:sz="0" w:space="0" w:color="auto"/>
            <w:left w:val="none" w:sz="0" w:space="0" w:color="auto"/>
            <w:bottom w:val="none" w:sz="0" w:space="0" w:color="auto"/>
            <w:right w:val="none" w:sz="0" w:space="0" w:color="auto"/>
          </w:divBdr>
        </w:div>
        <w:div w:id="1116412171">
          <w:marLeft w:val="547"/>
          <w:marRight w:val="0"/>
          <w:marTop w:val="0"/>
          <w:marBottom w:val="0"/>
          <w:divBdr>
            <w:top w:val="none" w:sz="0" w:space="0" w:color="auto"/>
            <w:left w:val="none" w:sz="0" w:space="0" w:color="auto"/>
            <w:bottom w:val="none" w:sz="0" w:space="0" w:color="auto"/>
            <w:right w:val="none" w:sz="0" w:space="0" w:color="auto"/>
          </w:divBdr>
        </w:div>
        <w:div w:id="12810537">
          <w:marLeft w:val="547"/>
          <w:marRight w:val="0"/>
          <w:marTop w:val="0"/>
          <w:marBottom w:val="0"/>
          <w:divBdr>
            <w:top w:val="none" w:sz="0" w:space="0" w:color="auto"/>
            <w:left w:val="none" w:sz="0" w:space="0" w:color="auto"/>
            <w:bottom w:val="none" w:sz="0" w:space="0" w:color="auto"/>
            <w:right w:val="none" w:sz="0" w:space="0" w:color="auto"/>
          </w:divBdr>
        </w:div>
        <w:div w:id="1937710003">
          <w:marLeft w:val="547"/>
          <w:marRight w:val="0"/>
          <w:marTop w:val="0"/>
          <w:marBottom w:val="0"/>
          <w:divBdr>
            <w:top w:val="none" w:sz="0" w:space="0" w:color="auto"/>
            <w:left w:val="none" w:sz="0" w:space="0" w:color="auto"/>
            <w:bottom w:val="none" w:sz="0" w:space="0" w:color="auto"/>
            <w:right w:val="none" w:sz="0" w:space="0" w:color="auto"/>
          </w:divBdr>
        </w:div>
        <w:div w:id="1653218743">
          <w:marLeft w:val="547"/>
          <w:marRight w:val="0"/>
          <w:marTop w:val="0"/>
          <w:marBottom w:val="0"/>
          <w:divBdr>
            <w:top w:val="none" w:sz="0" w:space="0" w:color="auto"/>
            <w:left w:val="none" w:sz="0" w:space="0" w:color="auto"/>
            <w:bottom w:val="none" w:sz="0" w:space="0" w:color="auto"/>
            <w:right w:val="none" w:sz="0" w:space="0" w:color="auto"/>
          </w:divBdr>
        </w:div>
      </w:divsChild>
    </w:div>
    <w:div w:id="689646730">
      <w:bodyDiv w:val="1"/>
      <w:marLeft w:val="0"/>
      <w:marRight w:val="0"/>
      <w:marTop w:val="0"/>
      <w:marBottom w:val="0"/>
      <w:divBdr>
        <w:top w:val="none" w:sz="0" w:space="0" w:color="auto"/>
        <w:left w:val="none" w:sz="0" w:space="0" w:color="auto"/>
        <w:bottom w:val="none" w:sz="0" w:space="0" w:color="auto"/>
        <w:right w:val="none" w:sz="0" w:space="0" w:color="auto"/>
      </w:divBdr>
    </w:div>
    <w:div w:id="704521313">
      <w:bodyDiv w:val="1"/>
      <w:marLeft w:val="0"/>
      <w:marRight w:val="0"/>
      <w:marTop w:val="0"/>
      <w:marBottom w:val="0"/>
      <w:divBdr>
        <w:top w:val="none" w:sz="0" w:space="0" w:color="auto"/>
        <w:left w:val="none" w:sz="0" w:space="0" w:color="auto"/>
        <w:bottom w:val="none" w:sz="0" w:space="0" w:color="auto"/>
        <w:right w:val="none" w:sz="0" w:space="0" w:color="auto"/>
      </w:divBdr>
    </w:div>
    <w:div w:id="843205605">
      <w:bodyDiv w:val="1"/>
      <w:marLeft w:val="0"/>
      <w:marRight w:val="0"/>
      <w:marTop w:val="0"/>
      <w:marBottom w:val="0"/>
      <w:divBdr>
        <w:top w:val="none" w:sz="0" w:space="0" w:color="auto"/>
        <w:left w:val="none" w:sz="0" w:space="0" w:color="auto"/>
        <w:bottom w:val="none" w:sz="0" w:space="0" w:color="auto"/>
        <w:right w:val="none" w:sz="0" w:space="0" w:color="auto"/>
      </w:divBdr>
    </w:div>
    <w:div w:id="859704944">
      <w:bodyDiv w:val="1"/>
      <w:marLeft w:val="0"/>
      <w:marRight w:val="0"/>
      <w:marTop w:val="0"/>
      <w:marBottom w:val="0"/>
      <w:divBdr>
        <w:top w:val="none" w:sz="0" w:space="0" w:color="auto"/>
        <w:left w:val="none" w:sz="0" w:space="0" w:color="auto"/>
        <w:bottom w:val="none" w:sz="0" w:space="0" w:color="auto"/>
        <w:right w:val="none" w:sz="0" w:space="0" w:color="auto"/>
      </w:divBdr>
    </w:div>
    <w:div w:id="879631076">
      <w:bodyDiv w:val="1"/>
      <w:marLeft w:val="0"/>
      <w:marRight w:val="0"/>
      <w:marTop w:val="0"/>
      <w:marBottom w:val="0"/>
      <w:divBdr>
        <w:top w:val="none" w:sz="0" w:space="0" w:color="auto"/>
        <w:left w:val="none" w:sz="0" w:space="0" w:color="auto"/>
        <w:bottom w:val="none" w:sz="0" w:space="0" w:color="auto"/>
        <w:right w:val="none" w:sz="0" w:space="0" w:color="auto"/>
      </w:divBdr>
    </w:div>
    <w:div w:id="955720261">
      <w:bodyDiv w:val="1"/>
      <w:marLeft w:val="0"/>
      <w:marRight w:val="0"/>
      <w:marTop w:val="0"/>
      <w:marBottom w:val="0"/>
      <w:divBdr>
        <w:top w:val="none" w:sz="0" w:space="0" w:color="auto"/>
        <w:left w:val="none" w:sz="0" w:space="0" w:color="auto"/>
        <w:bottom w:val="none" w:sz="0" w:space="0" w:color="auto"/>
        <w:right w:val="none" w:sz="0" w:space="0" w:color="auto"/>
      </w:divBdr>
    </w:div>
    <w:div w:id="974336728">
      <w:bodyDiv w:val="1"/>
      <w:marLeft w:val="0"/>
      <w:marRight w:val="0"/>
      <w:marTop w:val="0"/>
      <w:marBottom w:val="0"/>
      <w:divBdr>
        <w:top w:val="none" w:sz="0" w:space="0" w:color="auto"/>
        <w:left w:val="none" w:sz="0" w:space="0" w:color="auto"/>
        <w:bottom w:val="none" w:sz="0" w:space="0" w:color="auto"/>
        <w:right w:val="none" w:sz="0" w:space="0" w:color="auto"/>
      </w:divBdr>
    </w:div>
    <w:div w:id="974603370">
      <w:bodyDiv w:val="1"/>
      <w:marLeft w:val="0"/>
      <w:marRight w:val="0"/>
      <w:marTop w:val="0"/>
      <w:marBottom w:val="0"/>
      <w:divBdr>
        <w:top w:val="none" w:sz="0" w:space="0" w:color="auto"/>
        <w:left w:val="none" w:sz="0" w:space="0" w:color="auto"/>
        <w:bottom w:val="none" w:sz="0" w:space="0" w:color="auto"/>
        <w:right w:val="none" w:sz="0" w:space="0" w:color="auto"/>
      </w:divBdr>
      <w:divsChild>
        <w:div w:id="2136026473">
          <w:marLeft w:val="547"/>
          <w:marRight w:val="0"/>
          <w:marTop w:val="0"/>
          <w:marBottom w:val="0"/>
          <w:divBdr>
            <w:top w:val="none" w:sz="0" w:space="0" w:color="auto"/>
            <w:left w:val="none" w:sz="0" w:space="0" w:color="auto"/>
            <w:bottom w:val="none" w:sz="0" w:space="0" w:color="auto"/>
            <w:right w:val="none" w:sz="0" w:space="0" w:color="auto"/>
          </w:divBdr>
        </w:div>
      </w:divsChild>
    </w:div>
    <w:div w:id="1049456358">
      <w:bodyDiv w:val="1"/>
      <w:marLeft w:val="0"/>
      <w:marRight w:val="0"/>
      <w:marTop w:val="0"/>
      <w:marBottom w:val="0"/>
      <w:divBdr>
        <w:top w:val="none" w:sz="0" w:space="0" w:color="auto"/>
        <w:left w:val="none" w:sz="0" w:space="0" w:color="auto"/>
        <w:bottom w:val="none" w:sz="0" w:space="0" w:color="auto"/>
        <w:right w:val="none" w:sz="0" w:space="0" w:color="auto"/>
      </w:divBdr>
    </w:div>
    <w:div w:id="1064640094">
      <w:bodyDiv w:val="1"/>
      <w:marLeft w:val="0"/>
      <w:marRight w:val="0"/>
      <w:marTop w:val="0"/>
      <w:marBottom w:val="0"/>
      <w:divBdr>
        <w:top w:val="none" w:sz="0" w:space="0" w:color="auto"/>
        <w:left w:val="none" w:sz="0" w:space="0" w:color="auto"/>
        <w:bottom w:val="none" w:sz="0" w:space="0" w:color="auto"/>
        <w:right w:val="none" w:sz="0" w:space="0" w:color="auto"/>
      </w:divBdr>
      <w:divsChild>
        <w:div w:id="849291849">
          <w:marLeft w:val="547"/>
          <w:marRight w:val="0"/>
          <w:marTop w:val="0"/>
          <w:marBottom w:val="0"/>
          <w:divBdr>
            <w:top w:val="none" w:sz="0" w:space="0" w:color="auto"/>
            <w:left w:val="none" w:sz="0" w:space="0" w:color="auto"/>
            <w:bottom w:val="none" w:sz="0" w:space="0" w:color="auto"/>
            <w:right w:val="none" w:sz="0" w:space="0" w:color="auto"/>
          </w:divBdr>
        </w:div>
      </w:divsChild>
    </w:div>
    <w:div w:id="1075859850">
      <w:bodyDiv w:val="1"/>
      <w:marLeft w:val="0"/>
      <w:marRight w:val="0"/>
      <w:marTop w:val="0"/>
      <w:marBottom w:val="0"/>
      <w:divBdr>
        <w:top w:val="none" w:sz="0" w:space="0" w:color="auto"/>
        <w:left w:val="none" w:sz="0" w:space="0" w:color="auto"/>
        <w:bottom w:val="none" w:sz="0" w:space="0" w:color="auto"/>
        <w:right w:val="none" w:sz="0" w:space="0" w:color="auto"/>
      </w:divBdr>
    </w:div>
    <w:div w:id="1135224417">
      <w:bodyDiv w:val="1"/>
      <w:marLeft w:val="0"/>
      <w:marRight w:val="0"/>
      <w:marTop w:val="0"/>
      <w:marBottom w:val="0"/>
      <w:divBdr>
        <w:top w:val="none" w:sz="0" w:space="0" w:color="auto"/>
        <w:left w:val="none" w:sz="0" w:space="0" w:color="auto"/>
        <w:bottom w:val="none" w:sz="0" w:space="0" w:color="auto"/>
        <w:right w:val="none" w:sz="0" w:space="0" w:color="auto"/>
      </w:divBdr>
      <w:divsChild>
        <w:div w:id="1212420912">
          <w:marLeft w:val="547"/>
          <w:marRight w:val="0"/>
          <w:marTop w:val="0"/>
          <w:marBottom w:val="0"/>
          <w:divBdr>
            <w:top w:val="none" w:sz="0" w:space="0" w:color="auto"/>
            <w:left w:val="none" w:sz="0" w:space="0" w:color="auto"/>
            <w:bottom w:val="none" w:sz="0" w:space="0" w:color="auto"/>
            <w:right w:val="none" w:sz="0" w:space="0" w:color="auto"/>
          </w:divBdr>
        </w:div>
        <w:div w:id="1009672121">
          <w:marLeft w:val="547"/>
          <w:marRight w:val="0"/>
          <w:marTop w:val="0"/>
          <w:marBottom w:val="0"/>
          <w:divBdr>
            <w:top w:val="none" w:sz="0" w:space="0" w:color="auto"/>
            <w:left w:val="none" w:sz="0" w:space="0" w:color="auto"/>
            <w:bottom w:val="none" w:sz="0" w:space="0" w:color="auto"/>
            <w:right w:val="none" w:sz="0" w:space="0" w:color="auto"/>
          </w:divBdr>
        </w:div>
        <w:div w:id="68504416">
          <w:marLeft w:val="547"/>
          <w:marRight w:val="0"/>
          <w:marTop w:val="0"/>
          <w:marBottom w:val="0"/>
          <w:divBdr>
            <w:top w:val="none" w:sz="0" w:space="0" w:color="auto"/>
            <w:left w:val="none" w:sz="0" w:space="0" w:color="auto"/>
            <w:bottom w:val="none" w:sz="0" w:space="0" w:color="auto"/>
            <w:right w:val="none" w:sz="0" w:space="0" w:color="auto"/>
          </w:divBdr>
        </w:div>
      </w:divsChild>
    </w:div>
    <w:div w:id="1138717652">
      <w:bodyDiv w:val="1"/>
      <w:marLeft w:val="0"/>
      <w:marRight w:val="0"/>
      <w:marTop w:val="0"/>
      <w:marBottom w:val="0"/>
      <w:divBdr>
        <w:top w:val="none" w:sz="0" w:space="0" w:color="auto"/>
        <w:left w:val="none" w:sz="0" w:space="0" w:color="auto"/>
        <w:bottom w:val="none" w:sz="0" w:space="0" w:color="auto"/>
        <w:right w:val="none" w:sz="0" w:space="0" w:color="auto"/>
      </w:divBdr>
      <w:divsChild>
        <w:div w:id="1841311477">
          <w:marLeft w:val="547"/>
          <w:marRight w:val="0"/>
          <w:marTop w:val="0"/>
          <w:marBottom w:val="0"/>
          <w:divBdr>
            <w:top w:val="none" w:sz="0" w:space="0" w:color="auto"/>
            <w:left w:val="none" w:sz="0" w:space="0" w:color="auto"/>
            <w:bottom w:val="none" w:sz="0" w:space="0" w:color="auto"/>
            <w:right w:val="none" w:sz="0" w:space="0" w:color="auto"/>
          </w:divBdr>
        </w:div>
        <w:div w:id="1908957636">
          <w:marLeft w:val="547"/>
          <w:marRight w:val="0"/>
          <w:marTop w:val="0"/>
          <w:marBottom w:val="0"/>
          <w:divBdr>
            <w:top w:val="none" w:sz="0" w:space="0" w:color="auto"/>
            <w:left w:val="none" w:sz="0" w:space="0" w:color="auto"/>
            <w:bottom w:val="none" w:sz="0" w:space="0" w:color="auto"/>
            <w:right w:val="none" w:sz="0" w:space="0" w:color="auto"/>
          </w:divBdr>
        </w:div>
      </w:divsChild>
    </w:div>
    <w:div w:id="1171793931">
      <w:bodyDiv w:val="1"/>
      <w:marLeft w:val="0"/>
      <w:marRight w:val="0"/>
      <w:marTop w:val="0"/>
      <w:marBottom w:val="0"/>
      <w:divBdr>
        <w:top w:val="none" w:sz="0" w:space="0" w:color="auto"/>
        <w:left w:val="none" w:sz="0" w:space="0" w:color="auto"/>
        <w:bottom w:val="none" w:sz="0" w:space="0" w:color="auto"/>
        <w:right w:val="none" w:sz="0" w:space="0" w:color="auto"/>
      </w:divBdr>
      <w:divsChild>
        <w:div w:id="250697123">
          <w:marLeft w:val="806"/>
          <w:marRight w:val="0"/>
          <w:marTop w:val="106"/>
          <w:marBottom w:val="0"/>
          <w:divBdr>
            <w:top w:val="none" w:sz="0" w:space="0" w:color="auto"/>
            <w:left w:val="none" w:sz="0" w:space="0" w:color="auto"/>
            <w:bottom w:val="none" w:sz="0" w:space="0" w:color="auto"/>
            <w:right w:val="none" w:sz="0" w:space="0" w:color="auto"/>
          </w:divBdr>
        </w:div>
        <w:div w:id="81416863">
          <w:marLeft w:val="806"/>
          <w:marRight w:val="0"/>
          <w:marTop w:val="106"/>
          <w:marBottom w:val="0"/>
          <w:divBdr>
            <w:top w:val="none" w:sz="0" w:space="0" w:color="auto"/>
            <w:left w:val="none" w:sz="0" w:space="0" w:color="auto"/>
            <w:bottom w:val="none" w:sz="0" w:space="0" w:color="auto"/>
            <w:right w:val="none" w:sz="0" w:space="0" w:color="auto"/>
          </w:divBdr>
        </w:div>
        <w:div w:id="2072851762">
          <w:marLeft w:val="806"/>
          <w:marRight w:val="0"/>
          <w:marTop w:val="106"/>
          <w:marBottom w:val="0"/>
          <w:divBdr>
            <w:top w:val="none" w:sz="0" w:space="0" w:color="auto"/>
            <w:left w:val="none" w:sz="0" w:space="0" w:color="auto"/>
            <w:bottom w:val="none" w:sz="0" w:space="0" w:color="auto"/>
            <w:right w:val="none" w:sz="0" w:space="0" w:color="auto"/>
          </w:divBdr>
        </w:div>
        <w:div w:id="1224486255">
          <w:marLeft w:val="806"/>
          <w:marRight w:val="0"/>
          <w:marTop w:val="106"/>
          <w:marBottom w:val="0"/>
          <w:divBdr>
            <w:top w:val="none" w:sz="0" w:space="0" w:color="auto"/>
            <w:left w:val="none" w:sz="0" w:space="0" w:color="auto"/>
            <w:bottom w:val="none" w:sz="0" w:space="0" w:color="auto"/>
            <w:right w:val="none" w:sz="0" w:space="0" w:color="auto"/>
          </w:divBdr>
        </w:div>
        <w:div w:id="1384524151">
          <w:marLeft w:val="806"/>
          <w:marRight w:val="0"/>
          <w:marTop w:val="106"/>
          <w:marBottom w:val="0"/>
          <w:divBdr>
            <w:top w:val="none" w:sz="0" w:space="0" w:color="auto"/>
            <w:left w:val="none" w:sz="0" w:space="0" w:color="auto"/>
            <w:bottom w:val="none" w:sz="0" w:space="0" w:color="auto"/>
            <w:right w:val="none" w:sz="0" w:space="0" w:color="auto"/>
          </w:divBdr>
        </w:div>
      </w:divsChild>
    </w:div>
    <w:div w:id="1231424332">
      <w:bodyDiv w:val="1"/>
      <w:marLeft w:val="0"/>
      <w:marRight w:val="0"/>
      <w:marTop w:val="0"/>
      <w:marBottom w:val="0"/>
      <w:divBdr>
        <w:top w:val="none" w:sz="0" w:space="0" w:color="auto"/>
        <w:left w:val="none" w:sz="0" w:space="0" w:color="auto"/>
        <w:bottom w:val="none" w:sz="0" w:space="0" w:color="auto"/>
        <w:right w:val="none" w:sz="0" w:space="0" w:color="auto"/>
      </w:divBdr>
    </w:div>
    <w:div w:id="1233465490">
      <w:bodyDiv w:val="1"/>
      <w:marLeft w:val="0"/>
      <w:marRight w:val="0"/>
      <w:marTop w:val="0"/>
      <w:marBottom w:val="0"/>
      <w:divBdr>
        <w:top w:val="none" w:sz="0" w:space="0" w:color="auto"/>
        <w:left w:val="none" w:sz="0" w:space="0" w:color="auto"/>
        <w:bottom w:val="none" w:sz="0" w:space="0" w:color="auto"/>
        <w:right w:val="none" w:sz="0" w:space="0" w:color="auto"/>
      </w:divBdr>
    </w:div>
    <w:div w:id="1287152586">
      <w:bodyDiv w:val="1"/>
      <w:marLeft w:val="0"/>
      <w:marRight w:val="0"/>
      <w:marTop w:val="0"/>
      <w:marBottom w:val="0"/>
      <w:divBdr>
        <w:top w:val="none" w:sz="0" w:space="0" w:color="auto"/>
        <w:left w:val="none" w:sz="0" w:space="0" w:color="auto"/>
        <w:bottom w:val="none" w:sz="0" w:space="0" w:color="auto"/>
        <w:right w:val="none" w:sz="0" w:space="0" w:color="auto"/>
      </w:divBdr>
      <w:divsChild>
        <w:div w:id="1211958091">
          <w:marLeft w:val="547"/>
          <w:marRight w:val="0"/>
          <w:marTop w:val="0"/>
          <w:marBottom w:val="0"/>
          <w:divBdr>
            <w:top w:val="none" w:sz="0" w:space="0" w:color="auto"/>
            <w:left w:val="none" w:sz="0" w:space="0" w:color="auto"/>
            <w:bottom w:val="none" w:sz="0" w:space="0" w:color="auto"/>
            <w:right w:val="none" w:sz="0" w:space="0" w:color="auto"/>
          </w:divBdr>
        </w:div>
        <w:div w:id="2140486391">
          <w:marLeft w:val="547"/>
          <w:marRight w:val="0"/>
          <w:marTop w:val="0"/>
          <w:marBottom w:val="0"/>
          <w:divBdr>
            <w:top w:val="none" w:sz="0" w:space="0" w:color="auto"/>
            <w:left w:val="none" w:sz="0" w:space="0" w:color="auto"/>
            <w:bottom w:val="none" w:sz="0" w:space="0" w:color="auto"/>
            <w:right w:val="none" w:sz="0" w:space="0" w:color="auto"/>
          </w:divBdr>
        </w:div>
        <w:div w:id="1439830783">
          <w:marLeft w:val="547"/>
          <w:marRight w:val="0"/>
          <w:marTop w:val="0"/>
          <w:marBottom w:val="0"/>
          <w:divBdr>
            <w:top w:val="none" w:sz="0" w:space="0" w:color="auto"/>
            <w:left w:val="none" w:sz="0" w:space="0" w:color="auto"/>
            <w:bottom w:val="none" w:sz="0" w:space="0" w:color="auto"/>
            <w:right w:val="none" w:sz="0" w:space="0" w:color="auto"/>
          </w:divBdr>
        </w:div>
      </w:divsChild>
    </w:div>
    <w:div w:id="1288780618">
      <w:bodyDiv w:val="1"/>
      <w:marLeft w:val="0"/>
      <w:marRight w:val="0"/>
      <w:marTop w:val="0"/>
      <w:marBottom w:val="0"/>
      <w:divBdr>
        <w:top w:val="none" w:sz="0" w:space="0" w:color="auto"/>
        <w:left w:val="none" w:sz="0" w:space="0" w:color="auto"/>
        <w:bottom w:val="none" w:sz="0" w:space="0" w:color="auto"/>
        <w:right w:val="none" w:sz="0" w:space="0" w:color="auto"/>
      </w:divBdr>
    </w:div>
    <w:div w:id="1306205390">
      <w:bodyDiv w:val="1"/>
      <w:marLeft w:val="0"/>
      <w:marRight w:val="0"/>
      <w:marTop w:val="0"/>
      <w:marBottom w:val="0"/>
      <w:divBdr>
        <w:top w:val="none" w:sz="0" w:space="0" w:color="auto"/>
        <w:left w:val="none" w:sz="0" w:space="0" w:color="auto"/>
        <w:bottom w:val="none" w:sz="0" w:space="0" w:color="auto"/>
        <w:right w:val="none" w:sz="0" w:space="0" w:color="auto"/>
      </w:divBdr>
    </w:div>
    <w:div w:id="1321889790">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484542847">
      <w:bodyDiv w:val="1"/>
      <w:marLeft w:val="0"/>
      <w:marRight w:val="0"/>
      <w:marTop w:val="0"/>
      <w:marBottom w:val="0"/>
      <w:divBdr>
        <w:top w:val="none" w:sz="0" w:space="0" w:color="auto"/>
        <w:left w:val="none" w:sz="0" w:space="0" w:color="auto"/>
        <w:bottom w:val="none" w:sz="0" w:space="0" w:color="auto"/>
        <w:right w:val="none" w:sz="0" w:space="0" w:color="auto"/>
      </w:divBdr>
    </w:div>
    <w:div w:id="1486580069">
      <w:bodyDiv w:val="1"/>
      <w:marLeft w:val="0"/>
      <w:marRight w:val="0"/>
      <w:marTop w:val="0"/>
      <w:marBottom w:val="0"/>
      <w:divBdr>
        <w:top w:val="none" w:sz="0" w:space="0" w:color="auto"/>
        <w:left w:val="none" w:sz="0" w:space="0" w:color="auto"/>
        <w:bottom w:val="none" w:sz="0" w:space="0" w:color="auto"/>
        <w:right w:val="none" w:sz="0" w:space="0" w:color="auto"/>
      </w:divBdr>
      <w:divsChild>
        <w:div w:id="310908674">
          <w:marLeft w:val="547"/>
          <w:marRight w:val="0"/>
          <w:marTop w:val="0"/>
          <w:marBottom w:val="0"/>
          <w:divBdr>
            <w:top w:val="none" w:sz="0" w:space="0" w:color="auto"/>
            <w:left w:val="none" w:sz="0" w:space="0" w:color="auto"/>
            <w:bottom w:val="none" w:sz="0" w:space="0" w:color="auto"/>
            <w:right w:val="none" w:sz="0" w:space="0" w:color="auto"/>
          </w:divBdr>
        </w:div>
        <w:div w:id="33625422">
          <w:marLeft w:val="547"/>
          <w:marRight w:val="0"/>
          <w:marTop w:val="0"/>
          <w:marBottom w:val="0"/>
          <w:divBdr>
            <w:top w:val="none" w:sz="0" w:space="0" w:color="auto"/>
            <w:left w:val="none" w:sz="0" w:space="0" w:color="auto"/>
            <w:bottom w:val="none" w:sz="0" w:space="0" w:color="auto"/>
            <w:right w:val="none" w:sz="0" w:space="0" w:color="auto"/>
          </w:divBdr>
        </w:div>
      </w:divsChild>
    </w:div>
    <w:div w:id="1517040028">
      <w:bodyDiv w:val="1"/>
      <w:marLeft w:val="0"/>
      <w:marRight w:val="0"/>
      <w:marTop w:val="0"/>
      <w:marBottom w:val="0"/>
      <w:divBdr>
        <w:top w:val="none" w:sz="0" w:space="0" w:color="auto"/>
        <w:left w:val="none" w:sz="0" w:space="0" w:color="auto"/>
        <w:bottom w:val="none" w:sz="0" w:space="0" w:color="auto"/>
        <w:right w:val="none" w:sz="0" w:space="0" w:color="auto"/>
      </w:divBdr>
      <w:divsChild>
        <w:div w:id="365984636">
          <w:marLeft w:val="360"/>
          <w:marRight w:val="0"/>
          <w:marTop w:val="115"/>
          <w:marBottom w:val="0"/>
          <w:divBdr>
            <w:top w:val="none" w:sz="0" w:space="0" w:color="auto"/>
            <w:left w:val="none" w:sz="0" w:space="0" w:color="auto"/>
            <w:bottom w:val="none" w:sz="0" w:space="0" w:color="auto"/>
            <w:right w:val="none" w:sz="0" w:space="0" w:color="auto"/>
          </w:divBdr>
        </w:div>
        <w:div w:id="355808874">
          <w:marLeft w:val="360"/>
          <w:marRight w:val="0"/>
          <w:marTop w:val="115"/>
          <w:marBottom w:val="0"/>
          <w:divBdr>
            <w:top w:val="none" w:sz="0" w:space="0" w:color="auto"/>
            <w:left w:val="none" w:sz="0" w:space="0" w:color="auto"/>
            <w:bottom w:val="none" w:sz="0" w:space="0" w:color="auto"/>
            <w:right w:val="none" w:sz="0" w:space="0" w:color="auto"/>
          </w:divBdr>
        </w:div>
        <w:div w:id="1836334697">
          <w:marLeft w:val="360"/>
          <w:marRight w:val="0"/>
          <w:marTop w:val="115"/>
          <w:marBottom w:val="0"/>
          <w:divBdr>
            <w:top w:val="none" w:sz="0" w:space="0" w:color="auto"/>
            <w:left w:val="none" w:sz="0" w:space="0" w:color="auto"/>
            <w:bottom w:val="none" w:sz="0" w:space="0" w:color="auto"/>
            <w:right w:val="none" w:sz="0" w:space="0" w:color="auto"/>
          </w:divBdr>
        </w:div>
      </w:divsChild>
    </w:div>
    <w:div w:id="1536384871">
      <w:bodyDiv w:val="1"/>
      <w:marLeft w:val="0"/>
      <w:marRight w:val="0"/>
      <w:marTop w:val="0"/>
      <w:marBottom w:val="0"/>
      <w:divBdr>
        <w:top w:val="none" w:sz="0" w:space="0" w:color="auto"/>
        <w:left w:val="none" w:sz="0" w:space="0" w:color="auto"/>
        <w:bottom w:val="none" w:sz="0" w:space="0" w:color="auto"/>
        <w:right w:val="none" w:sz="0" w:space="0" w:color="auto"/>
      </w:divBdr>
    </w:div>
    <w:div w:id="1558278138">
      <w:bodyDiv w:val="1"/>
      <w:marLeft w:val="0"/>
      <w:marRight w:val="0"/>
      <w:marTop w:val="0"/>
      <w:marBottom w:val="0"/>
      <w:divBdr>
        <w:top w:val="none" w:sz="0" w:space="0" w:color="auto"/>
        <w:left w:val="none" w:sz="0" w:space="0" w:color="auto"/>
        <w:bottom w:val="none" w:sz="0" w:space="0" w:color="auto"/>
        <w:right w:val="none" w:sz="0" w:space="0" w:color="auto"/>
      </w:divBdr>
    </w:div>
    <w:div w:id="1560901048">
      <w:bodyDiv w:val="1"/>
      <w:marLeft w:val="0"/>
      <w:marRight w:val="0"/>
      <w:marTop w:val="0"/>
      <w:marBottom w:val="0"/>
      <w:divBdr>
        <w:top w:val="none" w:sz="0" w:space="0" w:color="auto"/>
        <w:left w:val="none" w:sz="0" w:space="0" w:color="auto"/>
        <w:bottom w:val="none" w:sz="0" w:space="0" w:color="auto"/>
        <w:right w:val="none" w:sz="0" w:space="0" w:color="auto"/>
      </w:divBdr>
    </w:div>
    <w:div w:id="1570651211">
      <w:bodyDiv w:val="1"/>
      <w:marLeft w:val="0"/>
      <w:marRight w:val="0"/>
      <w:marTop w:val="0"/>
      <w:marBottom w:val="0"/>
      <w:divBdr>
        <w:top w:val="none" w:sz="0" w:space="0" w:color="auto"/>
        <w:left w:val="none" w:sz="0" w:space="0" w:color="auto"/>
        <w:bottom w:val="none" w:sz="0" w:space="0" w:color="auto"/>
        <w:right w:val="none" w:sz="0" w:space="0" w:color="auto"/>
      </w:divBdr>
    </w:div>
    <w:div w:id="1573465160">
      <w:bodyDiv w:val="1"/>
      <w:marLeft w:val="0"/>
      <w:marRight w:val="0"/>
      <w:marTop w:val="0"/>
      <w:marBottom w:val="0"/>
      <w:divBdr>
        <w:top w:val="none" w:sz="0" w:space="0" w:color="auto"/>
        <w:left w:val="none" w:sz="0" w:space="0" w:color="auto"/>
        <w:bottom w:val="none" w:sz="0" w:space="0" w:color="auto"/>
        <w:right w:val="none" w:sz="0" w:space="0" w:color="auto"/>
      </w:divBdr>
    </w:div>
    <w:div w:id="1594120445">
      <w:bodyDiv w:val="1"/>
      <w:marLeft w:val="0"/>
      <w:marRight w:val="0"/>
      <w:marTop w:val="0"/>
      <w:marBottom w:val="0"/>
      <w:divBdr>
        <w:top w:val="none" w:sz="0" w:space="0" w:color="auto"/>
        <w:left w:val="none" w:sz="0" w:space="0" w:color="auto"/>
        <w:bottom w:val="none" w:sz="0" w:space="0" w:color="auto"/>
        <w:right w:val="none" w:sz="0" w:space="0" w:color="auto"/>
      </w:divBdr>
    </w:div>
    <w:div w:id="1600677055">
      <w:bodyDiv w:val="1"/>
      <w:marLeft w:val="0"/>
      <w:marRight w:val="0"/>
      <w:marTop w:val="0"/>
      <w:marBottom w:val="0"/>
      <w:divBdr>
        <w:top w:val="none" w:sz="0" w:space="0" w:color="auto"/>
        <w:left w:val="none" w:sz="0" w:space="0" w:color="auto"/>
        <w:bottom w:val="none" w:sz="0" w:space="0" w:color="auto"/>
        <w:right w:val="none" w:sz="0" w:space="0" w:color="auto"/>
      </w:divBdr>
    </w:div>
    <w:div w:id="1681465593">
      <w:bodyDiv w:val="1"/>
      <w:marLeft w:val="0"/>
      <w:marRight w:val="0"/>
      <w:marTop w:val="0"/>
      <w:marBottom w:val="0"/>
      <w:divBdr>
        <w:top w:val="none" w:sz="0" w:space="0" w:color="auto"/>
        <w:left w:val="none" w:sz="0" w:space="0" w:color="auto"/>
        <w:bottom w:val="none" w:sz="0" w:space="0" w:color="auto"/>
        <w:right w:val="none" w:sz="0" w:space="0" w:color="auto"/>
      </w:divBdr>
    </w:div>
    <w:div w:id="1691565141">
      <w:bodyDiv w:val="1"/>
      <w:marLeft w:val="0"/>
      <w:marRight w:val="0"/>
      <w:marTop w:val="0"/>
      <w:marBottom w:val="0"/>
      <w:divBdr>
        <w:top w:val="none" w:sz="0" w:space="0" w:color="auto"/>
        <w:left w:val="none" w:sz="0" w:space="0" w:color="auto"/>
        <w:bottom w:val="none" w:sz="0" w:space="0" w:color="auto"/>
        <w:right w:val="none" w:sz="0" w:space="0" w:color="auto"/>
      </w:divBdr>
      <w:divsChild>
        <w:div w:id="803473251">
          <w:marLeft w:val="547"/>
          <w:marRight w:val="0"/>
          <w:marTop w:val="0"/>
          <w:marBottom w:val="0"/>
          <w:divBdr>
            <w:top w:val="none" w:sz="0" w:space="0" w:color="auto"/>
            <w:left w:val="none" w:sz="0" w:space="0" w:color="auto"/>
            <w:bottom w:val="none" w:sz="0" w:space="0" w:color="auto"/>
            <w:right w:val="none" w:sz="0" w:space="0" w:color="auto"/>
          </w:divBdr>
        </w:div>
        <w:div w:id="813643349">
          <w:marLeft w:val="547"/>
          <w:marRight w:val="0"/>
          <w:marTop w:val="0"/>
          <w:marBottom w:val="0"/>
          <w:divBdr>
            <w:top w:val="none" w:sz="0" w:space="0" w:color="auto"/>
            <w:left w:val="none" w:sz="0" w:space="0" w:color="auto"/>
            <w:bottom w:val="none" w:sz="0" w:space="0" w:color="auto"/>
            <w:right w:val="none" w:sz="0" w:space="0" w:color="auto"/>
          </w:divBdr>
        </w:div>
      </w:divsChild>
    </w:div>
    <w:div w:id="1695229601">
      <w:bodyDiv w:val="1"/>
      <w:marLeft w:val="0"/>
      <w:marRight w:val="0"/>
      <w:marTop w:val="0"/>
      <w:marBottom w:val="0"/>
      <w:divBdr>
        <w:top w:val="none" w:sz="0" w:space="0" w:color="auto"/>
        <w:left w:val="none" w:sz="0" w:space="0" w:color="auto"/>
        <w:bottom w:val="none" w:sz="0" w:space="0" w:color="auto"/>
        <w:right w:val="none" w:sz="0" w:space="0" w:color="auto"/>
      </w:divBdr>
      <w:divsChild>
        <w:div w:id="1995377697">
          <w:marLeft w:val="806"/>
          <w:marRight w:val="0"/>
          <w:marTop w:val="106"/>
          <w:marBottom w:val="0"/>
          <w:divBdr>
            <w:top w:val="none" w:sz="0" w:space="0" w:color="auto"/>
            <w:left w:val="none" w:sz="0" w:space="0" w:color="auto"/>
            <w:bottom w:val="none" w:sz="0" w:space="0" w:color="auto"/>
            <w:right w:val="none" w:sz="0" w:space="0" w:color="auto"/>
          </w:divBdr>
        </w:div>
        <w:div w:id="2013141894">
          <w:marLeft w:val="806"/>
          <w:marRight w:val="0"/>
          <w:marTop w:val="106"/>
          <w:marBottom w:val="0"/>
          <w:divBdr>
            <w:top w:val="none" w:sz="0" w:space="0" w:color="auto"/>
            <w:left w:val="none" w:sz="0" w:space="0" w:color="auto"/>
            <w:bottom w:val="none" w:sz="0" w:space="0" w:color="auto"/>
            <w:right w:val="none" w:sz="0" w:space="0" w:color="auto"/>
          </w:divBdr>
        </w:div>
        <w:div w:id="496456632">
          <w:marLeft w:val="806"/>
          <w:marRight w:val="0"/>
          <w:marTop w:val="106"/>
          <w:marBottom w:val="0"/>
          <w:divBdr>
            <w:top w:val="none" w:sz="0" w:space="0" w:color="auto"/>
            <w:left w:val="none" w:sz="0" w:space="0" w:color="auto"/>
            <w:bottom w:val="none" w:sz="0" w:space="0" w:color="auto"/>
            <w:right w:val="none" w:sz="0" w:space="0" w:color="auto"/>
          </w:divBdr>
        </w:div>
        <w:div w:id="381367175">
          <w:marLeft w:val="806"/>
          <w:marRight w:val="0"/>
          <w:marTop w:val="106"/>
          <w:marBottom w:val="0"/>
          <w:divBdr>
            <w:top w:val="none" w:sz="0" w:space="0" w:color="auto"/>
            <w:left w:val="none" w:sz="0" w:space="0" w:color="auto"/>
            <w:bottom w:val="none" w:sz="0" w:space="0" w:color="auto"/>
            <w:right w:val="none" w:sz="0" w:space="0" w:color="auto"/>
          </w:divBdr>
        </w:div>
      </w:divsChild>
    </w:div>
    <w:div w:id="1706981628">
      <w:bodyDiv w:val="1"/>
      <w:marLeft w:val="0"/>
      <w:marRight w:val="0"/>
      <w:marTop w:val="0"/>
      <w:marBottom w:val="0"/>
      <w:divBdr>
        <w:top w:val="none" w:sz="0" w:space="0" w:color="auto"/>
        <w:left w:val="none" w:sz="0" w:space="0" w:color="auto"/>
        <w:bottom w:val="none" w:sz="0" w:space="0" w:color="auto"/>
        <w:right w:val="none" w:sz="0" w:space="0" w:color="auto"/>
      </w:divBdr>
      <w:divsChild>
        <w:div w:id="1617323074">
          <w:marLeft w:val="446"/>
          <w:marRight w:val="0"/>
          <w:marTop w:val="0"/>
          <w:marBottom w:val="0"/>
          <w:divBdr>
            <w:top w:val="none" w:sz="0" w:space="0" w:color="auto"/>
            <w:left w:val="none" w:sz="0" w:space="0" w:color="auto"/>
            <w:bottom w:val="none" w:sz="0" w:space="0" w:color="auto"/>
            <w:right w:val="none" w:sz="0" w:space="0" w:color="auto"/>
          </w:divBdr>
        </w:div>
      </w:divsChild>
    </w:div>
    <w:div w:id="1737821643">
      <w:bodyDiv w:val="1"/>
      <w:marLeft w:val="0"/>
      <w:marRight w:val="0"/>
      <w:marTop w:val="0"/>
      <w:marBottom w:val="0"/>
      <w:divBdr>
        <w:top w:val="none" w:sz="0" w:space="0" w:color="auto"/>
        <w:left w:val="none" w:sz="0" w:space="0" w:color="auto"/>
        <w:bottom w:val="none" w:sz="0" w:space="0" w:color="auto"/>
        <w:right w:val="none" w:sz="0" w:space="0" w:color="auto"/>
      </w:divBdr>
    </w:div>
    <w:div w:id="1807772571">
      <w:bodyDiv w:val="1"/>
      <w:marLeft w:val="0"/>
      <w:marRight w:val="0"/>
      <w:marTop w:val="0"/>
      <w:marBottom w:val="0"/>
      <w:divBdr>
        <w:top w:val="none" w:sz="0" w:space="0" w:color="auto"/>
        <w:left w:val="none" w:sz="0" w:space="0" w:color="auto"/>
        <w:bottom w:val="none" w:sz="0" w:space="0" w:color="auto"/>
        <w:right w:val="none" w:sz="0" w:space="0" w:color="auto"/>
      </w:divBdr>
      <w:divsChild>
        <w:div w:id="558325155">
          <w:marLeft w:val="806"/>
          <w:marRight w:val="0"/>
          <w:marTop w:val="106"/>
          <w:marBottom w:val="0"/>
          <w:divBdr>
            <w:top w:val="none" w:sz="0" w:space="0" w:color="auto"/>
            <w:left w:val="none" w:sz="0" w:space="0" w:color="auto"/>
            <w:bottom w:val="none" w:sz="0" w:space="0" w:color="auto"/>
            <w:right w:val="none" w:sz="0" w:space="0" w:color="auto"/>
          </w:divBdr>
        </w:div>
      </w:divsChild>
    </w:div>
    <w:div w:id="1843470542">
      <w:bodyDiv w:val="1"/>
      <w:marLeft w:val="0"/>
      <w:marRight w:val="0"/>
      <w:marTop w:val="0"/>
      <w:marBottom w:val="0"/>
      <w:divBdr>
        <w:top w:val="none" w:sz="0" w:space="0" w:color="auto"/>
        <w:left w:val="none" w:sz="0" w:space="0" w:color="auto"/>
        <w:bottom w:val="none" w:sz="0" w:space="0" w:color="auto"/>
        <w:right w:val="none" w:sz="0" w:space="0" w:color="auto"/>
      </w:divBdr>
    </w:div>
    <w:div w:id="1892381512">
      <w:bodyDiv w:val="1"/>
      <w:marLeft w:val="0"/>
      <w:marRight w:val="0"/>
      <w:marTop w:val="0"/>
      <w:marBottom w:val="0"/>
      <w:divBdr>
        <w:top w:val="none" w:sz="0" w:space="0" w:color="auto"/>
        <w:left w:val="none" w:sz="0" w:space="0" w:color="auto"/>
        <w:bottom w:val="none" w:sz="0" w:space="0" w:color="auto"/>
        <w:right w:val="none" w:sz="0" w:space="0" w:color="auto"/>
      </w:divBdr>
    </w:div>
    <w:div w:id="1904103862">
      <w:bodyDiv w:val="1"/>
      <w:marLeft w:val="0"/>
      <w:marRight w:val="0"/>
      <w:marTop w:val="0"/>
      <w:marBottom w:val="0"/>
      <w:divBdr>
        <w:top w:val="none" w:sz="0" w:space="0" w:color="auto"/>
        <w:left w:val="none" w:sz="0" w:space="0" w:color="auto"/>
        <w:bottom w:val="none" w:sz="0" w:space="0" w:color="auto"/>
        <w:right w:val="none" w:sz="0" w:space="0" w:color="auto"/>
      </w:divBdr>
    </w:div>
    <w:div w:id="1914585363">
      <w:bodyDiv w:val="1"/>
      <w:marLeft w:val="0"/>
      <w:marRight w:val="0"/>
      <w:marTop w:val="0"/>
      <w:marBottom w:val="0"/>
      <w:divBdr>
        <w:top w:val="none" w:sz="0" w:space="0" w:color="auto"/>
        <w:left w:val="none" w:sz="0" w:space="0" w:color="auto"/>
        <w:bottom w:val="none" w:sz="0" w:space="0" w:color="auto"/>
        <w:right w:val="none" w:sz="0" w:space="0" w:color="auto"/>
      </w:divBdr>
    </w:div>
    <w:div w:id="1936202502">
      <w:bodyDiv w:val="1"/>
      <w:marLeft w:val="0"/>
      <w:marRight w:val="0"/>
      <w:marTop w:val="0"/>
      <w:marBottom w:val="0"/>
      <w:divBdr>
        <w:top w:val="none" w:sz="0" w:space="0" w:color="auto"/>
        <w:left w:val="none" w:sz="0" w:space="0" w:color="auto"/>
        <w:bottom w:val="none" w:sz="0" w:space="0" w:color="auto"/>
        <w:right w:val="none" w:sz="0" w:space="0" w:color="auto"/>
      </w:divBdr>
    </w:div>
    <w:div w:id="1936356112">
      <w:bodyDiv w:val="1"/>
      <w:marLeft w:val="0"/>
      <w:marRight w:val="0"/>
      <w:marTop w:val="0"/>
      <w:marBottom w:val="0"/>
      <w:divBdr>
        <w:top w:val="none" w:sz="0" w:space="0" w:color="auto"/>
        <w:left w:val="none" w:sz="0" w:space="0" w:color="auto"/>
        <w:bottom w:val="none" w:sz="0" w:space="0" w:color="auto"/>
        <w:right w:val="none" w:sz="0" w:space="0" w:color="auto"/>
      </w:divBdr>
      <w:divsChild>
        <w:div w:id="69546308">
          <w:marLeft w:val="547"/>
          <w:marRight w:val="0"/>
          <w:marTop w:val="0"/>
          <w:marBottom w:val="0"/>
          <w:divBdr>
            <w:top w:val="none" w:sz="0" w:space="0" w:color="auto"/>
            <w:left w:val="none" w:sz="0" w:space="0" w:color="auto"/>
            <w:bottom w:val="none" w:sz="0" w:space="0" w:color="auto"/>
            <w:right w:val="none" w:sz="0" w:space="0" w:color="auto"/>
          </w:divBdr>
        </w:div>
        <w:div w:id="1168669806">
          <w:marLeft w:val="547"/>
          <w:marRight w:val="0"/>
          <w:marTop w:val="0"/>
          <w:marBottom w:val="0"/>
          <w:divBdr>
            <w:top w:val="none" w:sz="0" w:space="0" w:color="auto"/>
            <w:left w:val="none" w:sz="0" w:space="0" w:color="auto"/>
            <w:bottom w:val="none" w:sz="0" w:space="0" w:color="auto"/>
            <w:right w:val="none" w:sz="0" w:space="0" w:color="auto"/>
          </w:divBdr>
        </w:div>
        <w:div w:id="1003821820">
          <w:marLeft w:val="547"/>
          <w:marRight w:val="0"/>
          <w:marTop w:val="0"/>
          <w:marBottom w:val="0"/>
          <w:divBdr>
            <w:top w:val="none" w:sz="0" w:space="0" w:color="auto"/>
            <w:left w:val="none" w:sz="0" w:space="0" w:color="auto"/>
            <w:bottom w:val="none" w:sz="0" w:space="0" w:color="auto"/>
            <w:right w:val="none" w:sz="0" w:space="0" w:color="auto"/>
          </w:divBdr>
        </w:div>
        <w:div w:id="736827409">
          <w:marLeft w:val="547"/>
          <w:marRight w:val="0"/>
          <w:marTop w:val="0"/>
          <w:marBottom w:val="0"/>
          <w:divBdr>
            <w:top w:val="none" w:sz="0" w:space="0" w:color="auto"/>
            <w:left w:val="none" w:sz="0" w:space="0" w:color="auto"/>
            <w:bottom w:val="none" w:sz="0" w:space="0" w:color="auto"/>
            <w:right w:val="none" w:sz="0" w:space="0" w:color="auto"/>
          </w:divBdr>
        </w:div>
        <w:div w:id="1998878517">
          <w:marLeft w:val="547"/>
          <w:marRight w:val="0"/>
          <w:marTop w:val="0"/>
          <w:marBottom w:val="0"/>
          <w:divBdr>
            <w:top w:val="none" w:sz="0" w:space="0" w:color="auto"/>
            <w:left w:val="none" w:sz="0" w:space="0" w:color="auto"/>
            <w:bottom w:val="none" w:sz="0" w:space="0" w:color="auto"/>
            <w:right w:val="none" w:sz="0" w:space="0" w:color="auto"/>
          </w:divBdr>
        </w:div>
      </w:divsChild>
    </w:div>
    <w:div w:id="1951089748">
      <w:bodyDiv w:val="1"/>
      <w:marLeft w:val="0"/>
      <w:marRight w:val="0"/>
      <w:marTop w:val="0"/>
      <w:marBottom w:val="0"/>
      <w:divBdr>
        <w:top w:val="none" w:sz="0" w:space="0" w:color="auto"/>
        <w:left w:val="none" w:sz="0" w:space="0" w:color="auto"/>
        <w:bottom w:val="none" w:sz="0" w:space="0" w:color="auto"/>
        <w:right w:val="none" w:sz="0" w:space="0" w:color="auto"/>
      </w:divBdr>
    </w:div>
    <w:div w:id="1983656574">
      <w:bodyDiv w:val="1"/>
      <w:marLeft w:val="0"/>
      <w:marRight w:val="0"/>
      <w:marTop w:val="0"/>
      <w:marBottom w:val="0"/>
      <w:divBdr>
        <w:top w:val="none" w:sz="0" w:space="0" w:color="auto"/>
        <w:left w:val="none" w:sz="0" w:space="0" w:color="auto"/>
        <w:bottom w:val="none" w:sz="0" w:space="0" w:color="auto"/>
        <w:right w:val="none" w:sz="0" w:space="0" w:color="auto"/>
      </w:divBdr>
    </w:div>
    <w:div w:id="2006005666">
      <w:bodyDiv w:val="1"/>
      <w:marLeft w:val="0"/>
      <w:marRight w:val="0"/>
      <w:marTop w:val="0"/>
      <w:marBottom w:val="0"/>
      <w:divBdr>
        <w:top w:val="none" w:sz="0" w:space="0" w:color="auto"/>
        <w:left w:val="none" w:sz="0" w:space="0" w:color="auto"/>
        <w:bottom w:val="none" w:sz="0" w:space="0" w:color="auto"/>
        <w:right w:val="none" w:sz="0" w:space="0" w:color="auto"/>
      </w:divBdr>
      <w:divsChild>
        <w:div w:id="2059934247">
          <w:marLeft w:val="547"/>
          <w:marRight w:val="0"/>
          <w:marTop w:val="0"/>
          <w:marBottom w:val="0"/>
          <w:divBdr>
            <w:top w:val="none" w:sz="0" w:space="0" w:color="auto"/>
            <w:left w:val="none" w:sz="0" w:space="0" w:color="auto"/>
            <w:bottom w:val="none" w:sz="0" w:space="0" w:color="auto"/>
            <w:right w:val="none" w:sz="0" w:space="0" w:color="auto"/>
          </w:divBdr>
        </w:div>
        <w:div w:id="656955060">
          <w:marLeft w:val="547"/>
          <w:marRight w:val="0"/>
          <w:marTop w:val="0"/>
          <w:marBottom w:val="0"/>
          <w:divBdr>
            <w:top w:val="none" w:sz="0" w:space="0" w:color="auto"/>
            <w:left w:val="none" w:sz="0" w:space="0" w:color="auto"/>
            <w:bottom w:val="none" w:sz="0" w:space="0" w:color="auto"/>
            <w:right w:val="none" w:sz="0" w:space="0" w:color="auto"/>
          </w:divBdr>
        </w:div>
        <w:div w:id="1208295106">
          <w:marLeft w:val="547"/>
          <w:marRight w:val="0"/>
          <w:marTop w:val="0"/>
          <w:marBottom w:val="0"/>
          <w:divBdr>
            <w:top w:val="none" w:sz="0" w:space="0" w:color="auto"/>
            <w:left w:val="none" w:sz="0" w:space="0" w:color="auto"/>
            <w:bottom w:val="none" w:sz="0" w:space="0" w:color="auto"/>
            <w:right w:val="none" w:sz="0" w:space="0" w:color="auto"/>
          </w:divBdr>
        </w:div>
      </w:divsChild>
    </w:div>
    <w:div w:id="2016960687">
      <w:bodyDiv w:val="1"/>
      <w:marLeft w:val="0"/>
      <w:marRight w:val="0"/>
      <w:marTop w:val="0"/>
      <w:marBottom w:val="0"/>
      <w:divBdr>
        <w:top w:val="none" w:sz="0" w:space="0" w:color="auto"/>
        <w:left w:val="none" w:sz="0" w:space="0" w:color="auto"/>
        <w:bottom w:val="none" w:sz="0" w:space="0" w:color="auto"/>
        <w:right w:val="none" w:sz="0" w:space="0" w:color="auto"/>
      </w:divBdr>
      <w:divsChild>
        <w:div w:id="1275865178">
          <w:marLeft w:val="547"/>
          <w:marRight w:val="0"/>
          <w:marTop w:val="0"/>
          <w:marBottom w:val="0"/>
          <w:divBdr>
            <w:top w:val="none" w:sz="0" w:space="0" w:color="auto"/>
            <w:left w:val="none" w:sz="0" w:space="0" w:color="auto"/>
            <w:bottom w:val="none" w:sz="0" w:space="0" w:color="auto"/>
            <w:right w:val="none" w:sz="0" w:space="0" w:color="auto"/>
          </w:divBdr>
        </w:div>
        <w:div w:id="445807327">
          <w:marLeft w:val="547"/>
          <w:marRight w:val="0"/>
          <w:marTop w:val="0"/>
          <w:marBottom w:val="0"/>
          <w:divBdr>
            <w:top w:val="none" w:sz="0" w:space="0" w:color="auto"/>
            <w:left w:val="none" w:sz="0" w:space="0" w:color="auto"/>
            <w:bottom w:val="none" w:sz="0" w:space="0" w:color="auto"/>
            <w:right w:val="none" w:sz="0" w:space="0" w:color="auto"/>
          </w:divBdr>
        </w:div>
        <w:div w:id="357437851">
          <w:marLeft w:val="547"/>
          <w:marRight w:val="0"/>
          <w:marTop w:val="0"/>
          <w:marBottom w:val="0"/>
          <w:divBdr>
            <w:top w:val="none" w:sz="0" w:space="0" w:color="auto"/>
            <w:left w:val="none" w:sz="0" w:space="0" w:color="auto"/>
            <w:bottom w:val="none" w:sz="0" w:space="0" w:color="auto"/>
            <w:right w:val="none" w:sz="0" w:space="0" w:color="auto"/>
          </w:divBdr>
        </w:div>
      </w:divsChild>
    </w:div>
    <w:div w:id="2122722220">
      <w:bodyDiv w:val="1"/>
      <w:marLeft w:val="0"/>
      <w:marRight w:val="0"/>
      <w:marTop w:val="0"/>
      <w:marBottom w:val="0"/>
      <w:divBdr>
        <w:top w:val="none" w:sz="0" w:space="0" w:color="auto"/>
        <w:left w:val="none" w:sz="0" w:space="0" w:color="auto"/>
        <w:bottom w:val="none" w:sz="0" w:space="0" w:color="auto"/>
        <w:right w:val="none" w:sz="0" w:space="0" w:color="auto"/>
      </w:divBdr>
    </w:div>
    <w:div w:id="2122842734">
      <w:bodyDiv w:val="1"/>
      <w:marLeft w:val="0"/>
      <w:marRight w:val="0"/>
      <w:marTop w:val="0"/>
      <w:marBottom w:val="0"/>
      <w:divBdr>
        <w:top w:val="none" w:sz="0" w:space="0" w:color="auto"/>
        <w:left w:val="none" w:sz="0" w:space="0" w:color="auto"/>
        <w:bottom w:val="none" w:sz="0" w:space="0" w:color="auto"/>
        <w:right w:val="none" w:sz="0" w:space="0" w:color="auto"/>
      </w:divBdr>
      <w:divsChild>
        <w:div w:id="2040888865">
          <w:marLeft w:val="446"/>
          <w:marRight w:val="0"/>
          <w:marTop w:val="0"/>
          <w:marBottom w:val="0"/>
          <w:divBdr>
            <w:top w:val="none" w:sz="0" w:space="0" w:color="auto"/>
            <w:left w:val="none" w:sz="0" w:space="0" w:color="auto"/>
            <w:bottom w:val="none" w:sz="0" w:space="0" w:color="auto"/>
            <w:right w:val="none" w:sz="0" w:space="0" w:color="auto"/>
          </w:divBdr>
        </w:div>
        <w:div w:id="921332593">
          <w:marLeft w:val="446"/>
          <w:marRight w:val="0"/>
          <w:marTop w:val="0"/>
          <w:marBottom w:val="0"/>
          <w:divBdr>
            <w:top w:val="none" w:sz="0" w:space="0" w:color="auto"/>
            <w:left w:val="none" w:sz="0" w:space="0" w:color="auto"/>
            <w:bottom w:val="none" w:sz="0" w:space="0" w:color="auto"/>
            <w:right w:val="none" w:sz="0" w:space="0" w:color="auto"/>
          </w:divBdr>
        </w:div>
      </w:divsChild>
    </w:div>
    <w:div w:id="2124570698">
      <w:bodyDiv w:val="1"/>
      <w:marLeft w:val="0"/>
      <w:marRight w:val="0"/>
      <w:marTop w:val="0"/>
      <w:marBottom w:val="0"/>
      <w:divBdr>
        <w:top w:val="none" w:sz="0" w:space="0" w:color="auto"/>
        <w:left w:val="none" w:sz="0" w:space="0" w:color="auto"/>
        <w:bottom w:val="none" w:sz="0" w:space="0" w:color="auto"/>
        <w:right w:val="none" w:sz="0" w:space="0" w:color="auto"/>
      </w:divBdr>
      <w:divsChild>
        <w:div w:id="2134977097">
          <w:marLeft w:val="806"/>
          <w:marRight w:val="0"/>
          <w:marTop w:val="106"/>
          <w:marBottom w:val="0"/>
          <w:divBdr>
            <w:top w:val="none" w:sz="0" w:space="0" w:color="auto"/>
            <w:left w:val="none" w:sz="0" w:space="0" w:color="auto"/>
            <w:bottom w:val="none" w:sz="0" w:space="0" w:color="auto"/>
            <w:right w:val="none" w:sz="0" w:space="0" w:color="auto"/>
          </w:divBdr>
        </w:div>
        <w:div w:id="2027094567">
          <w:marLeft w:val="806"/>
          <w:marRight w:val="0"/>
          <w:marTop w:val="106"/>
          <w:marBottom w:val="0"/>
          <w:divBdr>
            <w:top w:val="none" w:sz="0" w:space="0" w:color="auto"/>
            <w:left w:val="none" w:sz="0" w:space="0" w:color="auto"/>
            <w:bottom w:val="none" w:sz="0" w:space="0" w:color="auto"/>
            <w:right w:val="none" w:sz="0" w:space="0" w:color="auto"/>
          </w:divBdr>
        </w:div>
        <w:div w:id="1610776327">
          <w:marLeft w:val="806"/>
          <w:marRight w:val="0"/>
          <w:marTop w:val="106"/>
          <w:marBottom w:val="0"/>
          <w:divBdr>
            <w:top w:val="none" w:sz="0" w:space="0" w:color="auto"/>
            <w:left w:val="none" w:sz="0" w:space="0" w:color="auto"/>
            <w:bottom w:val="none" w:sz="0" w:space="0" w:color="auto"/>
            <w:right w:val="none" w:sz="0" w:space="0" w:color="auto"/>
          </w:divBdr>
        </w:div>
        <w:div w:id="1415787270">
          <w:marLeft w:val="806"/>
          <w:marRight w:val="0"/>
          <w:marTop w:val="106"/>
          <w:marBottom w:val="0"/>
          <w:divBdr>
            <w:top w:val="none" w:sz="0" w:space="0" w:color="auto"/>
            <w:left w:val="none" w:sz="0" w:space="0" w:color="auto"/>
            <w:bottom w:val="none" w:sz="0" w:space="0" w:color="auto"/>
            <w:right w:val="none" w:sz="0" w:space="0" w:color="auto"/>
          </w:divBdr>
        </w:div>
      </w:divsChild>
    </w:div>
    <w:div w:id="21299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AF199-7BD7-4E79-A00A-40E108F1E42B}">
  <ds:schemaRefs>
    <ds:schemaRef ds:uri="http://schemas.openxmlformats.org/officeDocument/2006/bibliography"/>
  </ds:schemaRefs>
</ds:datastoreItem>
</file>

<file path=customXml/itemProps2.xml><?xml version="1.0" encoding="utf-8"?>
<ds:datastoreItem xmlns:ds="http://schemas.openxmlformats.org/officeDocument/2006/customXml" ds:itemID="{1CDADC56-E88E-419A-B7A7-69D85C53EDAD}">
  <ds:schemaRefs>
    <ds:schemaRef ds:uri="http://schemas.openxmlformats.org/officeDocument/2006/bibliography"/>
  </ds:schemaRefs>
</ds:datastoreItem>
</file>

<file path=customXml/itemProps3.xml><?xml version="1.0" encoding="utf-8"?>
<ds:datastoreItem xmlns:ds="http://schemas.openxmlformats.org/officeDocument/2006/customXml" ds:itemID="{E11FCF00-AA3E-4EBD-B567-0B13135F1317}">
  <ds:schemaRefs>
    <ds:schemaRef ds:uri="http://schemas.openxmlformats.org/officeDocument/2006/bibliography"/>
  </ds:schemaRefs>
</ds:datastoreItem>
</file>

<file path=customXml/itemProps4.xml><?xml version="1.0" encoding="utf-8"?>
<ds:datastoreItem xmlns:ds="http://schemas.openxmlformats.org/officeDocument/2006/customXml" ds:itemID="{11D39A2C-30E6-4AF7-816B-39F22757EEA3}">
  <ds:schemaRefs>
    <ds:schemaRef ds:uri="http://schemas.openxmlformats.org/officeDocument/2006/bibliography"/>
  </ds:schemaRefs>
</ds:datastoreItem>
</file>

<file path=customXml/itemProps5.xml><?xml version="1.0" encoding="utf-8"?>
<ds:datastoreItem xmlns:ds="http://schemas.openxmlformats.org/officeDocument/2006/customXml" ds:itemID="{700BCFA5-2E5B-4A14-ADAE-4678FE163869}">
  <ds:schemaRefs>
    <ds:schemaRef ds:uri="http://schemas.openxmlformats.org/officeDocument/2006/bibliography"/>
  </ds:schemaRefs>
</ds:datastoreItem>
</file>

<file path=customXml/itemProps6.xml><?xml version="1.0" encoding="utf-8"?>
<ds:datastoreItem xmlns:ds="http://schemas.openxmlformats.org/officeDocument/2006/customXml" ds:itemID="{5A469254-6354-4394-B850-64A08B9F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3913</Words>
  <Characters>22307</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Alexander (HHS/ONC)</dc:creator>
  <cp:lastModifiedBy>Ashley Griffin</cp:lastModifiedBy>
  <cp:revision>2</cp:revision>
  <cp:lastPrinted>2014-01-08T20:45:00Z</cp:lastPrinted>
  <dcterms:created xsi:type="dcterms:W3CDTF">2014-02-19T21:02:00Z</dcterms:created>
  <dcterms:modified xsi:type="dcterms:W3CDTF">2014-02-19T21:02:00Z</dcterms:modified>
</cp:coreProperties>
</file>