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6D" w:rsidRDefault="00B2086D" w:rsidP="00B2086D"/>
    <w:p w:rsidR="00B2086D" w:rsidRDefault="00B2086D" w:rsidP="00B2086D">
      <w:r>
        <w:t>May 1, 2015</w:t>
      </w:r>
    </w:p>
    <w:p w:rsidR="00B2086D" w:rsidRDefault="00B2086D" w:rsidP="00B2086D">
      <w:pPr>
        <w:pStyle w:val="NoSpacing"/>
      </w:pPr>
      <w:r>
        <w:t xml:space="preserve">Dr. Karen </w:t>
      </w:r>
      <w:proofErr w:type="spellStart"/>
      <w:r>
        <w:t>DeSalvo</w:t>
      </w:r>
      <w:proofErr w:type="spellEnd"/>
    </w:p>
    <w:p w:rsidR="00B2086D" w:rsidRDefault="00B2086D" w:rsidP="00B2086D">
      <w:pPr>
        <w:pStyle w:val="NoSpacing"/>
      </w:pPr>
      <w:r>
        <w:t>Office of the National Coordinator for Health Information Technology</w:t>
      </w:r>
    </w:p>
    <w:p w:rsidR="00B2086D" w:rsidRDefault="00B2086D" w:rsidP="00B2086D">
      <w:pPr>
        <w:pStyle w:val="NoSpacing"/>
      </w:pPr>
      <w:r>
        <w:t>U.S. Department of Health and Human Services</w:t>
      </w:r>
    </w:p>
    <w:p w:rsidR="00B2086D" w:rsidRDefault="00B2086D" w:rsidP="00B2086D">
      <w:pPr>
        <w:pStyle w:val="NoSpacing"/>
      </w:pPr>
    </w:p>
    <w:p w:rsidR="00B2086D" w:rsidRDefault="00B2086D" w:rsidP="00B2086D">
      <w:r>
        <w:t>RE: ONC 2015 Interoperability Standards Advisory</w:t>
      </w:r>
    </w:p>
    <w:p w:rsidR="00B2086D" w:rsidRDefault="00B2086D" w:rsidP="00B2086D">
      <w:r>
        <w:t xml:space="preserve">Dear Dr. </w:t>
      </w:r>
      <w:proofErr w:type="spellStart"/>
      <w:r>
        <w:t>DeSalvo</w:t>
      </w:r>
      <w:proofErr w:type="spellEnd"/>
      <w:r>
        <w:t>,</w:t>
      </w:r>
    </w:p>
    <w:p w:rsidR="00B2086D" w:rsidRDefault="00B2086D" w:rsidP="00B2086D">
      <w:r>
        <w:t>On behalf of the Indian Health Service, the federal agency responsible for providing federal health services to American Indians and Alaska Natives, operating the Resource and Patient Management System (RPMS) electronic health record system in 34 states,  we are pleased to submit comments on</w:t>
      </w:r>
      <w:r w:rsidRPr="008349AA">
        <w:t xml:space="preserve"> ONC’s</w:t>
      </w:r>
      <w:r>
        <w:rPr>
          <w:b/>
          <w:i/>
        </w:rPr>
        <w:t xml:space="preserve"> </w:t>
      </w:r>
      <w:r w:rsidRPr="008349AA">
        <w:rPr>
          <w:b/>
          <w:i/>
        </w:rPr>
        <w:t>2015 Interoperability Standards Advisory</w:t>
      </w:r>
      <w:r>
        <w:rPr>
          <w:b/>
          <w:i/>
        </w:rPr>
        <w:t>: Best Available Standards and Implementation Specifications</w:t>
      </w:r>
      <w:r>
        <w:t xml:space="preserve">.  As we strive to connect our providers to Immunization Information Systems in multiple </w:t>
      </w:r>
      <w:proofErr w:type="gramStart"/>
      <w:r>
        <w:t>state</w:t>
      </w:r>
      <w:proofErr w:type="gramEnd"/>
      <w:r>
        <w:t xml:space="preserve"> using our certified EHR, we are particularly interested in informing standards specifications. </w:t>
      </w:r>
    </w:p>
    <w:p w:rsidR="00B2086D" w:rsidRDefault="00B2086D" w:rsidP="00B2086D">
      <w:r>
        <w:t xml:space="preserve">Please contact </w:t>
      </w:r>
      <w:r w:rsidR="0013143E">
        <w:t xml:space="preserve">Mark Rives, IHS Chief Information officer, </w:t>
      </w:r>
      <w:r w:rsidRPr="00EB10E7">
        <w:t>with any questions:</w:t>
      </w:r>
      <w:r>
        <w:t xml:space="preserve"> </w:t>
      </w:r>
      <w:r w:rsidR="0013143E">
        <w:t>Mark.Rives@ihs.gov</w:t>
      </w:r>
      <w:r w:rsidRPr="00EB10E7">
        <w:t xml:space="preserve">. </w:t>
      </w:r>
    </w:p>
    <w:p w:rsidR="00B2086D" w:rsidRDefault="00B2086D" w:rsidP="00B2086D">
      <w:r>
        <w:t xml:space="preserve">We are encouraged by ONC’s efforts to coordinate the adoption of standards specifications across agencies, and we look forward to supporting our providers and hospitals through </w:t>
      </w:r>
      <w:r w:rsidR="008747A4">
        <w:t xml:space="preserve">the </w:t>
      </w:r>
      <w:r>
        <w:t xml:space="preserve">adoption of selected standards.  </w:t>
      </w:r>
    </w:p>
    <w:p w:rsidR="00B2086D" w:rsidRDefault="0013143E" w:rsidP="00B2086D">
      <w:r>
        <w:t>Sincerely,</w:t>
      </w:r>
    </w:p>
    <w:p w:rsidR="0013143E" w:rsidRDefault="0013143E" w:rsidP="00B2086D">
      <w:r>
        <w:t>Mark Rives</w:t>
      </w:r>
    </w:p>
    <w:p w:rsidR="0013143E" w:rsidRDefault="0013143E" w:rsidP="00B2086D">
      <w:r>
        <w:t xml:space="preserve">IHS Chief </w:t>
      </w:r>
      <w:proofErr w:type="gramStart"/>
      <w:r>
        <w:t>information</w:t>
      </w:r>
      <w:proofErr w:type="gramEnd"/>
      <w:r>
        <w:t xml:space="preserve"> Officer</w:t>
      </w:r>
    </w:p>
    <w:p w:rsidR="00B2086D" w:rsidRDefault="00B2086D" w:rsidP="00B2086D"/>
    <w:p w:rsidR="00B2086D" w:rsidRDefault="00B2086D" w:rsidP="00B2086D">
      <w:r>
        <w:br w:type="page"/>
      </w:r>
    </w:p>
    <w:p w:rsidR="00B2086D" w:rsidRDefault="00B2086D" w:rsidP="00B2086D">
      <w:pPr>
        <w:pStyle w:val="Heading1"/>
      </w:pPr>
      <w:r>
        <w:lastRenderedPageBreak/>
        <w:t>Comments on the ONC Interoperability Standards Advisory</w:t>
      </w:r>
    </w:p>
    <w:p w:rsidR="00B2086D" w:rsidRDefault="00B2086D" w:rsidP="00B2086D">
      <w:pPr>
        <w:pStyle w:val="Heading3"/>
      </w:pPr>
      <w:r>
        <w:t xml:space="preserve">By: Indian Health Service </w:t>
      </w:r>
    </w:p>
    <w:p w:rsidR="00B2086D" w:rsidRDefault="00B2086D" w:rsidP="00B2086D"/>
    <w:tbl>
      <w:tblPr>
        <w:tblStyle w:val="TableGrid"/>
        <w:tblW w:w="9350" w:type="dxa"/>
        <w:tblLayout w:type="fixed"/>
        <w:tblLook w:val="04A0" w:firstRow="1" w:lastRow="0" w:firstColumn="1" w:lastColumn="0" w:noHBand="0" w:noVBand="1"/>
      </w:tblPr>
      <w:tblGrid>
        <w:gridCol w:w="1705"/>
        <w:gridCol w:w="2610"/>
        <w:gridCol w:w="5035"/>
      </w:tblGrid>
      <w:tr w:rsidR="00B2086D" w:rsidRPr="004E3224" w:rsidTr="001E1065">
        <w:tc>
          <w:tcPr>
            <w:tcW w:w="1705" w:type="dxa"/>
          </w:tcPr>
          <w:p w:rsidR="00B2086D" w:rsidRPr="004E3224" w:rsidRDefault="00B2086D" w:rsidP="001E1065">
            <w:pPr>
              <w:rPr>
                <w:rFonts w:ascii="Gill Sans MT" w:hAnsi="Gill Sans MT"/>
                <w:b/>
                <w:i/>
              </w:rPr>
            </w:pPr>
            <w:r w:rsidRPr="004E3224">
              <w:rPr>
                <w:rFonts w:ascii="Gill Sans MT" w:hAnsi="Gill Sans MT"/>
                <w:b/>
                <w:i/>
              </w:rPr>
              <w:t>Section/ Page Number</w:t>
            </w:r>
          </w:p>
        </w:tc>
        <w:tc>
          <w:tcPr>
            <w:tcW w:w="2610" w:type="dxa"/>
          </w:tcPr>
          <w:p w:rsidR="00B2086D" w:rsidRPr="004E3224" w:rsidRDefault="00B2086D" w:rsidP="001E1065">
            <w:pPr>
              <w:rPr>
                <w:rFonts w:ascii="Gill Sans MT" w:hAnsi="Gill Sans MT"/>
                <w:b/>
                <w:i/>
              </w:rPr>
            </w:pPr>
            <w:r w:rsidRPr="004E3224">
              <w:rPr>
                <w:rFonts w:ascii="Gill Sans MT" w:hAnsi="Gill Sans MT"/>
                <w:b/>
                <w:i/>
              </w:rPr>
              <w:t>Excerpt</w:t>
            </w:r>
          </w:p>
        </w:tc>
        <w:tc>
          <w:tcPr>
            <w:tcW w:w="5035" w:type="dxa"/>
          </w:tcPr>
          <w:p w:rsidR="00B2086D" w:rsidRPr="004E3224" w:rsidRDefault="00B2086D" w:rsidP="001E1065">
            <w:pPr>
              <w:rPr>
                <w:rFonts w:ascii="Gill Sans MT" w:hAnsi="Gill Sans MT"/>
                <w:b/>
                <w:i/>
              </w:rPr>
            </w:pPr>
            <w:r w:rsidRPr="004E3224">
              <w:rPr>
                <w:rFonts w:ascii="Gill Sans MT" w:hAnsi="Gill Sans MT"/>
                <w:b/>
                <w:i/>
              </w:rPr>
              <w:t>Comment</w:t>
            </w:r>
          </w:p>
        </w:tc>
      </w:tr>
      <w:tr w:rsidR="00B2086D" w:rsidTr="001E1065">
        <w:tc>
          <w:tcPr>
            <w:tcW w:w="1705" w:type="dxa"/>
          </w:tcPr>
          <w:p w:rsidR="00B2086D" w:rsidRDefault="00B2086D" w:rsidP="001E1065">
            <w:pPr>
              <w:rPr>
                <w:rFonts w:ascii="Gill Sans MT" w:hAnsi="Gill Sans MT"/>
              </w:rPr>
            </w:pPr>
            <w:r>
              <w:rPr>
                <w:rFonts w:ascii="Gill Sans MT" w:hAnsi="Gill Sans MT"/>
              </w:rPr>
              <w:t>Section I: Best Available Vocabulary/ Code Set/ Terminology Standards and Implementation Specifications</w:t>
            </w:r>
          </w:p>
          <w:p w:rsidR="00B2086D" w:rsidRPr="004E3224" w:rsidRDefault="00B2086D" w:rsidP="001E1065">
            <w:pPr>
              <w:rPr>
                <w:rFonts w:ascii="Gill Sans MT" w:hAnsi="Gill Sans MT"/>
              </w:rPr>
            </w:pPr>
            <w:r>
              <w:rPr>
                <w:rFonts w:ascii="Gill Sans MT" w:hAnsi="Gill Sans MT"/>
              </w:rPr>
              <w:t>Page 7</w:t>
            </w:r>
          </w:p>
        </w:tc>
        <w:tc>
          <w:tcPr>
            <w:tcW w:w="2610" w:type="dxa"/>
          </w:tcPr>
          <w:p w:rsidR="00B2086D" w:rsidRDefault="00B2086D" w:rsidP="001E1065">
            <w:pPr>
              <w:rPr>
                <w:rFonts w:ascii="Gill Sans MT" w:hAnsi="Gill Sans MT"/>
                <w:color w:val="000000" w:themeColor="text1"/>
              </w:rPr>
            </w:pPr>
            <w:r w:rsidRPr="002736F4">
              <w:rPr>
                <w:rFonts w:ascii="Gill Sans MT" w:hAnsi="Gill Sans MT"/>
                <w:color w:val="000000" w:themeColor="text1"/>
              </w:rPr>
              <w:t>Immunizations – Historical</w:t>
            </w:r>
          </w:p>
          <w:p w:rsidR="00B2086D" w:rsidRPr="002736F4" w:rsidRDefault="00B2086D" w:rsidP="001E1065">
            <w:pPr>
              <w:rPr>
                <w:rFonts w:ascii="Gill Sans MT" w:hAnsi="Gill Sans MT"/>
                <w:color w:val="000000" w:themeColor="text1"/>
              </w:rPr>
            </w:pPr>
          </w:p>
          <w:p w:rsidR="00B2086D" w:rsidRPr="002736F4" w:rsidRDefault="00B2086D" w:rsidP="001E1065">
            <w:pPr>
              <w:pStyle w:val="Default"/>
              <w:rPr>
                <w:rFonts w:ascii="Gill Sans MT" w:hAnsi="Gill Sans MT"/>
                <w:color w:val="000000" w:themeColor="text1"/>
                <w:sz w:val="22"/>
                <w:szCs w:val="22"/>
              </w:rPr>
            </w:pPr>
            <w:r w:rsidRPr="002736F4">
              <w:rPr>
                <w:rFonts w:ascii="Gill Sans MT" w:hAnsi="Gill Sans MT"/>
                <w:b/>
                <w:bCs/>
                <w:i/>
                <w:iCs/>
                <w:color w:val="000000" w:themeColor="text1"/>
                <w:sz w:val="22"/>
                <w:szCs w:val="22"/>
              </w:rPr>
              <w:t xml:space="preserve">[See Question #5-10] </w:t>
            </w:r>
          </w:p>
          <w:p w:rsidR="00B2086D" w:rsidRPr="002736F4" w:rsidRDefault="00B2086D" w:rsidP="001E1065">
            <w:pPr>
              <w:pStyle w:val="Default"/>
              <w:rPr>
                <w:rFonts w:ascii="Gill Sans MT" w:hAnsi="Gill Sans MT"/>
                <w:color w:val="000000" w:themeColor="text1"/>
                <w:sz w:val="22"/>
                <w:szCs w:val="22"/>
              </w:rPr>
            </w:pPr>
            <w:r w:rsidRPr="002736F4">
              <w:rPr>
                <w:rFonts w:ascii="Gill Sans MT" w:hAnsi="Gill Sans MT"/>
                <w:color w:val="000000" w:themeColor="text1"/>
                <w:sz w:val="22"/>
                <w:szCs w:val="22"/>
              </w:rPr>
              <w:t>•</w:t>
            </w:r>
            <w:r w:rsidRPr="002736F4">
              <w:rPr>
                <w:rFonts w:ascii="Gill Sans MT" w:hAnsi="Gill Sans MT"/>
                <w:b/>
                <w:bCs/>
                <w:color w:val="000000" w:themeColor="text1"/>
                <w:sz w:val="22"/>
                <w:szCs w:val="22"/>
              </w:rPr>
              <w:t xml:space="preserve">[R] </w:t>
            </w:r>
            <w:r w:rsidRPr="002736F4">
              <w:rPr>
                <w:rFonts w:ascii="Gill Sans MT" w:hAnsi="Gill Sans MT"/>
                <w:color w:val="000000" w:themeColor="text1"/>
                <w:sz w:val="22"/>
                <w:szCs w:val="22"/>
              </w:rPr>
              <w:t>HL7 Standard Code Set CVX—</w:t>
            </w:r>
            <w:proofErr w:type="spellStart"/>
            <w:r w:rsidRPr="002736F4">
              <w:rPr>
                <w:rFonts w:ascii="Gill Sans MT" w:hAnsi="Gill Sans MT"/>
                <w:color w:val="000000" w:themeColor="text1"/>
                <w:sz w:val="22"/>
                <w:szCs w:val="22"/>
              </w:rPr>
              <w:t>ClinicalVaccines</w:t>
            </w:r>
            <w:proofErr w:type="spellEnd"/>
            <w:r w:rsidRPr="002736F4">
              <w:rPr>
                <w:rFonts w:ascii="Gill Sans MT" w:hAnsi="Gill Sans MT"/>
                <w:color w:val="000000" w:themeColor="text1"/>
                <w:sz w:val="22"/>
                <w:szCs w:val="22"/>
              </w:rPr>
              <w:t xml:space="preserve"> Administered</w:t>
            </w:r>
          </w:p>
          <w:p w:rsidR="00B2086D" w:rsidRPr="002736F4" w:rsidRDefault="00B2086D" w:rsidP="001E1065">
            <w:pPr>
              <w:pStyle w:val="Default"/>
              <w:rPr>
                <w:rFonts w:ascii="Gill Sans MT" w:hAnsi="Gill Sans MT"/>
                <w:color w:val="000000" w:themeColor="text1"/>
                <w:sz w:val="22"/>
                <w:szCs w:val="22"/>
              </w:rPr>
            </w:pPr>
          </w:p>
          <w:p w:rsidR="00B2086D" w:rsidRDefault="00B2086D" w:rsidP="001E1065">
            <w:pPr>
              <w:pStyle w:val="Default"/>
              <w:rPr>
                <w:color w:val="0000FF"/>
                <w:sz w:val="20"/>
                <w:szCs w:val="20"/>
              </w:rPr>
            </w:pPr>
            <w:r w:rsidRPr="002736F4">
              <w:rPr>
                <w:rFonts w:ascii="Gill Sans MT" w:hAnsi="Gill Sans MT"/>
                <w:color w:val="000000" w:themeColor="text1"/>
                <w:sz w:val="22"/>
                <w:szCs w:val="22"/>
              </w:rPr>
              <w:t>•MVX (Manufacturing Vaccine Formulation)</w:t>
            </w:r>
          </w:p>
          <w:p w:rsidR="00B2086D" w:rsidRPr="004E3224" w:rsidRDefault="00B2086D" w:rsidP="001E1065">
            <w:pPr>
              <w:rPr>
                <w:rFonts w:ascii="Gill Sans MT" w:hAnsi="Gill Sans MT"/>
              </w:rPr>
            </w:pPr>
          </w:p>
        </w:tc>
        <w:tc>
          <w:tcPr>
            <w:tcW w:w="5035" w:type="dxa"/>
          </w:tcPr>
          <w:p w:rsidR="00B2086D" w:rsidRDefault="00CE44B0" w:rsidP="001E1065">
            <w:pPr>
              <w:rPr>
                <w:rFonts w:ascii="Gill Sans MT" w:hAnsi="Gill Sans MT"/>
              </w:rPr>
            </w:pPr>
            <w:r>
              <w:rPr>
                <w:rFonts w:ascii="Gill Sans MT" w:hAnsi="Gill Sans MT"/>
              </w:rPr>
              <w:t>IHS</w:t>
            </w:r>
            <w:r w:rsidR="00B2086D">
              <w:rPr>
                <w:rFonts w:ascii="Gill Sans MT" w:hAnsi="Gill Sans MT"/>
              </w:rPr>
              <w:t xml:space="preserve"> supports the inclusion of CVX as the primary method for reporting historical doses, and MVX as an additional data element when it is available, noting that MVX is not always known for a historical dose. When it is known, however, it provides helpful additional data to infer the brand of vaccine administered.</w:t>
            </w:r>
          </w:p>
          <w:p w:rsidR="00B2086D" w:rsidRDefault="00B2086D" w:rsidP="001E1065">
            <w:pPr>
              <w:rPr>
                <w:rFonts w:ascii="Gill Sans MT" w:hAnsi="Gill Sans MT"/>
              </w:rPr>
            </w:pPr>
          </w:p>
          <w:p w:rsidR="00B2086D" w:rsidRDefault="00CE44B0" w:rsidP="001E1065">
            <w:pPr>
              <w:rPr>
                <w:rFonts w:ascii="Gill Sans MT" w:hAnsi="Gill Sans MT"/>
              </w:rPr>
            </w:pPr>
            <w:r>
              <w:rPr>
                <w:rFonts w:ascii="Gill Sans MT" w:hAnsi="Gill Sans MT"/>
              </w:rPr>
              <w:t>IHS</w:t>
            </w:r>
            <w:r w:rsidR="00B2086D">
              <w:rPr>
                <w:rFonts w:ascii="Gill Sans MT" w:hAnsi="Gill Sans MT"/>
              </w:rPr>
              <w:t xml:space="preserve"> believes it is important to define the concepts of “administered” and “historical”, however.</w:t>
            </w:r>
          </w:p>
          <w:p w:rsidR="00B2086D" w:rsidRDefault="00B2086D" w:rsidP="001E1065">
            <w:pPr>
              <w:rPr>
                <w:rFonts w:ascii="Gill Sans MT" w:hAnsi="Gill Sans MT"/>
              </w:rPr>
            </w:pPr>
          </w:p>
          <w:p w:rsidR="00B2086D" w:rsidRPr="003A3146" w:rsidRDefault="00B2086D" w:rsidP="001E1065">
            <w:pPr>
              <w:pStyle w:val="Default"/>
              <w:adjustRightInd/>
              <w:rPr>
                <w:sz w:val="22"/>
                <w:szCs w:val="22"/>
              </w:rPr>
            </w:pPr>
            <w:r w:rsidRPr="003A3146">
              <w:rPr>
                <w:sz w:val="22"/>
                <w:szCs w:val="22"/>
              </w:rPr>
              <w:t>“Administered” value for the Administered/Historical Indicator points out that the</w:t>
            </w:r>
            <w:r>
              <w:rPr>
                <w:sz w:val="22"/>
                <w:szCs w:val="22"/>
              </w:rPr>
              <w:t xml:space="preserve"> Immunization Information System Authorized Organization (</w:t>
            </w:r>
            <w:r w:rsidRPr="003A3146">
              <w:rPr>
                <w:sz w:val="22"/>
                <w:szCs w:val="22"/>
              </w:rPr>
              <w:t>IIS-AO</w:t>
            </w:r>
            <w:r w:rsidR="00CE44B0">
              <w:rPr>
                <w:sz w:val="22"/>
                <w:szCs w:val="22"/>
              </w:rPr>
              <w:t xml:space="preserve">) such as an RPMS site or provider, </w:t>
            </w:r>
            <w:r w:rsidRPr="003A3146">
              <w:rPr>
                <w:sz w:val="22"/>
                <w:szCs w:val="22"/>
              </w:rPr>
              <w:t>submits its own Vaccination Event, i.e., attests that it conducted the Vaccination Event (“I am the Vaccinator IIS-AO”).</w:t>
            </w:r>
          </w:p>
          <w:p w:rsidR="00B2086D" w:rsidRPr="003A3146" w:rsidRDefault="00B2086D" w:rsidP="00B2086D">
            <w:pPr>
              <w:pStyle w:val="Default"/>
              <w:numPr>
                <w:ilvl w:val="0"/>
                <w:numId w:val="1"/>
              </w:numPr>
              <w:adjustRightInd/>
              <w:rPr>
                <w:sz w:val="22"/>
                <w:szCs w:val="22"/>
              </w:rPr>
            </w:pPr>
            <w:r w:rsidRPr="003A3146">
              <w:rPr>
                <w:sz w:val="22"/>
                <w:szCs w:val="22"/>
              </w:rPr>
              <w:t xml:space="preserve">In this case, expanded set of data items for a Vaccination Event Submission would be expected (this is the Best Practice -- see BR105R1, chapter 5). </w:t>
            </w:r>
          </w:p>
          <w:p w:rsidR="00B2086D" w:rsidRPr="003A3146" w:rsidRDefault="00B2086D" w:rsidP="00B2086D">
            <w:pPr>
              <w:pStyle w:val="Default"/>
              <w:numPr>
                <w:ilvl w:val="0"/>
                <w:numId w:val="1"/>
              </w:numPr>
              <w:adjustRightInd/>
              <w:rPr>
                <w:sz w:val="22"/>
                <w:szCs w:val="22"/>
              </w:rPr>
            </w:pPr>
            <w:r w:rsidRPr="003A3146">
              <w:rPr>
                <w:sz w:val="22"/>
                <w:szCs w:val="22"/>
              </w:rPr>
              <w:t>In some cases, IIS-AO submits its own Vaccination Event (“administered”), but does not have all expected information for the expanded set of data items. Following are three situations when a reduced set of data items for an “administered” Vaccination Event submission may be allowed (see BR105R2, chapter.</w:t>
            </w:r>
          </w:p>
          <w:p w:rsidR="00B2086D" w:rsidRPr="003A3146" w:rsidRDefault="00B2086D" w:rsidP="00B2086D">
            <w:pPr>
              <w:pStyle w:val="Default"/>
              <w:numPr>
                <w:ilvl w:val="1"/>
                <w:numId w:val="1"/>
              </w:numPr>
              <w:adjustRightInd/>
              <w:rPr>
                <w:sz w:val="22"/>
                <w:szCs w:val="22"/>
              </w:rPr>
            </w:pPr>
            <w:r w:rsidRPr="003A3146">
              <w:rPr>
                <w:sz w:val="22"/>
                <w:szCs w:val="22"/>
              </w:rPr>
              <w:t xml:space="preserve">Legacy immunizations. Example is an IIS-AO that begins reporting to (comes onboard) IIS and wants to submit information about Vaccination Events it conducted some time ago, before entering into an agreement with IIS. </w:t>
            </w:r>
          </w:p>
          <w:p w:rsidR="00B2086D" w:rsidRPr="003A3146" w:rsidRDefault="00B2086D" w:rsidP="00B2086D">
            <w:pPr>
              <w:pStyle w:val="Default"/>
              <w:numPr>
                <w:ilvl w:val="1"/>
                <w:numId w:val="1"/>
              </w:numPr>
              <w:adjustRightInd/>
              <w:rPr>
                <w:sz w:val="22"/>
                <w:szCs w:val="22"/>
              </w:rPr>
            </w:pPr>
            <w:r w:rsidRPr="003A3146">
              <w:rPr>
                <w:sz w:val="22"/>
                <w:szCs w:val="22"/>
              </w:rPr>
              <w:t xml:space="preserve">Limited EHR capacity. In some cases, EHR that IIS-AO uses does not support expanded set of data </w:t>
            </w:r>
            <w:r w:rsidRPr="003A3146">
              <w:rPr>
                <w:sz w:val="22"/>
                <w:szCs w:val="22"/>
              </w:rPr>
              <w:lastRenderedPageBreak/>
              <w:t>elements, so IIS-AO is not able to send them. IIS still wants the data and cannot mandate upgrade to EHR.</w:t>
            </w:r>
          </w:p>
          <w:p w:rsidR="00B2086D" w:rsidRPr="003A3146" w:rsidRDefault="00B2086D" w:rsidP="00B2086D">
            <w:pPr>
              <w:pStyle w:val="Default"/>
              <w:numPr>
                <w:ilvl w:val="2"/>
                <w:numId w:val="1"/>
              </w:numPr>
              <w:adjustRightInd/>
              <w:rPr>
                <w:sz w:val="22"/>
                <w:szCs w:val="22"/>
              </w:rPr>
            </w:pPr>
            <w:r w:rsidRPr="003A3146">
              <w:rPr>
                <w:sz w:val="22"/>
                <w:szCs w:val="22"/>
              </w:rPr>
              <w:t xml:space="preserve">This situation would be for a limited time period, as established by the IIS. </w:t>
            </w:r>
          </w:p>
          <w:p w:rsidR="00B2086D" w:rsidRPr="003A3146" w:rsidRDefault="00B2086D" w:rsidP="00B2086D">
            <w:pPr>
              <w:pStyle w:val="Default"/>
              <w:numPr>
                <w:ilvl w:val="1"/>
                <w:numId w:val="1"/>
              </w:numPr>
              <w:adjustRightInd/>
              <w:rPr>
                <w:sz w:val="22"/>
                <w:szCs w:val="22"/>
              </w:rPr>
            </w:pPr>
            <w:r w:rsidRPr="003A3146">
              <w:rPr>
                <w:sz w:val="22"/>
                <w:szCs w:val="22"/>
              </w:rPr>
              <w:t xml:space="preserve">Birth Doses. </w:t>
            </w:r>
            <w:proofErr w:type="spellStart"/>
            <w:r w:rsidRPr="003A3146">
              <w:rPr>
                <w:sz w:val="22"/>
                <w:szCs w:val="22"/>
              </w:rPr>
              <w:t>HepB</w:t>
            </w:r>
            <w:proofErr w:type="spellEnd"/>
            <w:r w:rsidRPr="003A3146">
              <w:rPr>
                <w:sz w:val="22"/>
                <w:szCs w:val="22"/>
              </w:rPr>
              <w:t xml:space="preserve"> and other hospital birth doses may not have all required data elements available. </w:t>
            </w:r>
          </w:p>
          <w:p w:rsidR="00B2086D" w:rsidRPr="003A3146" w:rsidRDefault="00B2086D" w:rsidP="00B2086D">
            <w:pPr>
              <w:pStyle w:val="Default"/>
              <w:numPr>
                <w:ilvl w:val="1"/>
                <w:numId w:val="1"/>
              </w:numPr>
              <w:adjustRightInd/>
              <w:rPr>
                <w:sz w:val="22"/>
                <w:szCs w:val="22"/>
              </w:rPr>
            </w:pPr>
            <w:r w:rsidRPr="003A3146">
              <w:rPr>
                <w:sz w:val="22"/>
                <w:szCs w:val="22"/>
              </w:rPr>
              <w:t xml:space="preserve">Notes: </w:t>
            </w:r>
          </w:p>
          <w:p w:rsidR="00B2086D" w:rsidRPr="003A3146" w:rsidRDefault="00B2086D" w:rsidP="00B2086D">
            <w:pPr>
              <w:pStyle w:val="Default"/>
              <w:numPr>
                <w:ilvl w:val="2"/>
                <w:numId w:val="1"/>
              </w:numPr>
              <w:adjustRightInd/>
              <w:rPr>
                <w:sz w:val="22"/>
                <w:szCs w:val="22"/>
              </w:rPr>
            </w:pPr>
            <w:r w:rsidRPr="003A3146">
              <w:rPr>
                <w:sz w:val="22"/>
                <w:szCs w:val="22"/>
              </w:rPr>
              <w:t xml:space="preserve">Rules for accepting or rejecting "Administered" Vaccination Event Submissions with less than the expanded data set should be the same for Electronic Data Exchange and Direct User Interface submissions. </w:t>
            </w:r>
          </w:p>
          <w:p w:rsidR="00B2086D" w:rsidRPr="003A3146" w:rsidRDefault="00B2086D" w:rsidP="00B2086D">
            <w:pPr>
              <w:pStyle w:val="Default"/>
              <w:numPr>
                <w:ilvl w:val="2"/>
                <w:numId w:val="1"/>
              </w:numPr>
              <w:adjustRightInd/>
              <w:rPr>
                <w:sz w:val="22"/>
                <w:szCs w:val="22"/>
              </w:rPr>
            </w:pPr>
            <w:r w:rsidRPr="003A3146">
              <w:rPr>
                <w:sz w:val="22"/>
                <w:szCs w:val="22"/>
              </w:rPr>
              <w:t xml:space="preserve">When reduced set of data items is reported for the “Administered” Vaccination Event, an error message should always be sent or displayed in the UI. Also, other methods of communicating data quality problems should be employed, i.e., monthly reports. </w:t>
            </w:r>
          </w:p>
          <w:p w:rsidR="00B2086D" w:rsidRPr="003A3146" w:rsidRDefault="00B2086D" w:rsidP="001E1065">
            <w:pPr>
              <w:pStyle w:val="Default"/>
              <w:adjustRightInd/>
              <w:rPr>
                <w:sz w:val="22"/>
                <w:szCs w:val="22"/>
              </w:rPr>
            </w:pPr>
          </w:p>
          <w:p w:rsidR="00B2086D" w:rsidRPr="003A3146" w:rsidRDefault="00B2086D" w:rsidP="001E1065">
            <w:pPr>
              <w:pStyle w:val="Default"/>
              <w:adjustRightInd/>
              <w:rPr>
                <w:sz w:val="22"/>
                <w:szCs w:val="22"/>
              </w:rPr>
            </w:pPr>
            <w:r w:rsidRPr="003A3146">
              <w:rPr>
                <w:sz w:val="22"/>
                <w:szCs w:val="22"/>
              </w:rPr>
              <w:t xml:space="preserve">“Historical” value for the Administered/Historical Indicator points out that the IIS-AO originates a Vaccination Event Submission for a Vaccination Event that was administered (and therefore, owned) by some other </w:t>
            </w:r>
            <w:r>
              <w:rPr>
                <w:sz w:val="22"/>
                <w:szCs w:val="22"/>
              </w:rPr>
              <w:t>entity</w:t>
            </w:r>
            <w:r w:rsidRPr="003A3146">
              <w:rPr>
                <w:sz w:val="22"/>
                <w:szCs w:val="22"/>
              </w:rPr>
              <w:t xml:space="preserve"> (“I am NOT Vaccinator IIS-AO; I am just Recorder IIS-AO”).</w:t>
            </w:r>
          </w:p>
          <w:p w:rsidR="00B2086D" w:rsidRPr="00F15EEF" w:rsidRDefault="00B2086D" w:rsidP="00B2086D">
            <w:pPr>
              <w:pStyle w:val="Default"/>
              <w:numPr>
                <w:ilvl w:val="0"/>
                <w:numId w:val="2"/>
              </w:numPr>
              <w:adjustRightInd/>
              <w:rPr>
                <w:sz w:val="22"/>
                <w:szCs w:val="22"/>
              </w:rPr>
            </w:pPr>
            <w:r w:rsidRPr="003A3146">
              <w:rPr>
                <w:sz w:val="22"/>
                <w:szCs w:val="22"/>
              </w:rPr>
              <w:t>In this case, a reduced set of data items for a Vaccination Event Submission would be expected.</w:t>
            </w:r>
          </w:p>
        </w:tc>
      </w:tr>
      <w:tr w:rsidR="00B2086D" w:rsidTr="001E1065">
        <w:tc>
          <w:tcPr>
            <w:tcW w:w="1705" w:type="dxa"/>
          </w:tcPr>
          <w:p w:rsidR="00B2086D" w:rsidRDefault="00B2086D" w:rsidP="001E1065">
            <w:pPr>
              <w:rPr>
                <w:rFonts w:ascii="Gill Sans MT" w:hAnsi="Gill Sans MT"/>
              </w:rPr>
            </w:pPr>
            <w:r>
              <w:rPr>
                <w:rFonts w:ascii="Gill Sans MT" w:hAnsi="Gill Sans MT"/>
              </w:rPr>
              <w:lastRenderedPageBreak/>
              <w:t xml:space="preserve">Section I: Best Available Vocabulary/ Code Set/ Terminology Standards and </w:t>
            </w:r>
            <w:r>
              <w:rPr>
                <w:rFonts w:ascii="Gill Sans MT" w:hAnsi="Gill Sans MT"/>
              </w:rPr>
              <w:lastRenderedPageBreak/>
              <w:t>Implementation Specifications</w:t>
            </w:r>
          </w:p>
          <w:p w:rsidR="00B2086D" w:rsidRPr="00F07FEB" w:rsidRDefault="00B2086D" w:rsidP="001E1065">
            <w:pPr>
              <w:rPr>
                <w:rFonts w:ascii="Gill Sans MT" w:hAnsi="Gill Sans MT"/>
                <w:iCs/>
                <w:color w:val="000000" w:themeColor="text1"/>
              </w:rPr>
            </w:pPr>
            <w:r>
              <w:rPr>
                <w:rFonts w:ascii="Gill Sans MT" w:hAnsi="Gill Sans MT"/>
              </w:rPr>
              <w:t>Page 7</w:t>
            </w:r>
          </w:p>
        </w:tc>
        <w:tc>
          <w:tcPr>
            <w:tcW w:w="2610" w:type="dxa"/>
          </w:tcPr>
          <w:p w:rsidR="00B2086D" w:rsidRDefault="00B2086D" w:rsidP="001E1065">
            <w:pPr>
              <w:autoSpaceDE w:val="0"/>
              <w:autoSpaceDN w:val="0"/>
              <w:adjustRightInd w:val="0"/>
              <w:rPr>
                <w:rFonts w:ascii="Gill Sans MT" w:hAnsi="Gill Sans MT" w:cs="Calibri"/>
                <w:color w:val="000000" w:themeColor="text1"/>
              </w:rPr>
            </w:pPr>
            <w:r w:rsidRPr="002736F4">
              <w:rPr>
                <w:rFonts w:ascii="Gill Sans MT" w:hAnsi="Gill Sans MT" w:cs="Calibri"/>
                <w:color w:val="000000" w:themeColor="text1"/>
              </w:rPr>
              <w:lastRenderedPageBreak/>
              <w:t>Immunizations – Administered</w:t>
            </w:r>
          </w:p>
          <w:p w:rsidR="00B2086D" w:rsidRPr="002736F4" w:rsidRDefault="00B2086D" w:rsidP="001E1065">
            <w:pPr>
              <w:autoSpaceDE w:val="0"/>
              <w:autoSpaceDN w:val="0"/>
              <w:adjustRightInd w:val="0"/>
              <w:rPr>
                <w:rFonts w:ascii="Gill Sans MT" w:hAnsi="Gill Sans MT" w:cs="Calibri"/>
                <w:color w:val="000000" w:themeColor="text1"/>
              </w:rPr>
            </w:pPr>
          </w:p>
          <w:p w:rsidR="00B2086D" w:rsidRPr="002736F4" w:rsidRDefault="00B2086D" w:rsidP="001E1065">
            <w:pPr>
              <w:pStyle w:val="Default"/>
              <w:rPr>
                <w:rFonts w:ascii="Gill Sans MT" w:hAnsi="Gill Sans MT"/>
                <w:color w:val="000000" w:themeColor="text1"/>
                <w:sz w:val="22"/>
                <w:szCs w:val="22"/>
              </w:rPr>
            </w:pPr>
            <w:r w:rsidRPr="002736F4">
              <w:rPr>
                <w:rFonts w:ascii="Gill Sans MT" w:hAnsi="Gill Sans MT"/>
                <w:b/>
                <w:bCs/>
                <w:i/>
                <w:iCs/>
                <w:color w:val="000000" w:themeColor="text1"/>
                <w:sz w:val="22"/>
                <w:szCs w:val="22"/>
              </w:rPr>
              <w:t xml:space="preserve">[See Question #5-11] </w:t>
            </w:r>
          </w:p>
          <w:p w:rsidR="00B2086D" w:rsidRDefault="00B2086D" w:rsidP="001E1065">
            <w:pPr>
              <w:autoSpaceDE w:val="0"/>
              <w:autoSpaceDN w:val="0"/>
              <w:adjustRightInd w:val="0"/>
              <w:rPr>
                <w:rFonts w:ascii="Gill Sans MT" w:hAnsi="Gill Sans MT" w:cs="Calibri"/>
                <w:color w:val="000000"/>
              </w:rPr>
            </w:pPr>
            <w:r w:rsidRPr="002736F4">
              <w:rPr>
                <w:rFonts w:ascii="Gill Sans MT" w:hAnsi="Gill Sans MT"/>
                <w:color w:val="000000" w:themeColor="text1"/>
              </w:rPr>
              <w:t xml:space="preserve">National Drug Codes (NDC) </w:t>
            </w:r>
          </w:p>
        </w:tc>
        <w:tc>
          <w:tcPr>
            <w:tcW w:w="5035" w:type="dxa"/>
          </w:tcPr>
          <w:p w:rsidR="00037BA4" w:rsidRPr="00722A9C" w:rsidRDefault="00037BA4" w:rsidP="00037BA4">
            <w:pPr>
              <w:rPr>
                <w:sz w:val="24"/>
                <w:szCs w:val="24"/>
              </w:rPr>
            </w:pPr>
            <w:bookmarkStart w:id="0" w:name="_GoBack"/>
            <w:r w:rsidRPr="00722A9C">
              <w:rPr>
                <w:sz w:val="24"/>
                <w:szCs w:val="24"/>
              </w:rPr>
              <w:t xml:space="preserve">All state immunization registries and most of the immunization clinical decision support software </w:t>
            </w:r>
            <w:proofErr w:type="gramStart"/>
            <w:r w:rsidRPr="00722A9C">
              <w:rPr>
                <w:sz w:val="24"/>
                <w:szCs w:val="24"/>
              </w:rPr>
              <w:t>( as</w:t>
            </w:r>
            <w:proofErr w:type="gramEnd"/>
            <w:r w:rsidRPr="00722A9C">
              <w:rPr>
                <w:sz w:val="24"/>
                <w:szCs w:val="24"/>
              </w:rPr>
              <w:t xml:space="preserve"> well as many EHRs rely on CVX codes for immunization clinical decision support. This is because other code sets, such as NDC, </w:t>
            </w:r>
            <w:proofErr w:type="spellStart"/>
            <w:r w:rsidRPr="00722A9C">
              <w:rPr>
                <w:sz w:val="24"/>
                <w:szCs w:val="24"/>
              </w:rPr>
              <w:t>RxNorm</w:t>
            </w:r>
            <w:proofErr w:type="spellEnd"/>
            <w:r w:rsidRPr="00722A9C">
              <w:rPr>
                <w:sz w:val="24"/>
                <w:szCs w:val="24"/>
              </w:rPr>
              <w:t xml:space="preserve">, </w:t>
            </w:r>
            <w:r w:rsidRPr="00722A9C">
              <w:rPr>
                <w:sz w:val="24"/>
                <w:szCs w:val="24"/>
              </w:rPr>
              <w:lastRenderedPageBreak/>
              <w:t xml:space="preserve">and CPT, are tied to a specific product and cannot be used it identify vaccines that may be included in a patient’s vaccination history where the specific product is unknown (e.g. </w:t>
            </w:r>
            <w:proofErr w:type="spellStart"/>
            <w:r w:rsidRPr="00722A9C">
              <w:rPr>
                <w:sz w:val="24"/>
                <w:szCs w:val="24"/>
              </w:rPr>
              <w:t>Hib</w:t>
            </w:r>
            <w:proofErr w:type="spellEnd"/>
            <w:r w:rsidRPr="00722A9C">
              <w:rPr>
                <w:sz w:val="24"/>
                <w:szCs w:val="24"/>
              </w:rPr>
              <w:t xml:space="preserve"> vaccine, not otherwise specified, influenza vaccine, not otherwise specified). </w:t>
            </w:r>
            <w:proofErr w:type="gramStart"/>
            <w:r w:rsidR="008747A4" w:rsidRPr="00722A9C">
              <w:rPr>
                <w:sz w:val="24"/>
                <w:szCs w:val="24"/>
              </w:rPr>
              <w:t>CVX  codes</w:t>
            </w:r>
            <w:proofErr w:type="gramEnd"/>
            <w:r w:rsidR="008747A4" w:rsidRPr="00722A9C">
              <w:rPr>
                <w:sz w:val="24"/>
                <w:szCs w:val="24"/>
              </w:rPr>
              <w:t xml:space="preserve"> un</w:t>
            </w:r>
            <w:r w:rsidRPr="00722A9C">
              <w:rPr>
                <w:sz w:val="24"/>
                <w:szCs w:val="24"/>
              </w:rPr>
              <w:t>iquely identify</w:t>
            </w:r>
            <w:r w:rsidR="008747A4" w:rsidRPr="00722A9C">
              <w:rPr>
                <w:sz w:val="24"/>
                <w:szCs w:val="24"/>
              </w:rPr>
              <w:t xml:space="preserve"> each vaccine in a way that is crucial for recording patient histories, forecasting, and producing population/community reports.  </w:t>
            </w:r>
            <w:r w:rsidRPr="00722A9C">
              <w:rPr>
                <w:sz w:val="24"/>
                <w:szCs w:val="24"/>
              </w:rPr>
              <w:t xml:space="preserve">The purpose of the NDC code is primarily inventory tracking, </w:t>
            </w:r>
            <w:proofErr w:type="gramStart"/>
            <w:r w:rsidRPr="00722A9C">
              <w:rPr>
                <w:sz w:val="24"/>
                <w:szCs w:val="24"/>
              </w:rPr>
              <w:t>and  consists</w:t>
            </w:r>
            <w:proofErr w:type="gramEnd"/>
            <w:r w:rsidRPr="00722A9C">
              <w:rPr>
                <w:sz w:val="24"/>
                <w:szCs w:val="24"/>
              </w:rPr>
              <w:t xml:space="preserve"> of only a Labeler Code (assigned by FDA to identify the company) and a Product/Package Code (assigned by the manufacturer).  The combined 10-digit number that makes up the NDC Code does not specify the vaccine in any direct manner. In order to discover what is in the vial or package, one must crosswalk the NDC code to the CVX Code, which uniquely identifies the vaccine.</w:t>
            </w:r>
          </w:p>
          <w:p w:rsidR="00722A9C" w:rsidRDefault="00722A9C" w:rsidP="008747A4">
            <w:pPr>
              <w:pStyle w:val="PlainText"/>
              <w:rPr>
                <w:rFonts w:asciiTheme="minorHAnsi" w:hAnsiTheme="minorHAnsi"/>
                <w:color w:val="000000" w:themeColor="text1"/>
                <w:sz w:val="24"/>
                <w:szCs w:val="24"/>
              </w:rPr>
            </w:pPr>
          </w:p>
          <w:p w:rsidR="008747A4" w:rsidRPr="00722A9C" w:rsidRDefault="00B2086D" w:rsidP="008747A4">
            <w:pPr>
              <w:pStyle w:val="PlainText"/>
              <w:rPr>
                <w:rFonts w:asciiTheme="minorHAnsi" w:hAnsiTheme="minorHAnsi"/>
                <w:sz w:val="24"/>
                <w:szCs w:val="24"/>
              </w:rPr>
            </w:pPr>
            <w:r w:rsidRPr="00722A9C">
              <w:rPr>
                <w:rFonts w:asciiTheme="minorHAnsi" w:hAnsiTheme="minorHAnsi"/>
                <w:color w:val="000000" w:themeColor="text1"/>
                <w:sz w:val="24"/>
                <w:szCs w:val="24"/>
              </w:rPr>
              <w:t>NDC codes change and are added more frequently than CVX and MVX codes</w:t>
            </w:r>
            <w:r w:rsidR="00787DC3" w:rsidRPr="00722A9C">
              <w:rPr>
                <w:rFonts w:asciiTheme="minorHAnsi" w:hAnsiTheme="minorHAnsi"/>
                <w:color w:val="000000" w:themeColor="text1"/>
                <w:sz w:val="24"/>
                <w:szCs w:val="24"/>
              </w:rPr>
              <w:t xml:space="preserve"> – there are new NDC codes added every week - </w:t>
            </w:r>
            <w:r w:rsidRPr="00722A9C">
              <w:rPr>
                <w:rFonts w:asciiTheme="minorHAnsi" w:hAnsiTheme="minorHAnsi"/>
                <w:color w:val="000000" w:themeColor="text1"/>
                <w:sz w:val="24"/>
                <w:szCs w:val="24"/>
              </w:rPr>
              <w:t xml:space="preserve"> so relying on those as the sole source for vaccine administration records w</w:t>
            </w:r>
            <w:r w:rsidR="0096775B" w:rsidRPr="00722A9C">
              <w:rPr>
                <w:rFonts w:asciiTheme="minorHAnsi" w:hAnsiTheme="minorHAnsi"/>
                <w:color w:val="000000" w:themeColor="text1"/>
                <w:sz w:val="24"/>
                <w:szCs w:val="24"/>
              </w:rPr>
              <w:t xml:space="preserve">ould require </w:t>
            </w:r>
            <w:r w:rsidR="00787DC3" w:rsidRPr="00722A9C">
              <w:rPr>
                <w:rFonts w:asciiTheme="minorHAnsi" w:hAnsiTheme="minorHAnsi"/>
                <w:color w:val="000000" w:themeColor="text1"/>
                <w:sz w:val="24"/>
                <w:szCs w:val="24"/>
              </w:rPr>
              <w:t>EHRs and IIS’s to maintain an updated crosswalk between NDC and CVX. In a recent project in IHS, we used the most current NDC/CVX crosswalk available from CDC to</w:t>
            </w:r>
            <w:r w:rsidR="00037BA4" w:rsidRPr="00722A9C">
              <w:rPr>
                <w:rFonts w:asciiTheme="minorHAnsi" w:hAnsiTheme="minorHAnsi"/>
                <w:color w:val="000000" w:themeColor="text1"/>
                <w:sz w:val="24"/>
                <w:szCs w:val="24"/>
              </w:rPr>
              <w:t xml:space="preserve"> try and </w:t>
            </w:r>
            <w:r w:rsidR="00787DC3" w:rsidRPr="00722A9C">
              <w:rPr>
                <w:rFonts w:asciiTheme="minorHAnsi" w:hAnsiTheme="minorHAnsi"/>
                <w:color w:val="000000" w:themeColor="text1"/>
                <w:sz w:val="24"/>
                <w:szCs w:val="24"/>
              </w:rPr>
              <w:t>match the NDC codes of 5 vaccine vials recently in a healthcare facility</w:t>
            </w:r>
            <w:r w:rsidR="00037BA4" w:rsidRPr="00722A9C">
              <w:rPr>
                <w:rFonts w:asciiTheme="minorHAnsi" w:hAnsiTheme="minorHAnsi"/>
                <w:color w:val="000000" w:themeColor="text1"/>
                <w:sz w:val="24"/>
                <w:szCs w:val="24"/>
              </w:rPr>
              <w:t xml:space="preserve"> to the appropriate CVX code</w:t>
            </w:r>
            <w:r w:rsidR="00787DC3" w:rsidRPr="00722A9C">
              <w:rPr>
                <w:rFonts w:asciiTheme="minorHAnsi" w:hAnsiTheme="minorHAnsi"/>
                <w:color w:val="000000" w:themeColor="text1"/>
                <w:sz w:val="24"/>
                <w:szCs w:val="24"/>
              </w:rPr>
              <w:t xml:space="preserve">, and 2 of the 5 were not included in the crosswalk. </w:t>
            </w:r>
          </w:p>
          <w:p w:rsidR="00722A9C" w:rsidRDefault="00722A9C" w:rsidP="001E1065">
            <w:pPr>
              <w:rPr>
                <w:color w:val="000000" w:themeColor="text1"/>
                <w:sz w:val="24"/>
                <w:szCs w:val="24"/>
              </w:rPr>
            </w:pPr>
          </w:p>
          <w:p w:rsidR="00B2086D" w:rsidRPr="00722A9C" w:rsidRDefault="00B2086D" w:rsidP="001E1065">
            <w:pPr>
              <w:rPr>
                <w:color w:val="000000" w:themeColor="text1"/>
                <w:sz w:val="24"/>
                <w:szCs w:val="24"/>
              </w:rPr>
            </w:pPr>
            <w:r w:rsidRPr="00722A9C">
              <w:rPr>
                <w:color w:val="000000" w:themeColor="text1"/>
                <w:sz w:val="24"/>
                <w:szCs w:val="24"/>
              </w:rPr>
              <w:t xml:space="preserve">There are also continued challenges with dual NDC codes on external packaging and on unit of use, so additional mapping functionality would be essential. Finally, NDC is not a commonly leveraged data element currently in EHRs. Using NDC would require a significant development effort for the EHR community, as well as potential unnecessary burden to maintain and </w:t>
            </w:r>
            <w:r w:rsidRPr="00722A9C">
              <w:rPr>
                <w:color w:val="000000" w:themeColor="text1"/>
                <w:sz w:val="24"/>
                <w:szCs w:val="24"/>
              </w:rPr>
              <w:lastRenderedPageBreak/>
              <w:t xml:space="preserve">update the NDC </w:t>
            </w:r>
            <w:proofErr w:type="spellStart"/>
            <w:r w:rsidRPr="00722A9C">
              <w:rPr>
                <w:color w:val="000000" w:themeColor="text1"/>
                <w:sz w:val="24"/>
                <w:szCs w:val="24"/>
              </w:rPr>
              <w:t>codeset</w:t>
            </w:r>
            <w:r w:rsidR="0096775B" w:rsidRPr="00722A9C">
              <w:rPr>
                <w:color w:val="000000" w:themeColor="text1"/>
                <w:sz w:val="24"/>
                <w:szCs w:val="24"/>
              </w:rPr>
              <w:t>s</w:t>
            </w:r>
            <w:proofErr w:type="spellEnd"/>
            <w:r w:rsidRPr="00722A9C">
              <w:rPr>
                <w:color w:val="000000" w:themeColor="text1"/>
                <w:sz w:val="24"/>
                <w:szCs w:val="24"/>
              </w:rPr>
              <w:t xml:space="preserve"> at each provider practice. </w:t>
            </w:r>
            <w:r w:rsidR="0096775B" w:rsidRPr="00722A9C">
              <w:rPr>
                <w:color w:val="000000" w:themeColor="text1"/>
                <w:sz w:val="24"/>
                <w:szCs w:val="24"/>
              </w:rPr>
              <w:t xml:space="preserve"> </w:t>
            </w:r>
          </w:p>
          <w:p w:rsidR="00B2086D" w:rsidRPr="00722A9C" w:rsidRDefault="00B2086D" w:rsidP="001E1065">
            <w:pPr>
              <w:rPr>
                <w:color w:val="000000" w:themeColor="text1"/>
                <w:sz w:val="24"/>
                <w:szCs w:val="24"/>
              </w:rPr>
            </w:pPr>
          </w:p>
          <w:p w:rsidR="00B2086D" w:rsidRPr="00722A9C" w:rsidRDefault="00B2086D" w:rsidP="001E1065">
            <w:pPr>
              <w:rPr>
                <w:color w:val="000000" w:themeColor="text1"/>
                <w:sz w:val="24"/>
                <w:szCs w:val="24"/>
              </w:rPr>
            </w:pPr>
            <w:r w:rsidRPr="00722A9C">
              <w:rPr>
                <w:color w:val="000000" w:themeColor="text1"/>
                <w:sz w:val="24"/>
                <w:szCs w:val="24"/>
              </w:rPr>
              <w:t xml:space="preserve">It is also unclear whether NDC codes would be appropriate for use with bidirectional (patient history/forecast query) message exchanges. The Standards Advisory does not address this use case directly, but recognizing that the use of CVX/MVX is a current practice in IIS-EHR bidirectional exchanges, primary use of NDC over CVX/MVX brings up significant concerns. </w:t>
            </w:r>
          </w:p>
          <w:p w:rsidR="00B2086D" w:rsidRPr="00722A9C" w:rsidRDefault="00B2086D" w:rsidP="001E1065">
            <w:pPr>
              <w:rPr>
                <w:color w:val="000000" w:themeColor="text1"/>
                <w:sz w:val="24"/>
                <w:szCs w:val="24"/>
              </w:rPr>
            </w:pPr>
          </w:p>
          <w:p w:rsidR="00B2086D" w:rsidRPr="00722A9C" w:rsidRDefault="00B2086D" w:rsidP="001E1065">
            <w:pPr>
              <w:rPr>
                <w:color w:val="000000" w:themeColor="text1"/>
                <w:sz w:val="24"/>
                <w:szCs w:val="24"/>
              </w:rPr>
            </w:pPr>
            <w:r w:rsidRPr="00722A9C">
              <w:rPr>
                <w:color w:val="000000" w:themeColor="text1"/>
                <w:sz w:val="24"/>
                <w:szCs w:val="24"/>
              </w:rPr>
              <w:t xml:space="preserve">Finally, see comments above regarding the importance of common definitions regarding differentiating historical and administered immunizations. </w:t>
            </w:r>
          </w:p>
          <w:p w:rsidR="00B2086D" w:rsidRPr="00722A9C" w:rsidRDefault="00B2086D" w:rsidP="001E1065">
            <w:pPr>
              <w:rPr>
                <w:color w:val="000000" w:themeColor="text1"/>
                <w:sz w:val="24"/>
                <w:szCs w:val="24"/>
              </w:rPr>
            </w:pPr>
          </w:p>
          <w:p w:rsidR="00B2086D" w:rsidRPr="00722A9C" w:rsidRDefault="00B2086D" w:rsidP="00037BA4">
            <w:pPr>
              <w:rPr>
                <w:color w:val="000000" w:themeColor="text1"/>
                <w:sz w:val="24"/>
                <w:szCs w:val="24"/>
              </w:rPr>
            </w:pPr>
            <w:r w:rsidRPr="00722A9C">
              <w:rPr>
                <w:color w:val="000000" w:themeColor="text1"/>
                <w:sz w:val="24"/>
                <w:szCs w:val="24"/>
              </w:rPr>
              <w:t xml:space="preserve">For these reasons, </w:t>
            </w:r>
            <w:r w:rsidR="0096775B" w:rsidRPr="00722A9C">
              <w:rPr>
                <w:color w:val="000000" w:themeColor="text1"/>
                <w:sz w:val="24"/>
                <w:szCs w:val="24"/>
              </w:rPr>
              <w:t>IHS</w:t>
            </w:r>
            <w:r w:rsidRPr="00722A9C">
              <w:rPr>
                <w:color w:val="000000" w:themeColor="text1"/>
                <w:sz w:val="24"/>
                <w:szCs w:val="24"/>
              </w:rPr>
              <w:t xml:space="preserve"> would support CVX and MVX as the preferred </w:t>
            </w:r>
            <w:proofErr w:type="spellStart"/>
            <w:r w:rsidRPr="00722A9C">
              <w:rPr>
                <w:color w:val="000000" w:themeColor="text1"/>
                <w:sz w:val="24"/>
                <w:szCs w:val="24"/>
              </w:rPr>
              <w:t>codesets</w:t>
            </w:r>
            <w:proofErr w:type="spellEnd"/>
            <w:r w:rsidRPr="00722A9C">
              <w:rPr>
                <w:color w:val="000000" w:themeColor="text1"/>
                <w:sz w:val="24"/>
                <w:szCs w:val="24"/>
              </w:rPr>
              <w:t xml:space="preserve"> for administered immunizations, while NDC continues to be used in 2D barcoding and some inventory decrementing. We would also like to collaborate in evaluating the benefits and costs of transitioning to NDC as a potential replacement </w:t>
            </w:r>
            <w:proofErr w:type="spellStart"/>
            <w:r w:rsidRPr="00722A9C">
              <w:rPr>
                <w:color w:val="000000" w:themeColor="text1"/>
                <w:sz w:val="24"/>
                <w:szCs w:val="24"/>
              </w:rPr>
              <w:t>codeset</w:t>
            </w:r>
            <w:proofErr w:type="spellEnd"/>
            <w:r w:rsidRPr="00722A9C">
              <w:rPr>
                <w:color w:val="000000" w:themeColor="text1"/>
                <w:sz w:val="24"/>
                <w:szCs w:val="24"/>
              </w:rPr>
              <w:t xml:space="preserve"> for administered immunizations in the future. </w:t>
            </w:r>
            <w:bookmarkEnd w:id="0"/>
          </w:p>
        </w:tc>
      </w:tr>
      <w:tr w:rsidR="00B2086D" w:rsidTr="001E1065">
        <w:tc>
          <w:tcPr>
            <w:tcW w:w="1705" w:type="dxa"/>
          </w:tcPr>
          <w:p w:rsidR="00B2086D" w:rsidRDefault="00B2086D" w:rsidP="001E1065">
            <w:pPr>
              <w:rPr>
                <w:rFonts w:ascii="Gill Sans MT" w:hAnsi="Gill Sans MT"/>
              </w:rPr>
            </w:pPr>
            <w:r>
              <w:rPr>
                <w:rFonts w:ascii="Gill Sans MT" w:hAnsi="Gill Sans MT"/>
              </w:rPr>
              <w:lastRenderedPageBreak/>
              <w:t>Section III: Best Available Transport Standards and Implementation Specifications</w:t>
            </w:r>
          </w:p>
          <w:p w:rsidR="00B2086D" w:rsidRPr="004E3224" w:rsidRDefault="00B2086D" w:rsidP="001E1065">
            <w:pPr>
              <w:rPr>
                <w:rFonts w:ascii="Gill Sans MT" w:hAnsi="Gill Sans MT"/>
              </w:rPr>
            </w:pPr>
            <w:r>
              <w:rPr>
                <w:rFonts w:ascii="Gill Sans MT" w:hAnsi="Gill Sans MT"/>
              </w:rPr>
              <w:t>Page 10</w:t>
            </w:r>
          </w:p>
        </w:tc>
        <w:tc>
          <w:tcPr>
            <w:tcW w:w="2610" w:type="dxa"/>
          </w:tcPr>
          <w:p w:rsidR="00B2086D" w:rsidRPr="00D1333C" w:rsidRDefault="00B2086D" w:rsidP="001E1065">
            <w:pPr>
              <w:rPr>
                <w:rFonts w:ascii="Gill Sans MT" w:hAnsi="Gill Sans MT"/>
                <w:color w:val="000000" w:themeColor="text1"/>
              </w:rPr>
            </w:pPr>
            <w:r w:rsidRPr="00D1333C">
              <w:rPr>
                <w:rFonts w:ascii="Calibri" w:hAnsi="Calibri"/>
                <w:b/>
                <w:color w:val="000000" w:themeColor="text1"/>
              </w:rPr>
              <w:t xml:space="preserve">Data sharing through Service Oriented Architecture (SOA) - that enables two systems to interoperate together – </w:t>
            </w:r>
            <w:r w:rsidRPr="00D1333C">
              <w:rPr>
                <w:rFonts w:ascii="Gill Sans MT" w:hAnsi="Gill Sans MT"/>
                <w:b/>
                <w:color w:val="000000" w:themeColor="text1"/>
              </w:rPr>
              <w:t>Standards:</w:t>
            </w:r>
          </w:p>
          <w:p w:rsidR="00B2086D" w:rsidRPr="00D1333C" w:rsidRDefault="00B2086D" w:rsidP="001E1065">
            <w:pPr>
              <w:rPr>
                <w:rFonts w:ascii="Calibri" w:hAnsi="Calibri"/>
                <w:color w:val="000000" w:themeColor="text1"/>
              </w:rPr>
            </w:pPr>
            <w:r w:rsidRPr="00D1333C">
              <w:rPr>
                <w:rFonts w:ascii="Calibri" w:hAnsi="Calibri"/>
                <w:color w:val="000000" w:themeColor="text1"/>
              </w:rPr>
              <w:t xml:space="preserve">1) Hypertext Transfer Protocol (HTTP) 1.1, RFC 723X (to support RESTful transport approaches) </w:t>
            </w:r>
          </w:p>
          <w:p w:rsidR="00B2086D" w:rsidRPr="00D1333C" w:rsidRDefault="00B2086D" w:rsidP="001E1065">
            <w:pPr>
              <w:rPr>
                <w:rFonts w:ascii="Calibri" w:hAnsi="Calibri"/>
                <w:color w:val="000000" w:themeColor="text1"/>
              </w:rPr>
            </w:pPr>
            <w:r w:rsidRPr="00D1333C">
              <w:rPr>
                <w:rFonts w:ascii="Calibri" w:hAnsi="Calibri"/>
                <w:color w:val="000000" w:themeColor="text1"/>
              </w:rPr>
              <w:t xml:space="preserve">2) Simple Object Access Protocol (SOAP) 1.2 </w:t>
            </w:r>
          </w:p>
          <w:p w:rsidR="00B2086D" w:rsidRPr="00D1333C" w:rsidRDefault="00B2086D" w:rsidP="001E1065">
            <w:pPr>
              <w:rPr>
                <w:rFonts w:ascii="Calibri" w:hAnsi="Calibri"/>
                <w:color w:val="000000" w:themeColor="text1"/>
              </w:rPr>
            </w:pPr>
            <w:r w:rsidRPr="00D1333C">
              <w:rPr>
                <w:rFonts w:ascii="Calibri" w:hAnsi="Calibri"/>
                <w:color w:val="000000" w:themeColor="text1"/>
              </w:rPr>
              <w:t>3) For security, Transport Layer Security (TLS) Protocol Version 1.2, RFC 5246</w:t>
            </w:r>
          </w:p>
        </w:tc>
        <w:tc>
          <w:tcPr>
            <w:tcW w:w="5035" w:type="dxa"/>
          </w:tcPr>
          <w:p w:rsidR="00B2086D" w:rsidRPr="00722A9C" w:rsidRDefault="00B2086D" w:rsidP="001E1065">
            <w:pPr>
              <w:rPr>
                <w:color w:val="000000" w:themeColor="text1"/>
                <w:sz w:val="24"/>
                <w:szCs w:val="24"/>
              </w:rPr>
            </w:pPr>
            <w:r w:rsidRPr="00722A9C">
              <w:rPr>
                <w:color w:val="000000" w:themeColor="text1"/>
                <w:sz w:val="24"/>
                <w:szCs w:val="24"/>
              </w:rPr>
              <w:t>Although there may be benefits to mu</w:t>
            </w:r>
            <w:r w:rsidR="0096775B" w:rsidRPr="00722A9C">
              <w:rPr>
                <w:color w:val="000000" w:themeColor="text1"/>
                <w:sz w:val="24"/>
                <w:szCs w:val="24"/>
              </w:rPr>
              <w:t>ltiple transport standards, IHS</w:t>
            </w:r>
            <w:r w:rsidRPr="00722A9C">
              <w:rPr>
                <w:color w:val="000000" w:themeColor="text1"/>
                <w:sz w:val="24"/>
                <w:szCs w:val="24"/>
              </w:rPr>
              <w:t xml:space="preserve"> would like to recognize that the IIS co</w:t>
            </w:r>
            <w:r w:rsidR="0096775B" w:rsidRPr="00722A9C">
              <w:rPr>
                <w:color w:val="000000" w:themeColor="text1"/>
                <w:sz w:val="24"/>
                <w:szCs w:val="24"/>
              </w:rPr>
              <w:t>mmunity has selected SOAP as a</w:t>
            </w:r>
            <w:r w:rsidRPr="00722A9C">
              <w:rPr>
                <w:color w:val="000000" w:themeColor="text1"/>
                <w:sz w:val="24"/>
                <w:szCs w:val="24"/>
              </w:rPr>
              <w:t xml:space="preserve"> chosen standard</w:t>
            </w:r>
            <w:r w:rsidR="0096775B" w:rsidRPr="00722A9C">
              <w:rPr>
                <w:color w:val="000000" w:themeColor="text1"/>
                <w:sz w:val="24"/>
                <w:szCs w:val="24"/>
              </w:rPr>
              <w:t>.  IHS participated in the CDC Subject Matter Expert groups that led to the community selection of the chosen standard</w:t>
            </w:r>
            <w:r w:rsidRPr="00722A9C">
              <w:rPr>
                <w:color w:val="000000" w:themeColor="text1"/>
                <w:sz w:val="24"/>
                <w:szCs w:val="24"/>
              </w:rPr>
              <w:t xml:space="preserve">, and </w:t>
            </w:r>
            <w:r w:rsidR="0096775B" w:rsidRPr="00722A9C">
              <w:rPr>
                <w:color w:val="000000" w:themeColor="text1"/>
                <w:sz w:val="24"/>
                <w:szCs w:val="24"/>
              </w:rPr>
              <w:t xml:space="preserve">as a partner, </w:t>
            </w:r>
            <w:r w:rsidRPr="00722A9C">
              <w:rPr>
                <w:color w:val="000000" w:themeColor="text1"/>
                <w:sz w:val="24"/>
                <w:szCs w:val="24"/>
              </w:rPr>
              <w:t xml:space="preserve">we believe that selecting a preferred standard may accelerate interoperability efforts. For more information, see </w:t>
            </w:r>
            <w:hyperlink r:id="rId9" w:history="1">
              <w:r w:rsidRPr="00722A9C">
                <w:rPr>
                  <w:rStyle w:val="Hyperlink"/>
                  <w:color w:val="000000" w:themeColor="text1"/>
                  <w:sz w:val="24"/>
                  <w:szCs w:val="24"/>
                </w:rPr>
                <w:t>http://www.cdc.gov/vaccines/programs/iis/technical-guidance/SOAP/services.html</w:t>
              </w:r>
            </w:hyperlink>
            <w:r w:rsidRPr="00722A9C">
              <w:rPr>
                <w:color w:val="000000" w:themeColor="text1"/>
                <w:sz w:val="24"/>
                <w:szCs w:val="24"/>
              </w:rPr>
              <w:t xml:space="preserve"> and/or </w:t>
            </w:r>
            <w:hyperlink r:id="rId10" w:history="1">
              <w:r w:rsidRPr="00722A9C">
                <w:rPr>
                  <w:rStyle w:val="Hyperlink"/>
                  <w:color w:val="000000" w:themeColor="text1"/>
                  <w:sz w:val="24"/>
                  <w:szCs w:val="24"/>
                </w:rPr>
                <w:t>http://www.cdc.gov/vaccines/programs/iis/interop-proj/downloads/SOAP-br.pdf</w:t>
              </w:r>
            </w:hyperlink>
          </w:p>
          <w:p w:rsidR="00B2086D" w:rsidRPr="00722A9C" w:rsidRDefault="00B2086D" w:rsidP="001E1065">
            <w:pPr>
              <w:rPr>
                <w:color w:val="000000" w:themeColor="text1"/>
                <w:sz w:val="24"/>
                <w:szCs w:val="24"/>
              </w:rPr>
            </w:pPr>
          </w:p>
        </w:tc>
      </w:tr>
      <w:tr w:rsidR="00B2086D" w:rsidTr="001E1065">
        <w:tc>
          <w:tcPr>
            <w:tcW w:w="1705" w:type="dxa"/>
          </w:tcPr>
          <w:p w:rsidR="00B2086D" w:rsidRDefault="00B2086D" w:rsidP="001E1065">
            <w:pPr>
              <w:rPr>
                <w:rFonts w:ascii="Gill Sans MT" w:hAnsi="Gill Sans MT"/>
              </w:rPr>
            </w:pPr>
            <w:r>
              <w:rPr>
                <w:rFonts w:ascii="Gill Sans MT" w:hAnsi="Gill Sans MT"/>
              </w:rPr>
              <w:lastRenderedPageBreak/>
              <w:t>Section IV: Annual Process to Update the Interoperability Standards Advisory</w:t>
            </w:r>
          </w:p>
        </w:tc>
        <w:tc>
          <w:tcPr>
            <w:tcW w:w="2610" w:type="dxa"/>
          </w:tcPr>
          <w:p w:rsidR="00B2086D" w:rsidRPr="00CA687C" w:rsidRDefault="00B2086D" w:rsidP="001E1065">
            <w:pPr>
              <w:rPr>
                <w:rFonts w:ascii="Calibri" w:hAnsi="Calibri"/>
                <w:b/>
              </w:rPr>
            </w:pPr>
            <w:r w:rsidRPr="00CA687C">
              <w:rPr>
                <w:rFonts w:ascii="Calibri" w:hAnsi="Calibri"/>
              </w:rPr>
              <w:t>ONC intends to implement the following timeline and process to update the Interoperability Standards Advisory for subsequent years. The process for the open draft 2015 Advisory will roughly follow this same process despite its later publication date in 2015.</w:t>
            </w:r>
          </w:p>
        </w:tc>
        <w:tc>
          <w:tcPr>
            <w:tcW w:w="5035" w:type="dxa"/>
          </w:tcPr>
          <w:p w:rsidR="00B2086D" w:rsidRPr="00722A9C" w:rsidRDefault="0096775B" w:rsidP="001E1065">
            <w:pPr>
              <w:rPr>
                <w:sz w:val="24"/>
                <w:szCs w:val="24"/>
              </w:rPr>
            </w:pPr>
            <w:r w:rsidRPr="00722A9C">
              <w:rPr>
                <w:sz w:val="24"/>
                <w:szCs w:val="24"/>
              </w:rPr>
              <w:t xml:space="preserve">Although the IHS </w:t>
            </w:r>
            <w:r w:rsidR="00B2086D" w:rsidRPr="00722A9C">
              <w:rPr>
                <w:sz w:val="24"/>
                <w:szCs w:val="24"/>
              </w:rPr>
              <w:t xml:space="preserve">understands that the Standards Advisory itself will be updated annually, and not necessarily the standards themselves, there is some concern that an annual update may be too frequent or may create room for too much evolution of standards. The HIE community struggles to adopt and implement standards in a timely way as it is. </w:t>
            </w:r>
            <w:r w:rsidRPr="00722A9C">
              <w:rPr>
                <w:sz w:val="24"/>
                <w:szCs w:val="24"/>
              </w:rPr>
              <w:t xml:space="preserve">IHS </w:t>
            </w:r>
            <w:r w:rsidR="00B2086D" w:rsidRPr="00722A9C">
              <w:rPr>
                <w:sz w:val="24"/>
                <w:szCs w:val="24"/>
              </w:rPr>
              <w:t xml:space="preserve">would encourage consideration of a date range for a given standard, for example, proposing a standard in 2016 for use through 2020, with reconsideration for modification as the retirement or sunset date for a given standard is approached.  </w:t>
            </w:r>
            <w:r w:rsidRPr="00722A9C">
              <w:rPr>
                <w:sz w:val="24"/>
                <w:szCs w:val="24"/>
              </w:rPr>
              <w:t xml:space="preserve">Our system must interoperate with a number of systems nationwide and in so doing, has experienced a misalignment in expected functionality due to one entity or the other adopting updated standards ahead of others.  </w:t>
            </w:r>
          </w:p>
          <w:p w:rsidR="00B2086D" w:rsidRPr="00722A9C" w:rsidRDefault="00B2086D" w:rsidP="001E1065">
            <w:pPr>
              <w:rPr>
                <w:sz w:val="24"/>
                <w:szCs w:val="24"/>
              </w:rPr>
            </w:pPr>
          </w:p>
          <w:p w:rsidR="00B2086D" w:rsidRPr="00722A9C" w:rsidRDefault="00B2086D" w:rsidP="001E1065">
            <w:pPr>
              <w:rPr>
                <w:color w:val="000000" w:themeColor="text1"/>
                <w:sz w:val="24"/>
                <w:szCs w:val="24"/>
              </w:rPr>
            </w:pPr>
            <w:r w:rsidRPr="00722A9C">
              <w:rPr>
                <w:color w:val="000000" w:themeColor="text1"/>
                <w:sz w:val="24"/>
                <w:szCs w:val="24"/>
              </w:rPr>
              <w:t xml:space="preserve">This document should acknowledge the fact that while standardized vocabularies and code sets (LOINC, SNOMED, CVX, etc.) represent an excellent opportunity to advance interoperability by reducing reliance of high maintenance local code sets, most existing software packages were developed prior to the existence of such vocabularies. For this reason, the recommendations and requirement to utilize such standard vocabularies should be phased in over time as significant changes to existing databases and applications may be required to utilize these vocabularies to their full potential. </w:t>
            </w:r>
          </w:p>
        </w:tc>
      </w:tr>
      <w:tr w:rsidR="00B2086D" w:rsidTr="001E1065">
        <w:tc>
          <w:tcPr>
            <w:tcW w:w="1705" w:type="dxa"/>
          </w:tcPr>
          <w:p w:rsidR="00B2086D" w:rsidRDefault="00B2086D" w:rsidP="001E1065">
            <w:pPr>
              <w:rPr>
                <w:rFonts w:ascii="Gill Sans MT" w:hAnsi="Gill Sans MT"/>
              </w:rPr>
            </w:pPr>
            <w:r>
              <w:rPr>
                <w:rFonts w:ascii="Gill Sans MT" w:hAnsi="Gill Sans MT"/>
              </w:rPr>
              <w:t>Section V: Questions Regarding the Interoperability Standards Advisory</w:t>
            </w:r>
          </w:p>
        </w:tc>
        <w:tc>
          <w:tcPr>
            <w:tcW w:w="2610" w:type="dxa"/>
          </w:tcPr>
          <w:p w:rsidR="00B2086D" w:rsidRPr="00CB6616" w:rsidRDefault="00B2086D" w:rsidP="001E1065">
            <w:pPr>
              <w:rPr>
                <w:rFonts w:ascii="Calibri" w:hAnsi="Calibri"/>
              </w:rPr>
            </w:pPr>
            <w:r w:rsidRPr="00CB6616">
              <w:rPr>
                <w:rFonts w:ascii="Calibri" w:hAnsi="Calibri"/>
              </w:rPr>
              <w:t xml:space="preserve">5-3. [General] For sections I through IV, what “purposes” are missing? Please identify the standards or implementations specifications you believe should be identified as the best available for each additional purpose(s) </w:t>
            </w:r>
            <w:r w:rsidRPr="00CB6616">
              <w:rPr>
                <w:rFonts w:ascii="Calibri" w:hAnsi="Calibri"/>
              </w:rPr>
              <w:lastRenderedPageBreak/>
              <w:t>suggested and why.</w:t>
            </w:r>
          </w:p>
        </w:tc>
        <w:tc>
          <w:tcPr>
            <w:tcW w:w="5035" w:type="dxa"/>
          </w:tcPr>
          <w:p w:rsidR="00B2086D" w:rsidRPr="00722A9C" w:rsidRDefault="0096775B" w:rsidP="001E1065">
            <w:pPr>
              <w:rPr>
                <w:sz w:val="24"/>
                <w:szCs w:val="24"/>
              </w:rPr>
            </w:pPr>
            <w:r w:rsidRPr="00722A9C">
              <w:rPr>
                <w:sz w:val="24"/>
                <w:szCs w:val="24"/>
              </w:rPr>
              <w:lastRenderedPageBreak/>
              <w:t xml:space="preserve">IHS </w:t>
            </w:r>
            <w:r w:rsidR="00B2086D" w:rsidRPr="00722A9C">
              <w:rPr>
                <w:sz w:val="24"/>
                <w:szCs w:val="24"/>
              </w:rPr>
              <w:t xml:space="preserve">would like to see Immunization Registry Reporting be broken up into two sections: 1) Vaccination Administration Reporting, and 2) Patient Vaccination History/Forecast Query. These use cases both use the same implementation specification, but the purposes are distinct and can be implemented independent of one another. For example, Vaccination Administration Reporting has been </w:t>
            </w:r>
            <w:r w:rsidR="00B2086D" w:rsidRPr="00722A9C">
              <w:rPr>
                <w:sz w:val="24"/>
                <w:szCs w:val="24"/>
              </w:rPr>
              <w:lastRenderedPageBreak/>
              <w:t xml:space="preserve">part of MU phases 1 and 2, but Patient Vaccination History/Forecast Query has not been. </w:t>
            </w:r>
          </w:p>
          <w:p w:rsidR="0096775B" w:rsidRPr="00722A9C" w:rsidRDefault="0096775B" w:rsidP="001E1065">
            <w:pPr>
              <w:rPr>
                <w:sz w:val="24"/>
                <w:szCs w:val="24"/>
              </w:rPr>
            </w:pPr>
          </w:p>
        </w:tc>
      </w:tr>
      <w:tr w:rsidR="00B2086D" w:rsidTr="001E1065">
        <w:tc>
          <w:tcPr>
            <w:tcW w:w="1705" w:type="dxa"/>
          </w:tcPr>
          <w:p w:rsidR="00B2086D" w:rsidRDefault="00B2086D" w:rsidP="001E1065">
            <w:pPr>
              <w:rPr>
                <w:rFonts w:ascii="Gill Sans MT" w:hAnsi="Gill Sans MT"/>
              </w:rPr>
            </w:pPr>
            <w:r>
              <w:rPr>
                <w:rFonts w:ascii="Gill Sans MT" w:hAnsi="Gill Sans MT"/>
              </w:rPr>
              <w:lastRenderedPageBreak/>
              <w:t>Section V: Questions Regarding the Interoperability Standards Advisory</w:t>
            </w:r>
          </w:p>
        </w:tc>
        <w:tc>
          <w:tcPr>
            <w:tcW w:w="2610" w:type="dxa"/>
          </w:tcPr>
          <w:p w:rsidR="00B2086D" w:rsidRPr="00B403AF" w:rsidRDefault="00B2086D" w:rsidP="001E1065">
            <w:pPr>
              <w:pStyle w:val="Default"/>
              <w:adjustRightInd/>
              <w:spacing w:after="164"/>
              <w:rPr>
                <w:color w:val="auto"/>
                <w:sz w:val="23"/>
                <w:szCs w:val="23"/>
              </w:rPr>
            </w:pPr>
            <w:r w:rsidRPr="00B403AF">
              <w:rPr>
                <w:b/>
                <w:bCs/>
                <w:iCs/>
                <w:color w:val="auto"/>
                <w:sz w:val="23"/>
                <w:szCs w:val="23"/>
              </w:rPr>
              <w:t xml:space="preserve">5-13 [Section I] </w:t>
            </w:r>
            <w:r w:rsidRPr="00B403AF">
              <w:rPr>
                <w:color w:val="auto"/>
                <w:sz w:val="23"/>
                <w:szCs w:val="23"/>
              </w:rPr>
              <w:t xml:space="preserve">If a preferred or specific value set exists for a specific purpose and the standard adopted for that purpose, should it be listed in the “implementation specification” column or should a new column be added for value sets? </w:t>
            </w:r>
          </w:p>
          <w:p w:rsidR="00B2086D" w:rsidRPr="00B403AF" w:rsidRDefault="00B2086D" w:rsidP="001E1065">
            <w:pPr>
              <w:rPr>
                <w:rFonts w:ascii="Calibri" w:hAnsi="Calibri"/>
              </w:rPr>
            </w:pPr>
          </w:p>
        </w:tc>
        <w:tc>
          <w:tcPr>
            <w:tcW w:w="5035" w:type="dxa"/>
          </w:tcPr>
          <w:p w:rsidR="00B2086D" w:rsidRPr="00722A9C" w:rsidRDefault="0096775B" w:rsidP="001E1065">
            <w:pPr>
              <w:pStyle w:val="Default"/>
              <w:adjustRightInd/>
              <w:spacing w:after="164"/>
              <w:rPr>
                <w:rFonts w:asciiTheme="minorHAnsi" w:hAnsiTheme="minorHAnsi"/>
                <w:color w:val="000000" w:themeColor="text1"/>
              </w:rPr>
            </w:pPr>
            <w:r w:rsidRPr="00722A9C">
              <w:rPr>
                <w:rFonts w:asciiTheme="minorHAnsi" w:hAnsiTheme="minorHAnsi"/>
                <w:color w:val="000000" w:themeColor="text1"/>
              </w:rPr>
              <w:t xml:space="preserve">IHS </w:t>
            </w:r>
            <w:r w:rsidR="00B2086D" w:rsidRPr="00722A9C">
              <w:rPr>
                <w:rFonts w:asciiTheme="minorHAnsi" w:hAnsiTheme="minorHAnsi"/>
                <w:color w:val="000000" w:themeColor="text1"/>
              </w:rPr>
              <w:t>would expect specific value sets to be defined by the implementation specification and likely don’t need to be called out in these tables. At best, they would contain the same data in multiple locations. At worst, they would conflict.</w:t>
            </w:r>
          </w:p>
          <w:p w:rsidR="00B2086D" w:rsidRPr="00722A9C" w:rsidRDefault="00B2086D" w:rsidP="001E1065">
            <w:pPr>
              <w:rPr>
                <w:color w:val="000000" w:themeColor="text1"/>
                <w:sz w:val="24"/>
                <w:szCs w:val="24"/>
              </w:rPr>
            </w:pPr>
          </w:p>
        </w:tc>
      </w:tr>
      <w:tr w:rsidR="00B2086D" w:rsidTr="001E1065">
        <w:tc>
          <w:tcPr>
            <w:tcW w:w="1705" w:type="dxa"/>
          </w:tcPr>
          <w:p w:rsidR="00B2086D" w:rsidRDefault="00B2086D" w:rsidP="001E1065">
            <w:pPr>
              <w:rPr>
                <w:rFonts w:ascii="Gill Sans MT" w:hAnsi="Gill Sans MT"/>
              </w:rPr>
            </w:pPr>
            <w:r>
              <w:rPr>
                <w:rFonts w:ascii="Gill Sans MT" w:hAnsi="Gill Sans MT"/>
              </w:rPr>
              <w:t>Section V: Questions Regarding the Interoperability Standards Advisory</w:t>
            </w:r>
          </w:p>
        </w:tc>
        <w:tc>
          <w:tcPr>
            <w:tcW w:w="2610" w:type="dxa"/>
          </w:tcPr>
          <w:p w:rsidR="00B2086D" w:rsidRPr="00B403AF" w:rsidRDefault="00B2086D" w:rsidP="001E1065">
            <w:pPr>
              <w:pStyle w:val="Default"/>
              <w:adjustRightInd/>
              <w:rPr>
                <w:sz w:val="23"/>
                <w:szCs w:val="23"/>
              </w:rPr>
            </w:pPr>
            <w:r w:rsidRPr="00B403AF">
              <w:rPr>
                <w:b/>
                <w:bCs/>
                <w:iCs/>
                <w:sz w:val="23"/>
                <w:szCs w:val="23"/>
              </w:rPr>
              <w:t xml:space="preserve">5.18 [Section IV] </w:t>
            </w:r>
            <w:r w:rsidRPr="00B403AF">
              <w:rPr>
                <w:sz w:val="23"/>
                <w:szCs w:val="23"/>
              </w:rPr>
              <w:t xml:space="preserve">Should specific HL7 message types be listed? Or would they be applicable to other purposes as well? If so, which ones and why? </w:t>
            </w:r>
          </w:p>
          <w:p w:rsidR="00B2086D" w:rsidRPr="00B403AF" w:rsidRDefault="00B2086D" w:rsidP="001E1065">
            <w:pPr>
              <w:pStyle w:val="Default"/>
              <w:adjustRightInd/>
              <w:spacing w:after="164"/>
              <w:rPr>
                <w:bCs/>
                <w:iCs/>
                <w:sz w:val="22"/>
                <w:szCs w:val="22"/>
              </w:rPr>
            </w:pPr>
          </w:p>
        </w:tc>
        <w:tc>
          <w:tcPr>
            <w:tcW w:w="5035" w:type="dxa"/>
          </w:tcPr>
          <w:p w:rsidR="00B2086D" w:rsidRPr="00B403AF" w:rsidRDefault="0096775B" w:rsidP="001E1065">
            <w:pPr>
              <w:pStyle w:val="Default"/>
              <w:adjustRightInd/>
              <w:spacing w:after="164"/>
              <w:rPr>
                <w:color w:val="000000" w:themeColor="text1"/>
              </w:rPr>
            </w:pPr>
            <w:r>
              <w:rPr>
                <w:color w:val="000000" w:themeColor="text1"/>
                <w:sz w:val="22"/>
                <w:szCs w:val="22"/>
              </w:rPr>
              <w:t xml:space="preserve">IHS follows the same implementation guides as the various state IIS and so </w:t>
            </w:r>
            <w:r w:rsidR="00B2086D" w:rsidRPr="00B403AF">
              <w:rPr>
                <w:color w:val="000000" w:themeColor="text1"/>
                <w:sz w:val="22"/>
                <w:szCs w:val="22"/>
              </w:rPr>
              <w:t>believes that specific message types required to fulfill a purpose should be defined in the implementation specifications themselves rather than called out in this document.</w:t>
            </w:r>
          </w:p>
          <w:p w:rsidR="00B2086D" w:rsidRPr="00B403AF" w:rsidRDefault="00B2086D" w:rsidP="001E1065">
            <w:pPr>
              <w:pStyle w:val="Default"/>
              <w:adjustRightInd/>
              <w:spacing w:after="164"/>
              <w:rPr>
                <w:color w:val="000000" w:themeColor="text1"/>
                <w:sz w:val="22"/>
                <w:szCs w:val="22"/>
              </w:rPr>
            </w:pPr>
          </w:p>
        </w:tc>
      </w:tr>
    </w:tbl>
    <w:p w:rsidR="00B2086D" w:rsidRPr="00773317" w:rsidRDefault="00B2086D" w:rsidP="00B2086D"/>
    <w:p w:rsidR="00A729D3" w:rsidRDefault="00A729D3"/>
    <w:sectPr w:rsidR="00A729D3" w:rsidSect="009D46BA">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6D" w:rsidRDefault="00B2086D" w:rsidP="00B2086D">
      <w:pPr>
        <w:spacing w:after="0" w:line="240" w:lineRule="auto"/>
      </w:pPr>
      <w:r>
        <w:separator/>
      </w:r>
    </w:p>
  </w:endnote>
  <w:endnote w:type="continuationSeparator" w:id="0">
    <w:p w:rsidR="00B2086D" w:rsidRDefault="00B2086D" w:rsidP="00B2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63372"/>
      <w:docPartObj>
        <w:docPartGallery w:val="Page Numbers (Bottom of Page)"/>
        <w:docPartUnique/>
      </w:docPartObj>
    </w:sdtPr>
    <w:sdtEndPr/>
    <w:sdtContent>
      <w:sdt>
        <w:sdtPr>
          <w:id w:val="-1769616900"/>
          <w:docPartObj>
            <w:docPartGallery w:val="Page Numbers (Top of Page)"/>
            <w:docPartUnique/>
          </w:docPartObj>
        </w:sdtPr>
        <w:sdtEndPr/>
        <w:sdtContent>
          <w:p w:rsidR="003152C9" w:rsidRDefault="009677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2A9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A9C">
              <w:rPr>
                <w:b/>
                <w:bCs/>
                <w:noProof/>
              </w:rPr>
              <w:t>7</w:t>
            </w:r>
            <w:r>
              <w:rPr>
                <w:b/>
                <w:bCs/>
                <w:sz w:val="24"/>
                <w:szCs w:val="24"/>
              </w:rPr>
              <w:fldChar w:fldCharType="end"/>
            </w:r>
          </w:p>
        </w:sdtContent>
      </w:sdt>
    </w:sdtContent>
  </w:sdt>
  <w:p w:rsidR="003152C9" w:rsidRDefault="00722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6D" w:rsidRDefault="00B2086D" w:rsidP="00B2086D">
      <w:pPr>
        <w:spacing w:after="0" w:line="240" w:lineRule="auto"/>
      </w:pPr>
      <w:r>
        <w:separator/>
      </w:r>
    </w:p>
  </w:footnote>
  <w:footnote w:type="continuationSeparator" w:id="0">
    <w:p w:rsidR="00B2086D" w:rsidRDefault="00B2086D" w:rsidP="00B20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80297"/>
    <w:multiLevelType w:val="hybridMultilevel"/>
    <w:tmpl w:val="18C8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E5F91"/>
    <w:multiLevelType w:val="hybridMultilevel"/>
    <w:tmpl w:val="E7E845E0"/>
    <w:lvl w:ilvl="0" w:tplc="9F7608C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6D"/>
    <w:rsid w:val="00037BA4"/>
    <w:rsid w:val="0013143E"/>
    <w:rsid w:val="00722A9C"/>
    <w:rsid w:val="00787DC3"/>
    <w:rsid w:val="008747A4"/>
    <w:rsid w:val="0096775B"/>
    <w:rsid w:val="00A729D3"/>
    <w:rsid w:val="00B2086D"/>
    <w:rsid w:val="00C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6D"/>
  </w:style>
  <w:style w:type="paragraph" w:styleId="Heading1">
    <w:name w:val="heading 1"/>
    <w:basedOn w:val="Normal"/>
    <w:next w:val="Normal"/>
    <w:link w:val="Heading1Char"/>
    <w:uiPriority w:val="9"/>
    <w:qFormat/>
    <w:rsid w:val="00B2086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Spacing"/>
    <w:next w:val="Normal"/>
    <w:link w:val="Heading3Char"/>
    <w:uiPriority w:val="9"/>
    <w:unhideWhenUsed/>
    <w:qFormat/>
    <w:rsid w:val="00B2086D"/>
    <w:pPr>
      <w:outlineLvl w:val="2"/>
    </w:pPr>
    <w:rPr>
      <w:rFonts w:ascii="Calibri" w:eastAsia="Calibri" w:hAnsi="Calibri" w:cs="Times New Roman"/>
      <w:b/>
      <w:b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86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B2086D"/>
    <w:rPr>
      <w:rFonts w:ascii="Calibri" w:eastAsia="Calibri" w:hAnsi="Calibri" w:cs="Times New Roman"/>
      <w:b/>
      <w:bCs/>
      <w:color w:val="365F91" w:themeColor="accent1" w:themeShade="BF"/>
      <w:sz w:val="24"/>
    </w:rPr>
  </w:style>
  <w:style w:type="paragraph" w:styleId="Header">
    <w:name w:val="header"/>
    <w:basedOn w:val="Normal"/>
    <w:link w:val="HeaderChar"/>
    <w:uiPriority w:val="99"/>
    <w:unhideWhenUsed/>
    <w:rsid w:val="00B20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86D"/>
  </w:style>
  <w:style w:type="paragraph" w:styleId="Footer">
    <w:name w:val="footer"/>
    <w:basedOn w:val="Normal"/>
    <w:link w:val="FooterChar"/>
    <w:uiPriority w:val="99"/>
    <w:unhideWhenUsed/>
    <w:rsid w:val="00B20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86D"/>
  </w:style>
  <w:style w:type="paragraph" w:styleId="NoSpacing">
    <w:name w:val="No Spacing"/>
    <w:uiPriority w:val="1"/>
    <w:qFormat/>
    <w:rsid w:val="00B2086D"/>
    <w:pPr>
      <w:spacing w:after="0" w:line="240" w:lineRule="auto"/>
    </w:pPr>
  </w:style>
  <w:style w:type="character" w:styleId="Hyperlink">
    <w:name w:val="Hyperlink"/>
    <w:basedOn w:val="DefaultParagraphFont"/>
    <w:uiPriority w:val="99"/>
    <w:unhideWhenUsed/>
    <w:rsid w:val="00B2086D"/>
    <w:rPr>
      <w:color w:val="0000FF" w:themeColor="hyperlink"/>
      <w:u w:val="single"/>
    </w:rPr>
  </w:style>
  <w:style w:type="table" w:styleId="TableGrid">
    <w:name w:val="Table Grid"/>
    <w:basedOn w:val="TableNormal"/>
    <w:uiPriority w:val="59"/>
    <w:rsid w:val="00B20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86D"/>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8747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47A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6D"/>
  </w:style>
  <w:style w:type="paragraph" w:styleId="Heading1">
    <w:name w:val="heading 1"/>
    <w:basedOn w:val="Normal"/>
    <w:next w:val="Normal"/>
    <w:link w:val="Heading1Char"/>
    <w:uiPriority w:val="9"/>
    <w:qFormat/>
    <w:rsid w:val="00B2086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Spacing"/>
    <w:next w:val="Normal"/>
    <w:link w:val="Heading3Char"/>
    <w:uiPriority w:val="9"/>
    <w:unhideWhenUsed/>
    <w:qFormat/>
    <w:rsid w:val="00B2086D"/>
    <w:pPr>
      <w:outlineLvl w:val="2"/>
    </w:pPr>
    <w:rPr>
      <w:rFonts w:ascii="Calibri" w:eastAsia="Calibri" w:hAnsi="Calibri" w:cs="Times New Roman"/>
      <w:b/>
      <w:b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86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B2086D"/>
    <w:rPr>
      <w:rFonts w:ascii="Calibri" w:eastAsia="Calibri" w:hAnsi="Calibri" w:cs="Times New Roman"/>
      <w:b/>
      <w:bCs/>
      <w:color w:val="365F91" w:themeColor="accent1" w:themeShade="BF"/>
      <w:sz w:val="24"/>
    </w:rPr>
  </w:style>
  <w:style w:type="paragraph" w:styleId="Header">
    <w:name w:val="header"/>
    <w:basedOn w:val="Normal"/>
    <w:link w:val="HeaderChar"/>
    <w:uiPriority w:val="99"/>
    <w:unhideWhenUsed/>
    <w:rsid w:val="00B20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86D"/>
  </w:style>
  <w:style w:type="paragraph" w:styleId="Footer">
    <w:name w:val="footer"/>
    <w:basedOn w:val="Normal"/>
    <w:link w:val="FooterChar"/>
    <w:uiPriority w:val="99"/>
    <w:unhideWhenUsed/>
    <w:rsid w:val="00B20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86D"/>
  </w:style>
  <w:style w:type="paragraph" w:styleId="NoSpacing">
    <w:name w:val="No Spacing"/>
    <w:uiPriority w:val="1"/>
    <w:qFormat/>
    <w:rsid w:val="00B2086D"/>
    <w:pPr>
      <w:spacing w:after="0" w:line="240" w:lineRule="auto"/>
    </w:pPr>
  </w:style>
  <w:style w:type="character" w:styleId="Hyperlink">
    <w:name w:val="Hyperlink"/>
    <w:basedOn w:val="DefaultParagraphFont"/>
    <w:uiPriority w:val="99"/>
    <w:unhideWhenUsed/>
    <w:rsid w:val="00B2086D"/>
    <w:rPr>
      <w:color w:val="0000FF" w:themeColor="hyperlink"/>
      <w:u w:val="single"/>
    </w:rPr>
  </w:style>
  <w:style w:type="table" w:styleId="TableGrid">
    <w:name w:val="Table Grid"/>
    <w:basedOn w:val="TableNormal"/>
    <w:uiPriority w:val="59"/>
    <w:rsid w:val="00B20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86D"/>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8747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47A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1976">
      <w:bodyDiv w:val="1"/>
      <w:marLeft w:val="0"/>
      <w:marRight w:val="0"/>
      <w:marTop w:val="0"/>
      <w:marBottom w:val="0"/>
      <w:divBdr>
        <w:top w:val="none" w:sz="0" w:space="0" w:color="auto"/>
        <w:left w:val="none" w:sz="0" w:space="0" w:color="auto"/>
        <w:bottom w:val="none" w:sz="0" w:space="0" w:color="auto"/>
        <w:right w:val="none" w:sz="0" w:space="0" w:color="auto"/>
      </w:divBdr>
    </w:div>
    <w:div w:id="15163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dc.gov/vaccines/programs/iis/interop-proj/downloads/SOAP-br.pdf" TargetMode="External"/><Relationship Id="rId4" Type="http://schemas.microsoft.com/office/2007/relationships/stylesWithEffects" Target="stylesWithEffects.xml"/><Relationship Id="rId9" Type="http://schemas.openxmlformats.org/officeDocument/2006/relationships/hyperlink" Target="http://www.cdc.gov/vaccines/programs/iis/technical-guidance/SOAP/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E675-A16F-4A0C-ADEE-83F1C581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Cecile M (IHS/HQ)</dc:creator>
  <cp:lastModifiedBy>Groom, Amy V. (IHS/HQ)</cp:lastModifiedBy>
  <cp:revision>4</cp:revision>
  <dcterms:created xsi:type="dcterms:W3CDTF">2015-05-01T20:06:00Z</dcterms:created>
  <dcterms:modified xsi:type="dcterms:W3CDTF">2015-05-01T20:13:00Z</dcterms:modified>
</cp:coreProperties>
</file>