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CD6F7" w14:textId="77777777" w:rsidR="00BD78D6" w:rsidRDefault="00BD78D6">
      <w:bookmarkStart w:id="0" w:name="_GoBack"/>
      <w:bookmarkEnd w:id="0"/>
    </w:p>
    <w:p w14:paraId="234D3370" w14:textId="77777777" w:rsidR="00552562" w:rsidRDefault="00552562"/>
    <w:p w14:paraId="526D8DA8" w14:textId="77777777" w:rsidR="00552562" w:rsidRPr="008D21F2" w:rsidRDefault="00552562" w:rsidP="00552562">
      <w:pPr>
        <w:rPr>
          <w:rFonts w:ascii="Calibri" w:hAnsi="Calibri"/>
          <w:sz w:val="22"/>
          <w:szCs w:val="22"/>
        </w:rPr>
      </w:pPr>
      <w:r w:rsidRPr="008D21F2">
        <w:rPr>
          <w:rFonts w:ascii="Calibri" w:hAnsi="Calibri"/>
          <w:sz w:val="22"/>
          <w:szCs w:val="22"/>
        </w:rPr>
        <w:t>April 3, 2015</w:t>
      </w:r>
    </w:p>
    <w:p w14:paraId="4FE04903" w14:textId="77777777" w:rsidR="00552562" w:rsidRPr="008D21F2" w:rsidRDefault="00552562" w:rsidP="00552562">
      <w:pPr>
        <w:rPr>
          <w:rFonts w:ascii="Calibri" w:hAnsi="Calibri"/>
          <w:sz w:val="22"/>
          <w:szCs w:val="22"/>
        </w:rPr>
      </w:pPr>
    </w:p>
    <w:p w14:paraId="6A5DE6E8" w14:textId="77777777" w:rsidR="00552562" w:rsidRPr="008D21F2" w:rsidRDefault="00552562" w:rsidP="00552562">
      <w:pPr>
        <w:spacing w:line="280" w:lineRule="exact"/>
        <w:rPr>
          <w:rFonts w:ascii="Calibri" w:hAnsi="Calibri"/>
          <w:sz w:val="22"/>
          <w:szCs w:val="22"/>
        </w:rPr>
      </w:pPr>
      <w:r w:rsidRPr="008D21F2">
        <w:rPr>
          <w:rFonts w:ascii="Calibri" w:hAnsi="Calibri"/>
          <w:sz w:val="22"/>
          <w:szCs w:val="22"/>
        </w:rPr>
        <w:t xml:space="preserve">Karen B. DeSalvo, MD, MPH, MSc </w:t>
      </w:r>
    </w:p>
    <w:p w14:paraId="2F7044EC" w14:textId="77777777" w:rsidR="00552562" w:rsidRPr="008D21F2" w:rsidRDefault="00552562" w:rsidP="00552562">
      <w:pPr>
        <w:spacing w:line="280" w:lineRule="exact"/>
        <w:rPr>
          <w:rFonts w:ascii="Calibri" w:hAnsi="Calibri"/>
          <w:sz w:val="22"/>
          <w:szCs w:val="22"/>
        </w:rPr>
      </w:pPr>
      <w:r w:rsidRPr="008D21F2">
        <w:rPr>
          <w:rFonts w:ascii="Calibri" w:hAnsi="Calibri"/>
          <w:sz w:val="22"/>
          <w:szCs w:val="22"/>
        </w:rPr>
        <w:t>National Coordinator for Health Information Technology</w:t>
      </w:r>
    </w:p>
    <w:p w14:paraId="0110E822" w14:textId="77777777" w:rsidR="00552562" w:rsidRPr="008D21F2" w:rsidRDefault="00552562" w:rsidP="00552562">
      <w:pPr>
        <w:spacing w:line="280" w:lineRule="exact"/>
        <w:rPr>
          <w:rFonts w:ascii="Calibri" w:hAnsi="Calibri"/>
          <w:sz w:val="22"/>
          <w:szCs w:val="22"/>
        </w:rPr>
      </w:pPr>
      <w:r w:rsidRPr="008D21F2">
        <w:rPr>
          <w:rFonts w:ascii="Calibri" w:hAnsi="Calibri"/>
          <w:sz w:val="22"/>
          <w:szCs w:val="22"/>
        </w:rPr>
        <w:t xml:space="preserve">Office of the National Coordination for Health Information Technology </w:t>
      </w:r>
    </w:p>
    <w:p w14:paraId="00A5FE07" w14:textId="77777777" w:rsidR="00552562" w:rsidRPr="008D21F2" w:rsidRDefault="00552562" w:rsidP="00552562">
      <w:pPr>
        <w:spacing w:line="280" w:lineRule="exact"/>
        <w:rPr>
          <w:rFonts w:ascii="Calibri" w:hAnsi="Calibri"/>
          <w:sz w:val="22"/>
          <w:szCs w:val="22"/>
        </w:rPr>
      </w:pPr>
      <w:r w:rsidRPr="008D21F2">
        <w:rPr>
          <w:rFonts w:ascii="Calibri" w:hAnsi="Calibri"/>
          <w:sz w:val="22"/>
          <w:szCs w:val="22"/>
        </w:rPr>
        <w:t xml:space="preserve">Department of Health and Human Services </w:t>
      </w:r>
    </w:p>
    <w:p w14:paraId="7B0F0352" w14:textId="77777777" w:rsidR="00552562" w:rsidRPr="008D21F2" w:rsidRDefault="00552562" w:rsidP="00552562">
      <w:pPr>
        <w:spacing w:line="280" w:lineRule="exact"/>
        <w:rPr>
          <w:rStyle w:val="st1"/>
          <w:rFonts w:ascii="Calibri" w:hAnsi="Calibri"/>
          <w:color w:val="000000" w:themeColor="text1"/>
          <w:sz w:val="22"/>
          <w:szCs w:val="22"/>
          <w:lang w:val="en"/>
        </w:rPr>
      </w:pPr>
      <w:r w:rsidRPr="008D21F2">
        <w:rPr>
          <w:rStyle w:val="st1"/>
          <w:rFonts w:ascii="Calibri" w:hAnsi="Calibri"/>
          <w:color w:val="000000" w:themeColor="text1"/>
          <w:sz w:val="22"/>
          <w:szCs w:val="22"/>
          <w:lang w:val="en"/>
        </w:rPr>
        <w:t xml:space="preserve">200 Independence Ave SW </w:t>
      </w:r>
    </w:p>
    <w:p w14:paraId="09FF4FA6" w14:textId="77777777" w:rsidR="00552562" w:rsidRPr="008D21F2" w:rsidRDefault="00552562" w:rsidP="00552562">
      <w:pPr>
        <w:spacing w:line="280" w:lineRule="exact"/>
        <w:rPr>
          <w:rFonts w:ascii="Calibri" w:hAnsi="Calibri"/>
          <w:sz w:val="22"/>
          <w:szCs w:val="22"/>
        </w:rPr>
      </w:pPr>
      <w:r w:rsidRPr="008D21F2">
        <w:rPr>
          <w:rStyle w:val="st1"/>
          <w:rFonts w:ascii="Calibri" w:hAnsi="Calibri"/>
          <w:color w:val="000000" w:themeColor="text1"/>
          <w:sz w:val="22"/>
          <w:szCs w:val="22"/>
          <w:lang w:val="en"/>
        </w:rPr>
        <w:t>Washington, DC 20201</w:t>
      </w:r>
    </w:p>
    <w:p w14:paraId="229F38FF" w14:textId="77777777" w:rsidR="00552562" w:rsidRPr="008D21F2" w:rsidRDefault="00552562" w:rsidP="00552562">
      <w:pPr>
        <w:rPr>
          <w:rFonts w:ascii="Calibri" w:hAnsi="Calibri"/>
          <w:sz w:val="22"/>
          <w:szCs w:val="22"/>
        </w:rPr>
      </w:pPr>
    </w:p>
    <w:p w14:paraId="515A5020" w14:textId="77777777" w:rsidR="00552562" w:rsidRPr="008D21F2" w:rsidRDefault="00552562" w:rsidP="00552562">
      <w:pPr>
        <w:rPr>
          <w:rFonts w:ascii="Calibri" w:hAnsi="Calibri"/>
          <w:sz w:val="22"/>
          <w:szCs w:val="22"/>
        </w:rPr>
      </w:pPr>
    </w:p>
    <w:p w14:paraId="10C0AC07" w14:textId="77777777" w:rsidR="00552562" w:rsidRPr="008D21F2" w:rsidRDefault="00552562" w:rsidP="00552562">
      <w:pPr>
        <w:rPr>
          <w:rFonts w:ascii="Calibri" w:hAnsi="Calibri"/>
          <w:sz w:val="22"/>
          <w:szCs w:val="22"/>
        </w:rPr>
      </w:pPr>
      <w:r w:rsidRPr="008D21F2">
        <w:rPr>
          <w:rFonts w:ascii="Calibri" w:hAnsi="Calibri"/>
          <w:sz w:val="22"/>
          <w:szCs w:val="22"/>
        </w:rPr>
        <w:t>Dear Dr. DeSalvo:</w:t>
      </w:r>
    </w:p>
    <w:p w14:paraId="0350EBAA" w14:textId="77777777" w:rsidR="00552562" w:rsidRPr="008D21F2" w:rsidRDefault="00552562" w:rsidP="00552562">
      <w:pPr>
        <w:rPr>
          <w:rFonts w:ascii="Calibri" w:hAnsi="Calibri"/>
          <w:sz w:val="22"/>
          <w:szCs w:val="22"/>
        </w:rPr>
      </w:pPr>
    </w:p>
    <w:p w14:paraId="0FC28B54" w14:textId="77777777" w:rsidR="00552562" w:rsidRPr="008D21F2" w:rsidRDefault="00297FB8" w:rsidP="00552562">
      <w:pPr>
        <w:widowControl w:val="0"/>
        <w:autoSpaceDE w:val="0"/>
        <w:autoSpaceDN w:val="0"/>
        <w:adjustRightInd w:val="0"/>
        <w:rPr>
          <w:rFonts w:ascii="Calibri" w:hAnsi="Calibri" w:cs="Calibri"/>
          <w:sz w:val="22"/>
          <w:szCs w:val="22"/>
        </w:rPr>
      </w:pPr>
      <w:hyperlink r:id="rId7" w:history="1">
        <w:r w:rsidR="00552562" w:rsidRPr="008D21F2">
          <w:rPr>
            <w:rFonts w:ascii="Calibri" w:hAnsi="Calibri" w:cs="Calibri"/>
            <w:color w:val="0000FF"/>
            <w:sz w:val="22"/>
            <w:szCs w:val="22"/>
            <w:u w:val="single"/>
          </w:rPr>
          <w:t>Cambia Health Solutions</w:t>
        </w:r>
      </w:hyperlink>
      <w:r w:rsidR="00552562" w:rsidRPr="008D21F2">
        <w:rPr>
          <w:rFonts w:ascii="Calibri" w:hAnsi="Calibri" w:cs="Calibri"/>
          <w:sz w:val="22"/>
          <w:szCs w:val="22"/>
        </w:rPr>
        <w:t xml:space="preserve"> is a health care solutions company headquartered in Portland, Oregon. With </w:t>
      </w:r>
      <w:hyperlink r:id="rId8" w:history="1">
        <w:r w:rsidR="00552562" w:rsidRPr="008D21F2">
          <w:rPr>
            <w:rFonts w:ascii="Calibri" w:hAnsi="Calibri" w:cs="Calibri"/>
            <w:color w:val="0000FF"/>
            <w:sz w:val="22"/>
            <w:szCs w:val="22"/>
            <w:u w:val="single"/>
          </w:rPr>
          <w:t>six health plans</w:t>
        </w:r>
      </w:hyperlink>
      <w:r w:rsidR="00552562" w:rsidRPr="008D21F2">
        <w:rPr>
          <w:rFonts w:ascii="Calibri" w:hAnsi="Calibri" w:cs="Calibri"/>
          <w:sz w:val="22"/>
          <w:szCs w:val="22"/>
        </w:rPr>
        <w:t xml:space="preserve"> that serve members throughout Oregon, Washington, Idaho and Utah, our focus is to transform health care by exploring innovative, person-centered and economically sustainable models of care.</w:t>
      </w:r>
    </w:p>
    <w:p w14:paraId="3B16F46F" w14:textId="77777777" w:rsidR="00552562" w:rsidRPr="008D21F2" w:rsidRDefault="00552562" w:rsidP="00552562">
      <w:pPr>
        <w:widowControl w:val="0"/>
        <w:autoSpaceDE w:val="0"/>
        <w:autoSpaceDN w:val="0"/>
        <w:adjustRightInd w:val="0"/>
        <w:rPr>
          <w:rFonts w:ascii="Calibri" w:hAnsi="Calibri" w:cs="Calibri"/>
          <w:sz w:val="22"/>
          <w:szCs w:val="22"/>
        </w:rPr>
      </w:pPr>
    </w:p>
    <w:p w14:paraId="3567E038" w14:textId="77777777" w:rsidR="00552562" w:rsidRPr="008D21F2" w:rsidRDefault="00552562" w:rsidP="00552562">
      <w:pPr>
        <w:widowControl w:val="0"/>
        <w:autoSpaceDE w:val="0"/>
        <w:autoSpaceDN w:val="0"/>
        <w:adjustRightInd w:val="0"/>
        <w:rPr>
          <w:rFonts w:ascii="Calibri" w:hAnsi="Calibri" w:cs="Calibri"/>
          <w:sz w:val="22"/>
          <w:szCs w:val="22"/>
          <w:lang w:val="en"/>
        </w:rPr>
      </w:pPr>
      <w:r w:rsidRPr="008D21F2">
        <w:rPr>
          <w:rFonts w:ascii="Calibri" w:hAnsi="Calibri" w:cs="Calibri"/>
          <w:sz w:val="22"/>
          <w:szCs w:val="22"/>
        </w:rPr>
        <w:t xml:space="preserve">Evolving from its health plan roots, Cambia is building </w:t>
      </w:r>
      <w:hyperlink r:id="rId9" w:history="1">
        <w:r w:rsidRPr="008D21F2">
          <w:rPr>
            <w:rFonts w:ascii="Calibri" w:hAnsi="Calibri" w:cs="Calibri"/>
            <w:color w:val="0000FF"/>
            <w:sz w:val="22"/>
            <w:szCs w:val="22"/>
            <w:u w:val="single"/>
          </w:rPr>
          <w:t>a family of companies</w:t>
        </w:r>
      </w:hyperlink>
      <w:r w:rsidRPr="008D21F2">
        <w:rPr>
          <w:rFonts w:ascii="Calibri" w:hAnsi="Calibri" w:cs="Calibri"/>
          <w:sz w:val="22"/>
          <w:szCs w:val="22"/>
        </w:rPr>
        <w:t xml:space="preserve"> to become a comprehensive health solutions organization. Holding a mix of wholly-owned and minority interest direct investments, Cambia’s portfolio includes more than 20 companies in addition to its health plans. </w:t>
      </w:r>
      <w:r w:rsidRPr="008D21F2">
        <w:rPr>
          <w:rFonts w:ascii="Calibri" w:hAnsi="Calibri" w:cs="Calibri"/>
          <w:sz w:val="22"/>
          <w:szCs w:val="22"/>
          <w:lang w:val="en"/>
        </w:rPr>
        <w:t>From information technology and retail health care to pharmacy benefit management and health insurance plans, our growing portfolio of innovative and diverse companies are helping to transform health care in the 21st century.</w:t>
      </w:r>
    </w:p>
    <w:p w14:paraId="7AAC215C" w14:textId="77777777" w:rsidR="00552562" w:rsidRPr="008D21F2" w:rsidRDefault="00552562" w:rsidP="00552562">
      <w:pPr>
        <w:widowControl w:val="0"/>
        <w:autoSpaceDE w:val="0"/>
        <w:autoSpaceDN w:val="0"/>
        <w:adjustRightInd w:val="0"/>
        <w:rPr>
          <w:rFonts w:ascii="Calibri" w:hAnsi="Calibri"/>
          <w:sz w:val="22"/>
          <w:szCs w:val="22"/>
        </w:rPr>
      </w:pPr>
    </w:p>
    <w:p w14:paraId="6D11A1DA" w14:textId="77777777" w:rsidR="00552562" w:rsidRPr="008D21F2" w:rsidRDefault="00552562" w:rsidP="00552562">
      <w:pPr>
        <w:widowControl w:val="0"/>
        <w:autoSpaceDE w:val="0"/>
        <w:autoSpaceDN w:val="0"/>
        <w:adjustRightInd w:val="0"/>
        <w:rPr>
          <w:rFonts w:ascii="Calibri" w:hAnsi="Calibri" w:cs="Calibri"/>
          <w:sz w:val="22"/>
          <w:szCs w:val="22"/>
        </w:rPr>
      </w:pPr>
      <w:r w:rsidRPr="008D21F2">
        <w:rPr>
          <w:rFonts w:ascii="Calibri" w:hAnsi="Calibri" w:cs="Calibri"/>
          <w:sz w:val="22"/>
          <w:szCs w:val="22"/>
          <w:lang w:val="en"/>
        </w:rPr>
        <w:t xml:space="preserve">To expand our commitment to health care innovation, Cambia launched the </w:t>
      </w:r>
      <w:hyperlink r:id="rId10" w:history="1">
        <w:r w:rsidRPr="008D21F2">
          <w:rPr>
            <w:rFonts w:ascii="Calibri" w:hAnsi="Calibri" w:cs="Calibri"/>
            <w:color w:val="0000FF"/>
            <w:sz w:val="22"/>
            <w:szCs w:val="22"/>
            <w:u w:val="single"/>
            <w:lang w:val="en"/>
          </w:rPr>
          <w:t>Cambia Grove</w:t>
        </w:r>
      </w:hyperlink>
      <w:r w:rsidRPr="008D21F2">
        <w:rPr>
          <w:rFonts w:ascii="Calibri" w:hAnsi="Calibri" w:cs="Calibri"/>
          <w:sz w:val="22"/>
          <w:szCs w:val="22"/>
        </w:rPr>
        <w:t xml:space="preserve"> in 2015, a community space for the Pacific Northwest's emerging health care economic cluster to catalyze the development of transformative, value-driven health solutions.</w:t>
      </w:r>
    </w:p>
    <w:p w14:paraId="3888BADC" w14:textId="77777777" w:rsidR="00552562" w:rsidRPr="008D21F2" w:rsidRDefault="00552562" w:rsidP="00552562">
      <w:pPr>
        <w:widowControl w:val="0"/>
        <w:autoSpaceDE w:val="0"/>
        <w:autoSpaceDN w:val="0"/>
        <w:adjustRightInd w:val="0"/>
        <w:rPr>
          <w:rFonts w:ascii="Calibri" w:hAnsi="Calibri" w:cs="Calibri"/>
          <w:sz w:val="22"/>
          <w:szCs w:val="22"/>
        </w:rPr>
      </w:pPr>
    </w:p>
    <w:p w14:paraId="70756E40" w14:textId="22BF25C0" w:rsidR="00552562" w:rsidRPr="008D21F2" w:rsidRDefault="00552562" w:rsidP="00552562">
      <w:pPr>
        <w:widowControl w:val="0"/>
        <w:autoSpaceDE w:val="0"/>
        <w:autoSpaceDN w:val="0"/>
        <w:adjustRightInd w:val="0"/>
        <w:rPr>
          <w:rFonts w:ascii="Calibri" w:hAnsi="Calibri" w:cs="Calibri"/>
          <w:sz w:val="22"/>
          <w:szCs w:val="22"/>
        </w:rPr>
      </w:pPr>
      <w:r w:rsidRPr="008D21F2">
        <w:rPr>
          <w:rFonts w:ascii="Calibri" w:hAnsi="Calibri" w:cs="Calibri"/>
          <w:sz w:val="22"/>
          <w:szCs w:val="22"/>
        </w:rPr>
        <w:t>We believe interoperability is a fundamental enabler of providing consumers a seamless health care experience</w:t>
      </w:r>
      <w:r w:rsidRPr="008D21F2">
        <w:rPr>
          <w:rFonts w:ascii="Calibri" w:hAnsi="Calibri" w:cs="Calibri"/>
          <w:sz w:val="22"/>
          <w:szCs w:val="22"/>
          <w:lang w:val="en"/>
        </w:rPr>
        <w:t xml:space="preserve">. Accordingly, Cambia appreciates the opportunity to provide the </w:t>
      </w:r>
      <w:r w:rsidR="0050611B" w:rsidRPr="008D21F2">
        <w:rPr>
          <w:rFonts w:ascii="Calibri" w:hAnsi="Calibri" w:cs="Calibri"/>
          <w:sz w:val="22"/>
          <w:szCs w:val="22"/>
          <w:lang w:val="en"/>
        </w:rPr>
        <w:t xml:space="preserve">included </w:t>
      </w:r>
      <w:r w:rsidRPr="008D21F2">
        <w:rPr>
          <w:rFonts w:ascii="Calibri" w:hAnsi="Calibri" w:cs="Calibri"/>
          <w:sz w:val="22"/>
          <w:szCs w:val="22"/>
          <w:lang w:val="en"/>
        </w:rPr>
        <w:t xml:space="preserve">comments on </w:t>
      </w:r>
      <w:r w:rsidRPr="008D21F2">
        <w:rPr>
          <w:rFonts w:ascii="Calibri" w:hAnsi="Calibri" w:cs="Calibri"/>
          <w:i/>
          <w:iCs/>
          <w:sz w:val="22"/>
          <w:szCs w:val="22"/>
        </w:rPr>
        <w:t xml:space="preserve">Connecting Health and Care for the Nation: A Shared Nationwide Interoperability Roadmap </w:t>
      </w:r>
      <w:r w:rsidRPr="008D21F2">
        <w:rPr>
          <w:rFonts w:ascii="Calibri" w:hAnsi="Calibri" w:cs="Calibri"/>
          <w:sz w:val="22"/>
          <w:szCs w:val="22"/>
        </w:rPr>
        <w:t xml:space="preserve">(DRAFT Version 1.0).  </w:t>
      </w:r>
    </w:p>
    <w:p w14:paraId="58A5C0D2" w14:textId="77777777" w:rsidR="00552562" w:rsidRPr="008D21F2" w:rsidRDefault="00552562" w:rsidP="00552562">
      <w:pPr>
        <w:widowControl w:val="0"/>
        <w:autoSpaceDE w:val="0"/>
        <w:autoSpaceDN w:val="0"/>
        <w:adjustRightInd w:val="0"/>
        <w:rPr>
          <w:rFonts w:ascii="Calibri" w:hAnsi="Calibri" w:cs="Calibri"/>
          <w:sz w:val="22"/>
          <w:szCs w:val="22"/>
        </w:rPr>
      </w:pPr>
    </w:p>
    <w:p w14:paraId="388031B8" w14:textId="4B63A06E" w:rsidR="00552562" w:rsidRPr="008D21F2" w:rsidRDefault="00552562" w:rsidP="0050611B">
      <w:pPr>
        <w:widowControl w:val="0"/>
        <w:autoSpaceDE w:val="0"/>
        <w:autoSpaceDN w:val="0"/>
        <w:adjustRightInd w:val="0"/>
        <w:rPr>
          <w:rFonts w:ascii="Calibri" w:hAnsi="Calibri"/>
          <w:sz w:val="22"/>
          <w:szCs w:val="22"/>
        </w:rPr>
      </w:pPr>
      <w:r w:rsidRPr="008D21F2">
        <w:rPr>
          <w:rFonts w:ascii="Calibri" w:hAnsi="Calibri"/>
          <w:sz w:val="22"/>
          <w:szCs w:val="22"/>
        </w:rPr>
        <w:t xml:space="preserve">Thank you for your consideration of our </w:t>
      </w:r>
      <w:r w:rsidR="0050611B" w:rsidRPr="008D21F2">
        <w:rPr>
          <w:rFonts w:ascii="Calibri" w:hAnsi="Calibri"/>
          <w:sz w:val="22"/>
          <w:szCs w:val="22"/>
        </w:rPr>
        <w:t>feedback</w:t>
      </w:r>
      <w:r w:rsidRPr="008D21F2">
        <w:rPr>
          <w:rFonts w:ascii="Calibri" w:hAnsi="Calibri"/>
          <w:sz w:val="22"/>
          <w:szCs w:val="22"/>
        </w:rPr>
        <w:t xml:space="preserve">. We look forward to working with </w:t>
      </w:r>
      <w:r w:rsidR="00D1413B">
        <w:rPr>
          <w:rFonts w:ascii="Calibri" w:hAnsi="Calibri"/>
          <w:sz w:val="22"/>
          <w:szCs w:val="22"/>
        </w:rPr>
        <w:t>y</w:t>
      </w:r>
      <w:r w:rsidR="0050611B" w:rsidRPr="008D21F2">
        <w:rPr>
          <w:rFonts w:ascii="Calibri" w:hAnsi="Calibri"/>
          <w:sz w:val="22"/>
          <w:szCs w:val="22"/>
        </w:rPr>
        <w:t xml:space="preserve">our office </w:t>
      </w:r>
      <w:r w:rsidRPr="008D21F2">
        <w:rPr>
          <w:rFonts w:ascii="Calibri" w:hAnsi="Calibri"/>
          <w:sz w:val="22"/>
          <w:szCs w:val="22"/>
        </w:rPr>
        <w:t xml:space="preserve">to ensure that </w:t>
      </w:r>
      <w:r w:rsidR="0050611B" w:rsidRPr="008D21F2">
        <w:rPr>
          <w:rFonts w:ascii="Calibri" w:hAnsi="Calibri"/>
          <w:sz w:val="22"/>
          <w:szCs w:val="22"/>
        </w:rPr>
        <w:t>individual health consumers realize the benefits of improved interoperability.</w:t>
      </w:r>
      <w:r w:rsidRPr="008D21F2">
        <w:rPr>
          <w:rFonts w:ascii="Calibri" w:hAnsi="Calibri"/>
          <w:sz w:val="22"/>
          <w:szCs w:val="22"/>
        </w:rPr>
        <w:t xml:space="preserve">  If you have questions, please contact </w:t>
      </w:r>
      <w:r w:rsidR="0050611B" w:rsidRPr="008D21F2">
        <w:rPr>
          <w:rFonts w:ascii="Calibri" w:hAnsi="Calibri"/>
          <w:sz w:val="22"/>
          <w:szCs w:val="22"/>
        </w:rPr>
        <w:t xml:space="preserve">Max Templeton </w:t>
      </w:r>
      <w:r w:rsidRPr="008D21F2">
        <w:rPr>
          <w:rFonts w:ascii="Calibri" w:hAnsi="Calibri"/>
          <w:sz w:val="22"/>
          <w:szCs w:val="22"/>
        </w:rPr>
        <w:t xml:space="preserve">at </w:t>
      </w:r>
      <w:r w:rsidR="0050611B" w:rsidRPr="008D21F2">
        <w:rPr>
          <w:rFonts w:ascii="Calibri" w:hAnsi="Calibri"/>
          <w:sz w:val="22"/>
          <w:szCs w:val="22"/>
        </w:rPr>
        <w:t xml:space="preserve">503-450-1747 or </w:t>
      </w:r>
      <w:hyperlink r:id="rId11" w:history="1">
        <w:r w:rsidR="0050611B" w:rsidRPr="008D21F2">
          <w:rPr>
            <w:rStyle w:val="Hyperlink"/>
            <w:rFonts w:ascii="Calibri" w:hAnsi="Calibri"/>
            <w:sz w:val="22"/>
            <w:szCs w:val="22"/>
          </w:rPr>
          <w:t>max.templeton@cambiahealth.com</w:t>
        </w:r>
      </w:hyperlink>
      <w:r w:rsidR="0050611B" w:rsidRPr="008D21F2">
        <w:rPr>
          <w:rFonts w:ascii="Calibri" w:hAnsi="Calibri"/>
          <w:sz w:val="22"/>
          <w:szCs w:val="22"/>
        </w:rPr>
        <w:t>.</w:t>
      </w:r>
    </w:p>
    <w:p w14:paraId="1059EEE1" w14:textId="77777777" w:rsidR="0050611B" w:rsidRPr="008D21F2" w:rsidRDefault="0050611B" w:rsidP="00552562">
      <w:pPr>
        <w:widowControl w:val="0"/>
        <w:autoSpaceDE w:val="0"/>
        <w:autoSpaceDN w:val="0"/>
        <w:adjustRightInd w:val="0"/>
        <w:rPr>
          <w:rFonts w:ascii="Calibri" w:hAnsi="Calibri" w:cs="Calibri"/>
          <w:sz w:val="22"/>
          <w:szCs w:val="22"/>
        </w:rPr>
      </w:pPr>
    </w:p>
    <w:p w14:paraId="652DD66C" w14:textId="77777777" w:rsidR="0050611B" w:rsidRPr="008D21F2" w:rsidRDefault="0050611B" w:rsidP="00552562">
      <w:pPr>
        <w:widowControl w:val="0"/>
        <w:autoSpaceDE w:val="0"/>
        <w:autoSpaceDN w:val="0"/>
        <w:adjustRightInd w:val="0"/>
        <w:rPr>
          <w:rFonts w:ascii="Calibri" w:hAnsi="Calibri" w:cs="Calibri"/>
          <w:sz w:val="22"/>
          <w:szCs w:val="22"/>
        </w:rPr>
      </w:pPr>
      <w:r w:rsidRPr="008D21F2">
        <w:rPr>
          <w:rFonts w:ascii="Calibri" w:hAnsi="Calibri" w:cs="Calibri"/>
          <w:sz w:val="22"/>
          <w:szCs w:val="22"/>
        </w:rPr>
        <w:t>Sincerely,</w:t>
      </w:r>
    </w:p>
    <w:p w14:paraId="398D6BCD" w14:textId="77777777" w:rsidR="0050611B" w:rsidRPr="008D21F2" w:rsidRDefault="0050611B" w:rsidP="00552562">
      <w:pPr>
        <w:widowControl w:val="0"/>
        <w:autoSpaceDE w:val="0"/>
        <w:autoSpaceDN w:val="0"/>
        <w:adjustRightInd w:val="0"/>
        <w:rPr>
          <w:rFonts w:ascii="Calibri" w:hAnsi="Calibri" w:cs="Calibri"/>
          <w:sz w:val="22"/>
          <w:szCs w:val="22"/>
        </w:rPr>
      </w:pPr>
    </w:p>
    <w:p w14:paraId="016D7C7B" w14:textId="77777777" w:rsidR="0050611B" w:rsidRPr="008D21F2" w:rsidRDefault="0050611B" w:rsidP="00552562">
      <w:pPr>
        <w:widowControl w:val="0"/>
        <w:autoSpaceDE w:val="0"/>
        <w:autoSpaceDN w:val="0"/>
        <w:adjustRightInd w:val="0"/>
        <w:rPr>
          <w:rFonts w:ascii="Calibri" w:hAnsi="Calibri" w:cs="Calibri"/>
          <w:sz w:val="22"/>
          <w:szCs w:val="22"/>
        </w:rPr>
      </w:pPr>
    </w:p>
    <w:p w14:paraId="44BDC738" w14:textId="77777777" w:rsidR="009C53CD" w:rsidRDefault="009C53CD" w:rsidP="00552562">
      <w:pPr>
        <w:widowControl w:val="0"/>
        <w:autoSpaceDE w:val="0"/>
        <w:autoSpaceDN w:val="0"/>
        <w:adjustRightInd w:val="0"/>
        <w:rPr>
          <w:rFonts w:ascii="Calibri" w:hAnsi="Calibri" w:cs="Calibri"/>
          <w:sz w:val="22"/>
          <w:szCs w:val="22"/>
        </w:rPr>
      </w:pPr>
    </w:p>
    <w:p w14:paraId="0B163666" w14:textId="435FE2B3" w:rsidR="0050611B" w:rsidRDefault="009C53CD" w:rsidP="00552562">
      <w:pPr>
        <w:widowControl w:val="0"/>
        <w:autoSpaceDE w:val="0"/>
        <w:autoSpaceDN w:val="0"/>
        <w:adjustRightInd w:val="0"/>
        <w:rPr>
          <w:rFonts w:ascii="Calibri" w:hAnsi="Calibri" w:cs="Calibri"/>
          <w:sz w:val="22"/>
          <w:szCs w:val="22"/>
        </w:rPr>
      </w:pPr>
      <w:r>
        <w:rPr>
          <w:rFonts w:ascii="Calibri" w:hAnsi="Calibri" w:cs="Calibri"/>
          <w:sz w:val="22"/>
          <w:szCs w:val="22"/>
        </w:rPr>
        <w:t>John Cimral</w:t>
      </w:r>
    </w:p>
    <w:p w14:paraId="22D79445" w14:textId="382A22DC" w:rsidR="009C53CD" w:rsidRDefault="009C53CD" w:rsidP="00552562">
      <w:pPr>
        <w:widowControl w:val="0"/>
        <w:autoSpaceDE w:val="0"/>
        <w:autoSpaceDN w:val="0"/>
        <w:adjustRightInd w:val="0"/>
        <w:rPr>
          <w:rFonts w:ascii="Calibri" w:hAnsi="Calibri" w:cs="Calibri"/>
          <w:sz w:val="22"/>
          <w:szCs w:val="22"/>
        </w:rPr>
      </w:pPr>
      <w:r>
        <w:rPr>
          <w:rFonts w:ascii="Calibri" w:hAnsi="Calibri" w:cs="Calibri"/>
          <w:sz w:val="22"/>
          <w:szCs w:val="22"/>
        </w:rPr>
        <w:t>Senior Vice President, Information Technology</w:t>
      </w:r>
    </w:p>
    <w:p w14:paraId="283C9B9A" w14:textId="43882970" w:rsidR="009C53CD" w:rsidRPr="008D21F2" w:rsidRDefault="009C53CD" w:rsidP="00552562">
      <w:pPr>
        <w:widowControl w:val="0"/>
        <w:autoSpaceDE w:val="0"/>
        <w:autoSpaceDN w:val="0"/>
        <w:adjustRightInd w:val="0"/>
        <w:rPr>
          <w:rFonts w:ascii="Calibri" w:hAnsi="Calibri" w:cs="Calibri"/>
          <w:sz w:val="22"/>
          <w:szCs w:val="22"/>
        </w:rPr>
      </w:pPr>
      <w:r>
        <w:rPr>
          <w:rFonts w:ascii="Calibri" w:hAnsi="Calibri" w:cs="Calibri"/>
          <w:sz w:val="22"/>
          <w:szCs w:val="22"/>
        </w:rPr>
        <w:t>Chief Information Officer</w:t>
      </w:r>
    </w:p>
    <w:p w14:paraId="1BCFC0CD" w14:textId="77777777" w:rsidR="00906779" w:rsidRPr="00906779" w:rsidRDefault="00906779" w:rsidP="00906779">
      <w:pPr>
        <w:widowControl w:val="0"/>
        <w:autoSpaceDE w:val="0"/>
        <w:autoSpaceDN w:val="0"/>
        <w:adjustRightInd w:val="0"/>
        <w:rPr>
          <w:rFonts w:asciiTheme="majorHAnsi" w:hAnsiTheme="majorHAnsi" w:cs="Calibri"/>
          <w:b/>
          <w:color w:val="000000"/>
          <w:szCs w:val="22"/>
        </w:rPr>
      </w:pPr>
      <w:r w:rsidRPr="00906779">
        <w:rPr>
          <w:rFonts w:asciiTheme="majorHAnsi" w:hAnsiTheme="majorHAnsi" w:cs="Calibri"/>
          <w:b/>
          <w:color w:val="000000"/>
          <w:szCs w:val="22"/>
        </w:rPr>
        <w:lastRenderedPageBreak/>
        <w:t>Cambia Health Solutions Comments and Recommendations on ‘Connecting Health and Care for the Nation: A Shared Nationwide Interoperability Roadmap (DRAFT Version 1.0)</w:t>
      </w:r>
    </w:p>
    <w:p w14:paraId="5748BC17" w14:textId="77777777" w:rsidR="00906779" w:rsidRDefault="00906779" w:rsidP="00552562">
      <w:pPr>
        <w:widowControl w:val="0"/>
        <w:autoSpaceDE w:val="0"/>
        <w:autoSpaceDN w:val="0"/>
        <w:adjustRightInd w:val="0"/>
        <w:rPr>
          <w:rFonts w:asciiTheme="majorHAnsi" w:hAnsiTheme="majorHAnsi" w:cs="Calibri"/>
          <w:b/>
          <w:color w:val="000000"/>
          <w:sz w:val="22"/>
          <w:szCs w:val="22"/>
        </w:rPr>
      </w:pPr>
    </w:p>
    <w:p w14:paraId="705CC440" w14:textId="5F48BCF9" w:rsidR="008D21F2" w:rsidRPr="008D21F2" w:rsidRDefault="008D21F2" w:rsidP="00552562">
      <w:pPr>
        <w:widowControl w:val="0"/>
        <w:autoSpaceDE w:val="0"/>
        <w:autoSpaceDN w:val="0"/>
        <w:adjustRightInd w:val="0"/>
        <w:rPr>
          <w:rFonts w:asciiTheme="majorHAnsi" w:hAnsiTheme="majorHAnsi" w:cs="Calibri"/>
          <w:b/>
          <w:color w:val="000000"/>
          <w:sz w:val="22"/>
          <w:szCs w:val="22"/>
        </w:rPr>
      </w:pPr>
      <w:r w:rsidRPr="008D21F2">
        <w:rPr>
          <w:rFonts w:asciiTheme="majorHAnsi" w:hAnsiTheme="majorHAnsi" w:cs="Calibri"/>
          <w:b/>
          <w:color w:val="000000"/>
          <w:sz w:val="22"/>
          <w:szCs w:val="22"/>
        </w:rPr>
        <w:t>General Comments</w:t>
      </w:r>
    </w:p>
    <w:p w14:paraId="31E1C89B" w14:textId="77777777" w:rsidR="008D21F2" w:rsidRPr="008D21F2" w:rsidRDefault="008D21F2" w:rsidP="00552562">
      <w:pPr>
        <w:widowControl w:val="0"/>
        <w:autoSpaceDE w:val="0"/>
        <w:autoSpaceDN w:val="0"/>
        <w:adjustRightInd w:val="0"/>
        <w:rPr>
          <w:rFonts w:asciiTheme="majorHAnsi" w:hAnsiTheme="majorHAnsi" w:cs="Calibri"/>
          <w:color w:val="000000"/>
          <w:sz w:val="22"/>
          <w:szCs w:val="22"/>
        </w:rPr>
      </w:pPr>
    </w:p>
    <w:p w14:paraId="18A70936" w14:textId="77777777" w:rsidR="00552562" w:rsidRPr="008D21F2" w:rsidRDefault="00552562" w:rsidP="0055256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 xml:space="preserve">With some exceptions called out below, we find the structure and approach of the roadmap well thought out and well executed.   We find the guiding principles as outlined unassailable.  And we agree with the need for near term wins. </w:t>
      </w:r>
    </w:p>
    <w:p w14:paraId="5B1929A4" w14:textId="77777777" w:rsidR="00552562" w:rsidRPr="008D21F2" w:rsidRDefault="00552562" w:rsidP="00552562">
      <w:pPr>
        <w:widowControl w:val="0"/>
        <w:autoSpaceDE w:val="0"/>
        <w:autoSpaceDN w:val="0"/>
        <w:adjustRightInd w:val="0"/>
        <w:rPr>
          <w:rFonts w:asciiTheme="majorHAnsi" w:hAnsiTheme="majorHAnsi" w:cs="Calibri"/>
          <w:color w:val="000000"/>
          <w:sz w:val="22"/>
          <w:szCs w:val="22"/>
        </w:rPr>
      </w:pPr>
    </w:p>
    <w:p w14:paraId="6F5F6E4A" w14:textId="77777777" w:rsidR="00552562" w:rsidRPr="008D21F2" w:rsidRDefault="00552562" w:rsidP="0055256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Building such a roadmap with so many stakeholders is a daunting task, and we congratulate the Office of the National Coordinator and the roadmap team for the high quality of the draft.</w:t>
      </w:r>
    </w:p>
    <w:p w14:paraId="4A943832" w14:textId="77777777" w:rsidR="00552562" w:rsidRPr="008D21F2" w:rsidRDefault="00552562" w:rsidP="00552562">
      <w:pPr>
        <w:rPr>
          <w:rFonts w:asciiTheme="majorHAnsi" w:hAnsiTheme="majorHAnsi"/>
          <w:sz w:val="22"/>
          <w:szCs w:val="22"/>
        </w:rPr>
      </w:pPr>
    </w:p>
    <w:p w14:paraId="3CA9B7F5" w14:textId="77777777" w:rsidR="008D21F2" w:rsidRPr="008D21F2" w:rsidRDefault="008D21F2" w:rsidP="008D21F2">
      <w:pPr>
        <w:widowControl w:val="0"/>
        <w:autoSpaceDE w:val="0"/>
        <w:autoSpaceDN w:val="0"/>
        <w:adjustRightInd w:val="0"/>
        <w:spacing w:line="360" w:lineRule="auto"/>
        <w:rPr>
          <w:rFonts w:asciiTheme="majorHAnsi" w:hAnsiTheme="majorHAnsi" w:cs="Calibri"/>
          <w:b/>
          <w:bCs/>
          <w:color w:val="000000"/>
          <w:sz w:val="22"/>
          <w:szCs w:val="22"/>
        </w:rPr>
      </w:pPr>
      <w:r w:rsidRPr="008D21F2">
        <w:rPr>
          <w:rFonts w:asciiTheme="majorHAnsi" w:hAnsiTheme="majorHAnsi" w:cs="Calibri"/>
          <w:b/>
          <w:bCs/>
          <w:color w:val="000000"/>
          <w:sz w:val="22"/>
          <w:szCs w:val="22"/>
        </w:rPr>
        <w:t>A More Holistic Approach to Interoperability</w:t>
      </w:r>
    </w:p>
    <w:p w14:paraId="4E5A4A19" w14:textId="77777777" w:rsidR="008D21F2" w:rsidRPr="008D21F2" w:rsidRDefault="008D21F2" w:rsidP="008D21F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 xml:space="preserve">We believe that the roadmap would benefit from a more aggressive holistic approach encompassing clinical and administrative use cases from the beginning.   </w:t>
      </w:r>
      <w:r w:rsidRPr="008D21F2">
        <w:rPr>
          <w:rFonts w:asciiTheme="majorHAnsi" w:hAnsiTheme="majorHAnsi" w:cs="Calibri"/>
          <w:sz w:val="22"/>
          <w:szCs w:val="22"/>
        </w:rPr>
        <w:t xml:space="preserve">We agree with the Blue Cross and Blue Shield Association’s comments on this issue, and would emphasize that </w:t>
      </w:r>
      <w:r w:rsidRPr="008D21F2">
        <w:rPr>
          <w:rFonts w:asciiTheme="majorHAnsi" w:hAnsiTheme="majorHAnsi" w:cs="Calibri"/>
          <w:color w:val="000000"/>
          <w:sz w:val="22"/>
          <w:szCs w:val="22"/>
        </w:rPr>
        <w:t>the world of health solutions is expanding rapidly beyond the 'covered entities' of HIPAA.  The number of companies working in the Health 2.0 space to provide health related services to individuals is exploding.  During the roadmap timeframe we expect them to become an important constituency.  Their stakeholder interests should be nurtured in the strategic plan.</w:t>
      </w:r>
    </w:p>
    <w:p w14:paraId="78D97333" w14:textId="77777777" w:rsidR="008D21F2" w:rsidRPr="008D21F2" w:rsidRDefault="008D21F2" w:rsidP="008D21F2">
      <w:pPr>
        <w:widowControl w:val="0"/>
        <w:autoSpaceDE w:val="0"/>
        <w:autoSpaceDN w:val="0"/>
        <w:adjustRightInd w:val="0"/>
        <w:rPr>
          <w:rFonts w:asciiTheme="majorHAnsi" w:hAnsiTheme="majorHAnsi"/>
          <w:b/>
          <w:bCs/>
          <w:color w:val="000000"/>
          <w:sz w:val="22"/>
          <w:szCs w:val="22"/>
        </w:rPr>
      </w:pPr>
    </w:p>
    <w:p w14:paraId="49256EBA" w14:textId="77777777" w:rsidR="008D21F2" w:rsidRPr="008D21F2" w:rsidRDefault="008D21F2" w:rsidP="008D21F2">
      <w:pPr>
        <w:widowControl w:val="0"/>
        <w:autoSpaceDE w:val="0"/>
        <w:autoSpaceDN w:val="0"/>
        <w:adjustRightInd w:val="0"/>
        <w:spacing w:line="360" w:lineRule="auto"/>
        <w:rPr>
          <w:rFonts w:asciiTheme="majorHAnsi" w:hAnsiTheme="majorHAnsi"/>
          <w:color w:val="000000"/>
          <w:sz w:val="22"/>
          <w:szCs w:val="22"/>
        </w:rPr>
      </w:pPr>
      <w:r w:rsidRPr="008D21F2">
        <w:rPr>
          <w:rFonts w:asciiTheme="majorHAnsi" w:hAnsiTheme="majorHAnsi" w:cs="Calibri"/>
          <w:b/>
          <w:bCs/>
          <w:color w:val="000000"/>
          <w:sz w:val="22"/>
          <w:szCs w:val="22"/>
        </w:rPr>
        <w:t>Placing the Consumer at the Center</w:t>
      </w:r>
    </w:p>
    <w:p w14:paraId="3C15B182"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r w:rsidRPr="008D21F2">
        <w:rPr>
          <w:rFonts w:asciiTheme="majorHAnsi" w:hAnsiTheme="majorHAnsi" w:cs="Calibri"/>
          <w:color w:val="000000"/>
          <w:sz w:val="22"/>
          <w:szCs w:val="22"/>
        </w:rPr>
        <w:t xml:space="preserve">We believe it is vital to place the consumer at the center of the interoperability strategy and roadmap.  In our ten year timeframe we expect them to become the primary managers of their own health trajectory, and interoperability needs to support this shift.  </w:t>
      </w:r>
    </w:p>
    <w:p w14:paraId="27479D32"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01666042" w14:textId="77777777" w:rsidR="008D21F2" w:rsidRPr="008D21F2" w:rsidRDefault="008D21F2" w:rsidP="008D21F2">
      <w:pPr>
        <w:widowControl w:val="0"/>
        <w:autoSpaceDE w:val="0"/>
        <w:autoSpaceDN w:val="0"/>
        <w:adjustRightInd w:val="0"/>
        <w:rPr>
          <w:rFonts w:asciiTheme="majorHAnsi" w:hAnsiTheme="majorHAnsi"/>
          <w:i/>
          <w:iCs/>
          <w:sz w:val="22"/>
          <w:szCs w:val="22"/>
        </w:rPr>
      </w:pPr>
      <w:r w:rsidRPr="008D21F2">
        <w:rPr>
          <w:rFonts w:asciiTheme="majorHAnsi" w:hAnsiTheme="majorHAnsi" w:cs="Calibri"/>
          <w:color w:val="000000"/>
          <w:sz w:val="22"/>
          <w:szCs w:val="22"/>
        </w:rPr>
        <w:t>Rather than prioritizing the roadmap use cases as an undifferentiated list based on reviewer feedback (as elicited in your question 2 on page 6, "</w:t>
      </w:r>
      <w:r w:rsidRPr="008D21F2">
        <w:rPr>
          <w:rFonts w:asciiTheme="majorHAnsi" w:hAnsiTheme="majorHAnsi" w:cs="Calibri"/>
          <w:i/>
          <w:iCs/>
          <w:sz w:val="22"/>
          <w:szCs w:val="22"/>
        </w:rPr>
        <w:t>Please submit 3 priority use cases from this list that should inform priorities for the development of technical standards, policies and implementation specifications"</w:t>
      </w:r>
      <w:r w:rsidRPr="002F7ECD">
        <w:rPr>
          <w:rFonts w:asciiTheme="majorHAnsi" w:hAnsiTheme="majorHAnsi" w:cs="Calibri"/>
          <w:iCs/>
          <w:sz w:val="22"/>
          <w:szCs w:val="22"/>
        </w:rPr>
        <w:t>)</w:t>
      </w:r>
      <w:r w:rsidRPr="008D21F2">
        <w:rPr>
          <w:rFonts w:asciiTheme="majorHAnsi" w:hAnsiTheme="majorHAnsi" w:cs="Calibri"/>
          <w:i/>
          <w:iCs/>
          <w:sz w:val="22"/>
          <w:szCs w:val="22"/>
        </w:rPr>
        <w:t xml:space="preserve"> </w:t>
      </w:r>
      <w:r w:rsidRPr="008D21F2">
        <w:rPr>
          <w:rFonts w:asciiTheme="majorHAnsi" w:hAnsiTheme="majorHAnsi" w:cs="Calibri"/>
          <w:sz w:val="22"/>
          <w:szCs w:val="22"/>
        </w:rPr>
        <w:t>we suggest an alternate approach.</w:t>
      </w:r>
    </w:p>
    <w:p w14:paraId="4F877654"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06DB158E" w14:textId="77777777" w:rsidR="00D41FE1" w:rsidRDefault="00D41FE1" w:rsidP="008D21F2">
      <w:pPr>
        <w:widowControl w:val="0"/>
        <w:autoSpaceDE w:val="0"/>
        <w:autoSpaceDN w:val="0"/>
        <w:adjustRightInd w:val="0"/>
        <w:rPr>
          <w:rFonts w:asciiTheme="majorHAnsi" w:hAnsiTheme="majorHAnsi" w:cs="Calibri"/>
          <w:color w:val="000000"/>
          <w:sz w:val="22"/>
          <w:szCs w:val="22"/>
        </w:rPr>
      </w:pPr>
      <w:r>
        <w:rPr>
          <w:rFonts w:asciiTheme="majorHAnsi" w:hAnsiTheme="majorHAnsi" w:cs="Calibri"/>
          <w:color w:val="000000"/>
          <w:sz w:val="22"/>
          <w:szCs w:val="22"/>
        </w:rPr>
        <w:t xml:space="preserve">One of the challenges in the existing approach is that there is no single common framework within which we can evaluate relative priority.   </w:t>
      </w:r>
    </w:p>
    <w:p w14:paraId="4E925373"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5E982FE1"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0F71A10F"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153C7985" w14:textId="437E2B64" w:rsidR="00D41FE1" w:rsidRDefault="00D41FE1" w:rsidP="008D21F2">
      <w:pPr>
        <w:widowControl w:val="0"/>
        <w:autoSpaceDE w:val="0"/>
        <w:autoSpaceDN w:val="0"/>
        <w:adjustRightInd w:val="0"/>
        <w:rPr>
          <w:rFonts w:asciiTheme="majorHAnsi" w:hAnsiTheme="majorHAnsi" w:cs="Calibri"/>
          <w:color w:val="000000"/>
          <w:sz w:val="22"/>
          <w:szCs w:val="22"/>
        </w:rPr>
      </w:pPr>
      <w:r>
        <w:object w:dxaOrig="8200" w:dyaOrig="7727" w14:anchorId="19E00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86.5pt" o:ole="">
            <v:imagedata r:id="rId12" o:title=""/>
          </v:shape>
          <o:OLEObject Type="Embed" ProgID="Visio.Drawing.11" ShapeID="_x0000_i1025" DrawAspect="Content" ObjectID="_1489564668" r:id="rId13"/>
        </w:object>
      </w:r>
    </w:p>
    <w:p w14:paraId="4C0E9837"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21AB53F1" w14:textId="148BC989" w:rsidR="00D41FE1" w:rsidRDefault="008D21F2" w:rsidP="008D21F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 xml:space="preserve">Structuring the use cases with a consumer focus will help clarify their interrelationship and how they all must ultimately support individual interactions.  </w:t>
      </w:r>
      <w:r w:rsidR="00D41FE1">
        <w:rPr>
          <w:rFonts w:asciiTheme="majorHAnsi" w:hAnsiTheme="majorHAnsi" w:cs="Calibri"/>
          <w:color w:val="000000"/>
          <w:sz w:val="22"/>
          <w:szCs w:val="22"/>
        </w:rPr>
        <w:t xml:space="preserve">We can prioritize based on their relative ability to improve the consumer health experience.  </w:t>
      </w:r>
    </w:p>
    <w:p w14:paraId="0C5D20B6"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6BBC8ECD" w14:textId="2E4FA996" w:rsidR="00D41FE1" w:rsidRDefault="00D41FE1" w:rsidP="008D21F2">
      <w:pPr>
        <w:widowControl w:val="0"/>
        <w:autoSpaceDE w:val="0"/>
        <w:autoSpaceDN w:val="0"/>
        <w:adjustRightInd w:val="0"/>
        <w:rPr>
          <w:rFonts w:asciiTheme="majorHAnsi" w:hAnsiTheme="majorHAnsi" w:cs="Calibri"/>
          <w:color w:val="000000"/>
          <w:sz w:val="22"/>
          <w:szCs w:val="22"/>
        </w:rPr>
      </w:pPr>
      <w:r>
        <w:object w:dxaOrig="11812" w:dyaOrig="11077" w14:anchorId="60FFDA70">
          <v:shape id="_x0000_i1026" type="#_x0000_t75" style="width:6in;height:404.85pt" o:ole="">
            <v:imagedata r:id="rId14" o:title=""/>
          </v:shape>
          <o:OLEObject Type="Embed" ProgID="Visio.Drawing.11" ShapeID="_x0000_i1026" DrawAspect="Content" ObjectID="_1489564669" r:id="rId15"/>
        </w:object>
      </w:r>
    </w:p>
    <w:p w14:paraId="18D679F4" w14:textId="77777777" w:rsidR="00D41FE1" w:rsidRDefault="00D41FE1" w:rsidP="008D21F2">
      <w:pPr>
        <w:widowControl w:val="0"/>
        <w:autoSpaceDE w:val="0"/>
        <w:autoSpaceDN w:val="0"/>
        <w:adjustRightInd w:val="0"/>
        <w:rPr>
          <w:rFonts w:asciiTheme="majorHAnsi" w:hAnsiTheme="majorHAnsi" w:cs="Calibri"/>
          <w:color w:val="000000"/>
          <w:sz w:val="22"/>
          <w:szCs w:val="22"/>
        </w:rPr>
      </w:pPr>
    </w:p>
    <w:p w14:paraId="1AD350C2" w14:textId="5A5384D3" w:rsidR="008D21F2" w:rsidRPr="008D21F2" w:rsidRDefault="00D41FE1" w:rsidP="008D21F2">
      <w:pPr>
        <w:widowControl w:val="0"/>
        <w:autoSpaceDE w:val="0"/>
        <w:autoSpaceDN w:val="0"/>
        <w:adjustRightInd w:val="0"/>
        <w:rPr>
          <w:rFonts w:asciiTheme="majorHAnsi" w:hAnsiTheme="majorHAnsi" w:cs="Calibri"/>
          <w:color w:val="000000"/>
          <w:sz w:val="22"/>
          <w:szCs w:val="22"/>
        </w:rPr>
      </w:pPr>
      <w:r>
        <w:rPr>
          <w:rFonts w:asciiTheme="majorHAnsi" w:hAnsiTheme="majorHAnsi" w:cs="Calibri"/>
          <w:color w:val="000000"/>
          <w:sz w:val="22"/>
          <w:szCs w:val="22"/>
        </w:rPr>
        <w:t>T</w:t>
      </w:r>
      <w:r w:rsidR="008D21F2" w:rsidRPr="008D21F2">
        <w:rPr>
          <w:rFonts w:asciiTheme="majorHAnsi" w:hAnsiTheme="majorHAnsi" w:cs="Calibri"/>
          <w:color w:val="000000"/>
          <w:sz w:val="22"/>
          <w:szCs w:val="22"/>
        </w:rPr>
        <w:t xml:space="preserve">he inclusion of administrative use cases would enable a more complete picture of how the individual is impacted and supported and would provide the context needed to best prioritize the </w:t>
      </w:r>
      <w:r>
        <w:rPr>
          <w:rFonts w:asciiTheme="majorHAnsi" w:hAnsiTheme="majorHAnsi" w:cs="Calibri"/>
          <w:color w:val="000000"/>
          <w:sz w:val="22"/>
          <w:szCs w:val="22"/>
        </w:rPr>
        <w:t xml:space="preserve">overall </w:t>
      </w:r>
      <w:r w:rsidR="008D21F2" w:rsidRPr="008D21F2">
        <w:rPr>
          <w:rFonts w:asciiTheme="majorHAnsi" w:hAnsiTheme="majorHAnsi" w:cs="Calibri"/>
          <w:color w:val="000000"/>
          <w:sz w:val="22"/>
          <w:szCs w:val="22"/>
        </w:rPr>
        <w:t xml:space="preserve">approach.  </w:t>
      </w:r>
    </w:p>
    <w:p w14:paraId="37CDD20F" w14:textId="77777777" w:rsidR="008D21F2" w:rsidRPr="008D21F2" w:rsidRDefault="008D21F2" w:rsidP="008D21F2">
      <w:pPr>
        <w:widowControl w:val="0"/>
        <w:autoSpaceDE w:val="0"/>
        <w:autoSpaceDN w:val="0"/>
        <w:adjustRightInd w:val="0"/>
        <w:rPr>
          <w:rFonts w:asciiTheme="majorHAnsi" w:hAnsiTheme="majorHAnsi" w:cs="Calibri"/>
          <w:color w:val="000000"/>
          <w:sz w:val="22"/>
          <w:szCs w:val="22"/>
        </w:rPr>
      </w:pPr>
    </w:p>
    <w:p w14:paraId="6E004A09" w14:textId="77777777" w:rsidR="008D21F2" w:rsidRPr="008D21F2" w:rsidRDefault="008D21F2" w:rsidP="008D21F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Without that perspective, the near-term path is at risk of being primarily responsive to problems in the current environment rather than being directional in achieving the strategic goals.</w:t>
      </w:r>
    </w:p>
    <w:p w14:paraId="1C252B24" w14:textId="77777777" w:rsidR="008D21F2" w:rsidRPr="008D21F2" w:rsidRDefault="008D21F2" w:rsidP="008D21F2">
      <w:pPr>
        <w:widowControl w:val="0"/>
        <w:autoSpaceDE w:val="0"/>
        <w:autoSpaceDN w:val="0"/>
        <w:adjustRightInd w:val="0"/>
        <w:rPr>
          <w:rFonts w:asciiTheme="majorHAnsi" w:hAnsiTheme="majorHAnsi"/>
          <w:b/>
          <w:bCs/>
          <w:color w:val="000000"/>
          <w:sz w:val="22"/>
          <w:szCs w:val="22"/>
        </w:rPr>
      </w:pPr>
    </w:p>
    <w:p w14:paraId="404C4796" w14:textId="77777777" w:rsidR="008D21F2" w:rsidRPr="008D21F2" w:rsidRDefault="008D21F2" w:rsidP="008D21F2">
      <w:pPr>
        <w:widowControl w:val="0"/>
        <w:autoSpaceDE w:val="0"/>
        <w:autoSpaceDN w:val="0"/>
        <w:adjustRightInd w:val="0"/>
        <w:spacing w:line="360" w:lineRule="auto"/>
        <w:rPr>
          <w:rFonts w:asciiTheme="majorHAnsi" w:hAnsiTheme="majorHAnsi"/>
          <w:color w:val="000000"/>
          <w:sz w:val="22"/>
          <w:szCs w:val="22"/>
        </w:rPr>
      </w:pPr>
      <w:r w:rsidRPr="008D21F2">
        <w:rPr>
          <w:rFonts w:asciiTheme="majorHAnsi" w:hAnsiTheme="majorHAnsi" w:cs="Calibri"/>
          <w:b/>
          <w:bCs/>
          <w:color w:val="000000"/>
          <w:sz w:val="22"/>
          <w:szCs w:val="22"/>
        </w:rPr>
        <w:t>Expanded and Strengthened Consumer Ownership of Data</w:t>
      </w:r>
    </w:p>
    <w:p w14:paraId="779C753E" w14:textId="32A2308A" w:rsidR="008D21F2" w:rsidRPr="008D21F2" w:rsidRDefault="008D21F2" w:rsidP="008D21F2">
      <w:pPr>
        <w:widowControl w:val="0"/>
        <w:autoSpaceDE w:val="0"/>
        <w:autoSpaceDN w:val="0"/>
        <w:adjustRightInd w:val="0"/>
        <w:rPr>
          <w:rFonts w:asciiTheme="majorHAnsi" w:hAnsiTheme="majorHAnsi"/>
          <w:color w:val="000000"/>
          <w:sz w:val="22"/>
          <w:szCs w:val="22"/>
        </w:rPr>
      </w:pPr>
      <w:r w:rsidRPr="008D21F2">
        <w:rPr>
          <w:rFonts w:asciiTheme="majorHAnsi" w:hAnsiTheme="majorHAnsi"/>
          <w:color w:val="000000"/>
          <w:sz w:val="22"/>
          <w:szCs w:val="22"/>
        </w:rPr>
        <w:t>With respect to consumer permissions to collect, share and use identifiable health information, as described on page 62 and following, we would l</w:t>
      </w:r>
      <w:r w:rsidR="0052360E">
        <w:rPr>
          <w:rFonts w:asciiTheme="majorHAnsi" w:hAnsiTheme="majorHAnsi"/>
          <w:color w:val="000000"/>
          <w:sz w:val="22"/>
          <w:szCs w:val="22"/>
        </w:rPr>
        <w:t xml:space="preserve">ike to see </w:t>
      </w:r>
      <w:r w:rsidRPr="008D21F2">
        <w:rPr>
          <w:rFonts w:asciiTheme="majorHAnsi" w:hAnsiTheme="majorHAnsi"/>
          <w:color w:val="000000"/>
          <w:sz w:val="22"/>
          <w:szCs w:val="22"/>
        </w:rPr>
        <w:t>added emphasis on consumer transparency.  Not only should an individual be able to decide with whom and for what purpose their data is used, they should be able to discover how it has been used.</w:t>
      </w:r>
    </w:p>
    <w:p w14:paraId="484ABDCA"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765FC85E" w14:textId="283CF179" w:rsidR="008D21F2" w:rsidRPr="008D21F2" w:rsidRDefault="008D21F2" w:rsidP="008D21F2">
      <w:pPr>
        <w:widowControl w:val="0"/>
        <w:autoSpaceDE w:val="0"/>
        <w:autoSpaceDN w:val="0"/>
        <w:adjustRightInd w:val="0"/>
        <w:rPr>
          <w:rFonts w:asciiTheme="majorHAnsi" w:hAnsiTheme="majorHAnsi"/>
          <w:color w:val="000000"/>
          <w:sz w:val="22"/>
          <w:szCs w:val="22"/>
        </w:rPr>
      </w:pPr>
      <w:r w:rsidRPr="008D21F2">
        <w:rPr>
          <w:rFonts w:asciiTheme="majorHAnsi" w:hAnsiTheme="majorHAnsi"/>
          <w:color w:val="000000"/>
          <w:sz w:val="22"/>
          <w:szCs w:val="22"/>
        </w:rPr>
        <w:t xml:space="preserve">We also would like to ensure the emerging commercial Health 2.0 </w:t>
      </w:r>
      <w:r w:rsidR="0052360E" w:rsidRPr="008D21F2">
        <w:rPr>
          <w:rFonts w:asciiTheme="majorHAnsi" w:hAnsiTheme="majorHAnsi"/>
          <w:color w:val="000000"/>
          <w:sz w:val="22"/>
          <w:szCs w:val="22"/>
        </w:rPr>
        <w:t>companies’</w:t>
      </w:r>
      <w:r w:rsidRPr="008D21F2">
        <w:rPr>
          <w:rFonts w:asciiTheme="majorHAnsi" w:hAnsiTheme="majorHAnsi"/>
          <w:color w:val="000000"/>
          <w:sz w:val="22"/>
          <w:szCs w:val="22"/>
        </w:rPr>
        <w:t xml:space="preserve"> interests are well-represented here:  many of them will have critical dependencies on health information their customers have opted to share with them.</w:t>
      </w:r>
    </w:p>
    <w:p w14:paraId="5396C41F"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59EEAA68" w14:textId="19899EAA" w:rsidR="008D21F2" w:rsidRPr="008D21F2" w:rsidRDefault="0052360E" w:rsidP="008D21F2">
      <w:pPr>
        <w:widowControl w:val="0"/>
        <w:autoSpaceDE w:val="0"/>
        <w:autoSpaceDN w:val="0"/>
        <w:adjustRightInd w:val="0"/>
        <w:rPr>
          <w:rFonts w:asciiTheme="majorHAnsi" w:hAnsiTheme="majorHAnsi"/>
          <w:color w:val="000000"/>
          <w:sz w:val="22"/>
          <w:szCs w:val="22"/>
        </w:rPr>
      </w:pPr>
      <w:r>
        <w:rPr>
          <w:rFonts w:asciiTheme="majorHAnsi" w:hAnsiTheme="majorHAnsi" w:cs="Calibri"/>
          <w:color w:val="000000"/>
          <w:sz w:val="22"/>
          <w:szCs w:val="22"/>
        </w:rPr>
        <w:t>We don’t believe the</w:t>
      </w:r>
      <w:r w:rsidR="008D21F2" w:rsidRPr="008D21F2">
        <w:rPr>
          <w:rFonts w:asciiTheme="majorHAnsi" w:hAnsiTheme="majorHAnsi" w:cs="Calibri"/>
          <w:color w:val="000000"/>
          <w:sz w:val="22"/>
          <w:szCs w:val="22"/>
        </w:rPr>
        <w:t xml:space="preserve"> single use case </w:t>
      </w:r>
      <w:r>
        <w:rPr>
          <w:rFonts w:asciiTheme="majorHAnsi" w:hAnsiTheme="majorHAnsi" w:cs="Calibri"/>
          <w:color w:val="000000"/>
          <w:sz w:val="22"/>
          <w:szCs w:val="22"/>
        </w:rPr>
        <w:t xml:space="preserve">that speaks to </w:t>
      </w:r>
      <w:r w:rsidR="008D21F2" w:rsidRPr="008D21F2">
        <w:rPr>
          <w:rFonts w:asciiTheme="majorHAnsi" w:hAnsiTheme="majorHAnsi" w:cs="Calibri"/>
          <w:color w:val="000000"/>
          <w:sz w:val="22"/>
          <w:szCs w:val="22"/>
        </w:rPr>
        <w:t xml:space="preserve">permission management, use case 56, </w:t>
      </w:r>
      <w:r>
        <w:rPr>
          <w:rFonts w:asciiTheme="majorHAnsi" w:hAnsiTheme="majorHAnsi" w:cs="Calibri"/>
          <w:color w:val="000000"/>
          <w:sz w:val="22"/>
          <w:szCs w:val="22"/>
        </w:rPr>
        <w:t xml:space="preserve">is </w:t>
      </w:r>
      <w:r w:rsidR="008D21F2" w:rsidRPr="008D21F2">
        <w:rPr>
          <w:rFonts w:asciiTheme="majorHAnsi" w:hAnsiTheme="majorHAnsi" w:cs="Calibri"/>
          <w:color w:val="000000"/>
          <w:sz w:val="22"/>
          <w:szCs w:val="22"/>
        </w:rPr>
        <w:t xml:space="preserve">comprehensive enough to realize all </w:t>
      </w:r>
      <w:r>
        <w:rPr>
          <w:rFonts w:asciiTheme="majorHAnsi" w:hAnsiTheme="majorHAnsi" w:cs="Calibri"/>
          <w:color w:val="000000"/>
          <w:sz w:val="22"/>
          <w:szCs w:val="22"/>
        </w:rPr>
        <w:t>consumer interactions around the collection, sharing, and transparent use of consumer data.</w:t>
      </w:r>
    </w:p>
    <w:p w14:paraId="340C4D1F"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56F762F8" w14:textId="290209E5" w:rsidR="008D21F2" w:rsidRPr="008D21F2" w:rsidRDefault="008D21F2" w:rsidP="008D21F2">
      <w:pPr>
        <w:widowControl w:val="0"/>
        <w:autoSpaceDE w:val="0"/>
        <w:autoSpaceDN w:val="0"/>
        <w:adjustRightInd w:val="0"/>
        <w:rPr>
          <w:rFonts w:asciiTheme="majorHAnsi" w:hAnsiTheme="majorHAnsi" w:cs="Calibri"/>
          <w:color w:val="000000"/>
          <w:sz w:val="22"/>
          <w:szCs w:val="22"/>
        </w:rPr>
      </w:pPr>
      <w:r w:rsidRPr="008D21F2">
        <w:rPr>
          <w:rFonts w:asciiTheme="majorHAnsi" w:hAnsiTheme="majorHAnsi" w:cs="Calibri"/>
          <w:color w:val="000000"/>
          <w:sz w:val="22"/>
          <w:szCs w:val="22"/>
        </w:rPr>
        <w:t xml:space="preserve">Empowering individuals is critical to the success of the infrastructure.  If the scope of interoperability is expanded as the BCBSA has argued in their comments, </w:t>
      </w:r>
      <w:r w:rsidR="0052360E">
        <w:rPr>
          <w:rFonts w:asciiTheme="majorHAnsi" w:hAnsiTheme="majorHAnsi" w:cs="Calibri"/>
          <w:color w:val="000000"/>
          <w:sz w:val="22"/>
          <w:szCs w:val="22"/>
        </w:rPr>
        <w:t xml:space="preserve">we believe </w:t>
      </w:r>
      <w:r w:rsidRPr="008D21F2">
        <w:rPr>
          <w:rFonts w:asciiTheme="majorHAnsi" w:hAnsiTheme="majorHAnsi" w:cs="Calibri"/>
          <w:color w:val="000000"/>
          <w:sz w:val="22"/>
          <w:szCs w:val="22"/>
        </w:rPr>
        <w:t xml:space="preserve">there will be sufficient context for architecting and </w:t>
      </w:r>
      <w:r w:rsidR="0052360E">
        <w:rPr>
          <w:rFonts w:asciiTheme="majorHAnsi" w:hAnsiTheme="majorHAnsi" w:cs="Calibri"/>
          <w:color w:val="000000"/>
          <w:sz w:val="22"/>
          <w:szCs w:val="22"/>
        </w:rPr>
        <w:t xml:space="preserve">implementing </w:t>
      </w:r>
      <w:r w:rsidRPr="008D21F2">
        <w:rPr>
          <w:rFonts w:asciiTheme="majorHAnsi" w:hAnsiTheme="majorHAnsi" w:cs="Calibri"/>
          <w:color w:val="000000"/>
          <w:sz w:val="22"/>
          <w:szCs w:val="22"/>
        </w:rPr>
        <w:t>a robust capability.</w:t>
      </w:r>
    </w:p>
    <w:p w14:paraId="6B9CB396" w14:textId="77777777" w:rsidR="008D21F2" w:rsidRPr="008D21F2" w:rsidRDefault="008D21F2" w:rsidP="008D21F2">
      <w:pPr>
        <w:widowControl w:val="0"/>
        <w:autoSpaceDE w:val="0"/>
        <w:autoSpaceDN w:val="0"/>
        <w:adjustRightInd w:val="0"/>
        <w:rPr>
          <w:rFonts w:asciiTheme="majorHAnsi" w:hAnsiTheme="majorHAnsi" w:cs="Calibri"/>
          <w:color w:val="000000"/>
          <w:sz w:val="22"/>
          <w:szCs w:val="22"/>
        </w:rPr>
      </w:pPr>
    </w:p>
    <w:p w14:paraId="4460459D" w14:textId="77777777" w:rsidR="008D21F2" w:rsidRPr="008D21F2" w:rsidRDefault="008D21F2" w:rsidP="008D21F2">
      <w:pPr>
        <w:widowControl w:val="0"/>
        <w:autoSpaceDE w:val="0"/>
        <w:autoSpaceDN w:val="0"/>
        <w:adjustRightInd w:val="0"/>
        <w:rPr>
          <w:rFonts w:asciiTheme="majorHAnsi" w:hAnsiTheme="majorHAnsi" w:cs="Bodoni MT"/>
          <w:b/>
          <w:bCs/>
          <w:color w:val="000000"/>
          <w:sz w:val="22"/>
          <w:szCs w:val="22"/>
          <w:lang w:eastAsia="ja-JP"/>
        </w:rPr>
      </w:pPr>
      <w:r w:rsidRPr="008D21F2">
        <w:rPr>
          <w:rFonts w:asciiTheme="majorHAnsi" w:hAnsiTheme="majorHAnsi" w:cs="Bodoni MT"/>
          <w:b/>
          <w:bCs/>
          <w:color w:val="000000"/>
          <w:sz w:val="22"/>
          <w:szCs w:val="22"/>
          <w:lang w:eastAsia="ja-JP"/>
        </w:rPr>
        <w:t xml:space="preserve">Clarify 'Consensus Rules' </w:t>
      </w:r>
    </w:p>
    <w:p w14:paraId="3C5B7ECD" w14:textId="77777777" w:rsidR="008D21F2" w:rsidRPr="008D21F2" w:rsidRDefault="008D21F2" w:rsidP="008D21F2">
      <w:pPr>
        <w:widowControl w:val="0"/>
        <w:autoSpaceDE w:val="0"/>
        <w:autoSpaceDN w:val="0"/>
        <w:adjustRightInd w:val="0"/>
        <w:rPr>
          <w:rFonts w:asciiTheme="majorHAnsi" w:hAnsiTheme="majorHAnsi" w:cs="Bodoni MT"/>
          <w:bCs/>
          <w:sz w:val="22"/>
          <w:szCs w:val="22"/>
          <w:lang w:eastAsia="ja-JP"/>
        </w:rPr>
      </w:pPr>
    </w:p>
    <w:p w14:paraId="05F8D34C" w14:textId="3860F7E3" w:rsidR="008D21F2" w:rsidRPr="008D21F2" w:rsidRDefault="008D21F2" w:rsidP="008D21F2">
      <w:pPr>
        <w:widowControl w:val="0"/>
        <w:autoSpaceDE w:val="0"/>
        <w:autoSpaceDN w:val="0"/>
        <w:adjustRightInd w:val="0"/>
        <w:rPr>
          <w:rFonts w:asciiTheme="majorHAnsi" w:hAnsiTheme="majorHAnsi" w:cs="Segoe UI"/>
          <w:sz w:val="22"/>
          <w:szCs w:val="22"/>
        </w:rPr>
      </w:pPr>
      <w:r w:rsidRPr="008D21F2">
        <w:rPr>
          <w:rFonts w:asciiTheme="majorHAnsi" w:hAnsiTheme="majorHAnsi" w:cs="Bodoni MT"/>
          <w:bCs/>
          <w:sz w:val="22"/>
          <w:szCs w:val="22"/>
          <w:lang w:eastAsia="ja-JP"/>
        </w:rPr>
        <w:t>Governance direction provided in the roadmap for privacy and security protections for Health Information (pg. 55) includes guiding determinants for access authorization including 'consensus rules'.  'Consensus rules' is not clear in context and needs either further definition or appropriate reference to clarifying text elsewhere.</w:t>
      </w:r>
    </w:p>
    <w:p w14:paraId="35CED131" w14:textId="77777777" w:rsidR="008D21F2" w:rsidRPr="008D21F2" w:rsidRDefault="008D21F2" w:rsidP="008D21F2">
      <w:pPr>
        <w:widowControl w:val="0"/>
        <w:autoSpaceDE w:val="0"/>
        <w:autoSpaceDN w:val="0"/>
        <w:adjustRightInd w:val="0"/>
        <w:rPr>
          <w:rFonts w:asciiTheme="majorHAnsi" w:hAnsiTheme="majorHAnsi"/>
          <w:color w:val="000000"/>
          <w:sz w:val="22"/>
          <w:szCs w:val="22"/>
        </w:rPr>
      </w:pPr>
    </w:p>
    <w:p w14:paraId="45E442AB" w14:textId="77777777" w:rsidR="008D21F2" w:rsidRPr="008D21F2" w:rsidRDefault="008D21F2" w:rsidP="00552562">
      <w:pPr>
        <w:rPr>
          <w:rFonts w:asciiTheme="majorHAnsi" w:hAnsiTheme="majorHAnsi"/>
          <w:sz w:val="22"/>
          <w:szCs w:val="22"/>
        </w:rPr>
      </w:pPr>
    </w:p>
    <w:sectPr w:rsidR="008D21F2" w:rsidRPr="008D21F2" w:rsidSect="0050611B">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35570" w14:textId="77777777" w:rsidR="00297FB8" w:rsidRDefault="00297FB8" w:rsidP="003D15B0">
      <w:r>
        <w:separator/>
      </w:r>
    </w:p>
  </w:endnote>
  <w:endnote w:type="continuationSeparator" w:id="0">
    <w:p w14:paraId="0F467119" w14:textId="77777777" w:rsidR="00297FB8" w:rsidRDefault="00297FB8" w:rsidP="003D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A160" w14:textId="77777777" w:rsidR="00642AB5" w:rsidRDefault="0064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DB48" w14:textId="03B4107A" w:rsidR="00703F0F" w:rsidRPr="002F7ECD" w:rsidRDefault="00703F0F">
    <w:pPr>
      <w:pStyle w:val="Footer"/>
      <w:rPr>
        <w:rFonts w:asciiTheme="majorHAnsi" w:hAnsiTheme="majorHAnsi"/>
        <w:sz w:val="22"/>
        <w:szCs w:val="22"/>
      </w:rPr>
    </w:pPr>
    <w:r w:rsidRPr="002F7ECD">
      <w:rPr>
        <w:rFonts w:asciiTheme="majorHAnsi" w:hAnsiTheme="majorHAnsi"/>
        <w:sz w:val="22"/>
        <w:szCs w:val="22"/>
      </w:rPr>
      <w:t xml:space="preserve">                                                             </w:t>
    </w:r>
    <w:sdt>
      <w:sdtPr>
        <w:rPr>
          <w:rFonts w:asciiTheme="majorHAnsi" w:hAnsiTheme="majorHAnsi"/>
          <w:sz w:val="22"/>
          <w:szCs w:val="22"/>
        </w:rPr>
        <w:id w:val="-251598692"/>
        <w:docPartObj>
          <w:docPartGallery w:val="Page Numbers (Bottom of Page)"/>
          <w:docPartUnique/>
        </w:docPartObj>
      </w:sdtPr>
      <w:sdtEndPr/>
      <w:sdtContent>
        <w:sdt>
          <w:sdtPr>
            <w:rPr>
              <w:rFonts w:asciiTheme="majorHAnsi" w:hAnsiTheme="majorHAnsi"/>
              <w:sz w:val="22"/>
              <w:szCs w:val="22"/>
            </w:rPr>
            <w:id w:val="98381352"/>
            <w:docPartObj>
              <w:docPartGallery w:val="Page Numbers (Top of Page)"/>
              <w:docPartUnique/>
            </w:docPartObj>
          </w:sdtPr>
          <w:sdtEndPr/>
          <w:sdtContent>
            <w:r w:rsidR="002F7ECD">
              <w:rPr>
                <w:rFonts w:asciiTheme="majorHAnsi" w:hAnsiTheme="majorHAnsi"/>
                <w:sz w:val="22"/>
                <w:szCs w:val="22"/>
              </w:rPr>
              <w:t xml:space="preserve">       </w:t>
            </w:r>
            <w:r w:rsidRPr="002F7ECD">
              <w:rPr>
                <w:rFonts w:asciiTheme="majorHAnsi" w:hAnsiTheme="majorHAnsi"/>
                <w:sz w:val="22"/>
                <w:szCs w:val="22"/>
              </w:rPr>
              <w:t xml:space="preserve">Page </w:t>
            </w:r>
            <w:r w:rsidRPr="002F7ECD">
              <w:rPr>
                <w:rFonts w:asciiTheme="majorHAnsi" w:hAnsiTheme="majorHAnsi"/>
                <w:bCs/>
                <w:sz w:val="22"/>
                <w:szCs w:val="22"/>
              </w:rPr>
              <w:fldChar w:fldCharType="begin"/>
            </w:r>
            <w:r w:rsidRPr="002F7ECD">
              <w:rPr>
                <w:rFonts w:asciiTheme="majorHAnsi" w:hAnsiTheme="majorHAnsi"/>
                <w:bCs/>
                <w:sz w:val="22"/>
                <w:szCs w:val="22"/>
              </w:rPr>
              <w:instrText xml:space="preserve"> PAGE </w:instrText>
            </w:r>
            <w:r w:rsidRPr="002F7ECD">
              <w:rPr>
                <w:rFonts w:asciiTheme="majorHAnsi" w:hAnsiTheme="majorHAnsi"/>
                <w:bCs/>
                <w:sz w:val="22"/>
                <w:szCs w:val="22"/>
              </w:rPr>
              <w:fldChar w:fldCharType="separate"/>
            </w:r>
            <w:r w:rsidR="00642AB5">
              <w:rPr>
                <w:rFonts w:asciiTheme="majorHAnsi" w:hAnsiTheme="majorHAnsi"/>
                <w:bCs/>
                <w:noProof/>
                <w:sz w:val="22"/>
                <w:szCs w:val="22"/>
              </w:rPr>
              <w:t>3</w:t>
            </w:r>
            <w:r w:rsidRPr="002F7ECD">
              <w:rPr>
                <w:rFonts w:asciiTheme="majorHAnsi" w:hAnsiTheme="majorHAnsi"/>
                <w:bCs/>
                <w:sz w:val="22"/>
                <w:szCs w:val="22"/>
              </w:rPr>
              <w:fldChar w:fldCharType="end"/>
            </w:r>
            <w:r w:rsidRPr="002F7ECD">
              <w:rPr>
                <w:rFonts w:asciiTheme="majorHAnsi" w:hAnsiTheme="majorHAnsi"/>
                <w:sz w:val="22"/>
                <w:szCs w:val="22"/>
              </w:rPr>
              <w:t xml:space="preserve"> of </w:t>
            </w:r>
            <w:r w:rsidRPr="002F7ECD">
              <w:rPr>
                <w:rFonts w:asciiTheme="majorHAnsi" w:hAnsiTheme="majorHAnsi"/>
                <w:bCs/>
                <w:sz w:val="22"/>
                <w:szCs w:val="22"/>
              </w:rPr>
              <w:fldChar w:fldCharType="begin"/>
            </w:r>
            <w:r w:rsidRPr="002F7ECD">
              <w:rPr>
                <w:rFonts w:asciiTheme="majorHAnsi" w:hAnsiTheme="majorHAnsi"/>
                <w:bCs/>
                <w:sz w:val="22"/>
                <w:szCs w:val="22"/>
              </w:rPr>
              <w:instrText xml:space="preserve"> NUMPAGES  </w:instrText>
            </w:r>
            <w:r w:rsidRPr="002F7ECD">
              <w:rPr>
                <w:rFonts w:asciiTheme="majorHAnsi" w:hAnsiTheme="majorHAnsi"/>
                <w:bCs/>
                <w:sz w:val="22"/>
                <w:szCs w:val="22"/>
              </w:rPr>
              <w:fldChar w:fldCharType="separate"/>
            </w:r>
            <w:r w:rsidR="00642AB5">
              <w:rPr>
                <w:rFonts w:asciiTheme="majorHAnsi" w:hAnsiTheme="majorHAnsi"/>
                <w:bCs/>
                <w:noProof/>
                <w:sz w:val="22"/>
                <w:szCs w:val="22"/>
              </w:rPr>
              <w:t>5</w:t>
            </w:r>
            <w:r w:rsidRPr="002F7ECD">
              <w:rPr>
                <w:rFonts w:asciiTheme="majorHAnsi" w:hAnsiTheme="majorHAnsi"/>
                <w:bCs/>
                <w:sz w:val="22"/>
                <w:szCs w:val="22"/>
              </w:rPr>
              <w:fldChar w:fldCharType="end"/>
            </w:r>
          </w:sdtContent>
        </w:sdt>
      </w:sdtContent>
    </w:sdt>
  </w:p>
  <w:p w14:paraId="1F459F36" w14:textId="5D323504" w:rsidR="003D15B0" w:rsidRDefault="003D1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FD25" w14:textId="14A4DD06" w:rsidR="0050611B" w:rsidRDefault="0050611B">
    <w:pPr>
      <w:pStyle w:val="Footer"/>
    </w:pPr>
    <w:r>
      <w:rPr>
        <w:noProof/>
      </w:rPr>
      <w:drawing>
        <wp:anchor distT="0" distB="0" distL="114300" distR="114300" simplePos="0" relativeHeight="251663360" behindDoc="1" locked="1" layoutInCell="1" allowOverlap="1" wp14:anchorId="6D350265" wp14:editId="1E5B95F4">
          <wp:simplePos x="0" y="0"/>
          <wp:positionH relativeFrom="column">
            <wp:posOffset>-1141730</wp:posOffset>
          </wp:positionH>
          <wp:positionV relativeFrom="page">
            <wp:posOffset>9366885</wp:posOffset>
          </wp:positionV>
          <wp:extent cx="77724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a_Letterhead_final_foot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542D" w14:textId="77777777" w:rsidR="00297FB8" w:rsidRDefault="00297FB8" w:rsidP="003D15B0">
      <w:r>
        <w:separator/>
      </w:r>
    </w:p>
  </w:footnote>
  <w:footnote w:type="continuationSeparator" w:id="0">
    <w:p w14:paraId="33E8CFB3" w14:textId="77777777" w:rsidR="00297FB8" w:rsidRDefault="00297FB8" w:rsidP="003D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69D1" w14:textId="77777777" w:rsidR="00642AB5" w:rsidRDefault="00642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u w:val="single"/>
      </w:rPr>
      <w:id w:val="1477648756"/>
      <w:docPartObj>
        <w:docPartGallery w:val="Page Numbers (Top of Page)"/>
        <w:docPartUnique/>
      </w:docPartObj>
    </w:sdtPr>
    <w:sdtEndPr/>
    <w:sdtContent>
      <w:p w14:paraId="43A6B39E" w14:textId="792D62BF" w:rsidR="0050611B" w:rsidRPr="00703F0F" w:rsidRDefault="00703F0F" w:rsidP="00703F0F">
        <w:pPr>
          <w:pStyle w:val="Header"/>
          <w:jc w:val="both"/>
          <w:rPr>
            <w:sz w:val="22"/>
            <w:u w:val="single"/>
          </w:rPr>
        </w:pPr>
        <w:r w:rsidRPr="00703F0F">
          <w:rPr>
            <w:sz w:val="22"/>
            <w:u w:val="single"/>
          </w:rPr>
          <w:t xml:space="preserve">Cambia Health Solutions Feedback on Interoperability Roadmap </w:t>
        </w:r>
        <w:r>
          <w:rPr>
            <w:sz w:val="22"/>
            <w:u w:val="single"/>
          </w:rPr>
          <w:t xml:space="preserve">                                 </w:t>
        </w:r>
        <w:r w:rsidRPr="00703F0F">
          <w:rPr>
            <w:sz w:val="22"/>
            <w:u w:val="single"/>
          </w:rPr>
          <w:t xml:space="preserve">     4/3</w:t>
        </w:r>
        <w:r>
          <w:rPr>
            <w:sz w:val="22"/>
            <w:u w:val="single"/>
          </w:rPr>
          <w:t>/2015</w:t>
        </w:r>
      </w:p>
    </w:sdtContent>
  </w:sdt>
  <w:p w14:paraId="3A959DBB" w14:textId="55E4C000" w:rsidR="003D15B0" w:rsidRDefault="003D1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3089" w14:textId="48D9BA59" w:rsidR="0050611B" w:rsidRDefault="0050611B">
    <w:pPr>
      <w:pStyle w:val="Header"/>
    </w:pPr>
    <w:r>
      <w:rPr>
        <w:noProof/>
      </w:rPr>
      <w:drawing>
        <wp:anchor distT="0" distB="0" distL="114300" distR="114300" simplePos="0" relativeHeight="251661312" behindDoc="1" locked="1" layoutInCell="1" allowOverlap="1" wp14:anchorId="63CEBA14" wp14:editId="225D987F">
          <wp:simplePos x="0" y="0"/>
          <wp:positionH relativeFrom="column">
            <wp:posOffset>-1141095</wp:posOffset>
          </wp:positionH>
          <wp:positionV relativeFrom="page">
            <wp:posOffset>635</wp:posOffset>
          </wp:positionV>
          <wp:extent cx="7772400" cy="113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ia_Letterhead_final_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30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B0"/>
    <w:rsid w:val="00206C75"/>
    <w:rsid w:val="00297FB8"/>
    <w:rsid w:val="002F7ECD"/>
    <w:rsid w:val="00346FA5"/>
    <w:rsid w:val="003D15B0"/>
    <w:rsid w:val="0050611B"/>
    <w:rsid w:val="0052360E"/>
    <w:rsid w:val="00552562"/>
    <w:rsid w:val="00554E24"/>
    <w:rsid w:val="00606C73"/>
    <w:rsid w:val="00642AB5"/>
    <w:rsid w:val="00703F0F"/>
    <w:rsid w:val="008D21F2"/>
    <w:rsid w:val="008F76E5"/>
    <w:rsid w:val="00906779"/>
    <w:rsid w:val="00913B47"/>
    <w:rsid w:val="009C53CD"/>
    <w:rsid w:val="00BD78D6"/>
    <w:rsid w:val="00C734E6"/>
    <w:rsid w:val="00D1413B"/>
    <w:rsid w:val="00D41FE1"/>
    <w:rsid w:val="00E4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5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B0"/>
    <w:pPr>
      <w:tabs>
        <w:tab w:val="center" w:pos="4320"/>
        <w:tab w:val="right" w:pos="8640"/>
      </w:tabs>
    </w:pPr>
  </w:style>
  <w:style w:type="character" w:customStyle="1" w:styleId="HeaderChar">
    <w:name w:val="Header Char"/>
    <w:basedOn w:val="DefaultParagraphFont"/>
    <w:link w:val="Header"/>
    <w:uiPriority w:val="99"/>
    <w:rsid w:val="003D15B0"/>
    <w:rPr>
      <w:sz w:val="24"/>
      <w:lang w:eastAsia="en-US"/>
    </w:rPr>
  </w:style>
  <w:style w:type="paragraph" w:styleId="Footer">
    <w:name w:val="footer"/>
    <w:basedOn w:val="Normal"/>
    <w:link w:val="FooterChar"/>
    <w:uiPriority w:val="99"/>
    <w:unhideWhenUsed/>
    <w:rsid w:val="003D15B0"/>
    <w:pPr>
      <w:tabs>
        <w:tab w:val="center" w:pos="4320"/>
        <w:tab w:val="right" w:pos="8640"/>
      </w:tabs>
    </w:pPr>
  </w:style>
  <w:style w:type="character" w:customStyle="1" w:styleId="FooterChar">
    <w:name w:val="Footer Char"/>
    <w:basedOn w:val="DefaultParagraphFont"/>
    <w:link w:val="Footer"/>
    <w:uiPriority w:val="99"/>
    <w:rsid w:val="003D15B0"/>
    <w:rPr>
      <w:sz w:val="24"/>
      <w:lang w:eastAsia="en-US"/>
    </w:rPr>
  </w:style>
  <w:style w:type="paragraph" w:styleId="BalloonText">
    <w:name w:val="Balloon Text"/>
    <w:basedOn w:val="Normal"/>
    <w:link w:val="BalloonTextChar"/>
    <w:uiPriority w:val="99"/>
    <w:semiHidden/>
    <w:unhideWhenUsed/>
    <w:rsid w:val="003D1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5B0"/>
    <w:rPr>
      <w:rFonts w:ascii="Lucida Grande" w:hAnsi="Lucida Grande"/>
      <w:sz w:val="18"/>
      <w:szCs w:val="18"/>
      <w:lang w:eastAsia="en-US"/>
    </w:rPr>
  </w:style>
  <w:style w:type="character" w:customStyle="1" w:styleId="st1">
    <w:name w:val="st1"/>
    <w:basedOn w:val="DefaultParagraphFont"/>
    <w:rsid w:val="00552562"/>
  </w:style>
  <w:style w:type="character" w:styleId="Hyperlink">
    <w:name w:val="Hyperlink"/>
    <w:basedOn w:val="DefaultParagraphFont"/>
    <w:uiPriority w:val="99"/>
    <w:unhideWhenUsed/>
    <w:rsid w:val="00506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B0"/>
    <w:pPr>
      <w:tabs>
        <w:tab w:val="center" w:pos="4320"/>
        <w:tab w:val="right" w:pos="8640"/>
      </w:tabs>
    </w:pPr>
  </w:style>
  <w:style w:type="character" w:customStyle="1" w:styleId="HeaderChar">
    <w:name w:val="Header Char"/>
    <w:basedOn w:val="DefaultParagraphFont"/>
    <w:link w:val="Header"/>
    <w:uiPriority w:val="99"/>
    <w:rsid w:val="003D15B0"/>
    <w:rPr>
      <w:sz w:val="24"/>
      <w:lang w:eastAsia="en-US"/>
    </w:rPr>
  </w:style>
  <w:style w:type="paragraph" w:styleId="Footer">
    <w:name w:val="footer"/>
    <w:basedOn w:val="Normal"/>
    <w:link w:val="FooterChar"/>
    <w:uiPriority w:val="99"/>
    <w:unhideWhenUsed/>
    <w:rsid w:val="003D15B0"/>
    <w:pPr>
      <w:tabs>
        <w:tab w:val="center" w:pos="4320"/>
        <w:tab w:val="right" w:pos="8640"/>
      </w:tabs>
    </w:pPr>
  </w:style>
  <w:style w:type="character" w:customStyle="1" w:styleId="FooterChar">
    <w:name w:val="Footer Char"/>
    <w:basedOn w:val="DefaultParagraphFont"/>
    <w:link w:val="Footer"/>
    <w:uiPriority w:val="99"/>
    <w:rsid w:val="003D15B0"/>
    <w:rPr>
      <w:sz w:val="24"/>
      <w:lang w:eastAsia="en-US"/>
    </w:rPr>
  </w:style>
  <w:style w:type="paragraph" w:styleId="BalloonText">
    <w:name w:val="Balloon Text"/>
    <w:basedOn w:val="Normal"/>
    <w:link w:val="BalloonTextChar"/>
    <w:uiPriority w:val="99"/>
    <w:semiHidden/>
    <w:unhideWhenUsed/>
    <w:rsid w:val="003D1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3D15B0"/>
    <w:rPr>
      <w:rFonts w:ascii="Lucida Grande" w:hAnsi="Lucida Grande"/>
      <w:sz w:val="18"/>
      <w:szCs w:val="18"/>
      <w:lang w:eastAsia="en-US"/>
    </w:rPr>
  </w:style>
  <w:style w:type="character" w:customStyle="1" w:styleId="st1">
    <w:name w:val="st1"/>
    <w:basedOn w:val="DefaultParagraphFont"/>
    <w:rsid w:val="00552562"/>
  </w:style>
  <w:style w:type="character" w:styleId="Hyperlink">
    <w:name w:val="Hyperlink"/>
    <w:basedOn w:val="DefaultParagraphFont"/>
    <w:uiPriority w:val="99"/>
    <w:unhideWhenUsed/>
    <w:rsid w:val="00506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iahealth.com/companies/health-insurance"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ambiahealth.com/" TargetMode="External"/><Relationship Id="rId12" Type="http://schemas.openxmlformats.org/officeDocument/2006/relationships/image" Target="media/image1.e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x.templeton@cambiahealth.com"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www.cambiagrov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mbiahealth.com/companies/direct-health-solutions"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2015-04-03T18:11:00Z</dcterms:created>
  <dcterms:modified xsi:type="dcterms:W3CDTF">2015-04-03T18:11:00Z</dcterms:modified>
</cp:coreProperties>
</file>