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06" w:rsidRDefault="007B4606">
      <w:bookmarkStart w:id="0" w:name="_GoBack"/>
      <w:bookmarkEnd w:id="0"/>
    </w:p>
    <w:p w:rsidR="007B4606" w:rsidRDefault="007B4606">
      <w:r>
        <w:t>To [ONC}</w:t>
      </w:r>
    </w:p>
    <w:p w:rsidR="007B4606" w:rsidRDefault="007B4606"/>
    <w:p w:rsidR="007B4606" w:rsidRDefault="007B4606">
      <w:r>
        <w:t>Regarding:  Responses to ONC roadmap</w:t>
      </w:r>
    </w:p>
    <w:p w:rsidR="007B4606" w:rsidRDefault="007B4606"/>
    <w:p w:rsidR="007B4606" w:rsidRDefault="007B4606">
      <w:r>
        <w:t>Dear ONC members.</w:t>
      </w:r>
    </w:p>
    <w:p w:rsidR="007B4606" w:rsidRDefault="007B4606"/>
    <w:p w:rsidR="007B4606" w:rsidRDefault="007B4606" w:rsidP="005A6C8B">
      <w:r>
        <w:t>As a collaborative of community health information organization</w:t>
      </w:r>
      <w:r w:rsidR="005A6C8B">
        <w:t>s</w:t>
      </w:r>
      <w:r w:rsidR="00377B18">
        <w:t>, the Texas Association of Health Information Organizations (</w:t>
      </w:r>
      <w:r>
        <w:t>TAHIO</w:t>
      </w:r>
      <w:r w:rsidR="00377B18">
        <w:t>)</w:t>
      </w:r>
      <w:r>
        <w:t xml:space="preserve"> has reviewed and discussed your ambitious roadmap.  TAHIO represents 9 out of 10 operating non-profit commun</w:t>
      </w:r>
      <w:r w:rsidR="00EE1360">
        <w:t>ity Health Information Exchange</w:t>
      </w:r>
      <w:r>
        <w:t>s</w:t>
      </w:r>
      <w:r w:rsidR="00EE1360">
        <w:t xml:space="preserve"> in Texas</w:t>
      </w:r>
      <w:r>
        <w:t>, covering app</w:t>
      </w:r>
      <w:r w:rsidR="005A6C8B">
        <w:t>roximately</w:t>
      </w:r>
      <w:r>
        <w:t xml:space="preserve"> 70% of Texas residents.  The organization facilitates collaboration among members and integration with </w:t>
      </w:r>
      <w:r w:rsidR="00377B18">
        <w:t xml:space="preserve">the </w:t>
      </w:r>
      <w:r>
        <w:t xml:space="preserve">State office of eHealth as well as the Texas Health Service Authority.  </w:t>
      </w:r>
      <w:r w:rsidR="00377B18">
        <w:t>Th</w:t>
      </w:r>
      <w:r w:rsidR="0068488D">
        <w:t>e organization</w:t>
      </w:r>
      <w:r w:rsidR="00377B18">
        <w:t xml:space="preserve"> further closely collaborate</w:t>
      </w:r>
      <w:r w:rsidR="0068488D">
        <w:t>s</w:t>
      </w:r>
      <w:r w:rsidR="00377B18">
        <w:t xml:space="preserve"> with Texas Medical Society and the Texas Hospital Association.  </w:t>
      </w:r>
      <w:r>
        <w:t xml:space="preserve"> TAHI</w:t>
      </w:r>
      <w:r w:rsidR="00EE1360">
        <w:t xml:space="preserve">O members joined together to prepare </w:t>
      </w:r>
      <w:r>
        <w:t>the following observations to the plan.</w:t>
      </w:r>
    </w:p>
    <w:tbl>
      <w:tblPr>
        <w:tblStyle w:val="TableGrid"/>
        <w:tblW w:w="0" w:type="auto"/>
        <w:tblInd w:w="198" w:type="dxa"/>
        <w:tblLook w:val="04A0" w:firstRow="1" w:lastRow="0" w:firstColumn="1" w:lastColumn="0" w:noHBand="0" w:noVBand="1"/>
      </w:tblPr>
      <w:tblGrid>
        <w:gridCol w:w="657"/>
        <w:gridCol w:w="878"/>
        <w:gridCol w:w="990"/>
        <w:gridCol w:w="1841"/>
        <w:gridCol w:w="5012"/>
      </w:tblGrid>
      <w:tr w:rsidR="00EE1360" w:rsidRPr="00377B18" w:rsidTr="00377B18">
        <w:tc>
          <w:tcPr>
            <w:tcW w:w="657" w:type="dxa"/>
          </w:tcPr>
          <w:p w:rsidR="00EE1360" w:rsidRPr="00377B18" w:rsidRDefault="00EE1360" w:rsidP="00377B18">
            <w:pPr>
              <w:jc w:val="center"/>
              <w:rPr>
                <w:b/>
              </w:rPr>
            </w:pPr>
            <w:r w:rsidRPr="00377B18">
              <w:rPr>
                <w:b/>
              </w:rPr>
              <w:t>Page</w:t>
            </w:r>
          </w:p>
        </w:tc>
        <w:tc>
          <w:tcPr>
            <w:tcW w:w="878" w:type="dxa"/>
          </w:tcPr>
          <w:p w:rsidR="00EE1360" w:rsidRPr="00377B18" w:rsidRDefault="00EE1360" w:rsidP="00377B18">
            <w:pPr>
              <w:jc w:val="center"/>
              <w:rPr>
                <w:b/>
              </w:rPr>
            </w:pPr>
            <w:r w:rsidRPr="00377B18">
              <w:rPr>
                <w:b/>
              </w:rPr>
              <w:t>Goal</w:t>
            </w:r>
          </w:p>
        </w:tc>
        <w:tc>
          <w:tcPr>
            <w:tcW w:w="990" w:type="dxa"/>
          </w:tcPr>
          <w:p w:rsidR="00EE1360" w:rsidRPr="00377B18" w:rsidRDefault="00EE1360" w:rsidP="00377B18">
            <w:pPr>
              <w:jc w:val="center"/>
              <w:rPr>
                <w:b/>
              </w:rPr>
            </w:pPr>
            <w:r w:rsidRPr="00377B18">
              <w:rPr>
                <w:b/>
              </w:rPr>
              <w:t>Strategy</w:t>
            </w:r>
          </w:p>
        </w:tc>
        <w:tc>
          <w:tcPr>
            <w:tcW w:w="1841" w:type="dxa"/>
          </w:tcPr>
          <w:p w:rsidR="00EE1360" w:rsidRPr="00377B18" w:rsidRDefault="00EE1360" w:rsidP="00377B18">
            <w:pPr>
              <w:jc w:val="center"/>
              <w:rPr>
                <w:b/>
              </w:rPr>
            </w:pPr>
            <w:r w:rsidRPr="00377B18">
              <w:rPr>
                <w:b/>
              </w:rPr>
              <w:t>Recommendation</w:t>
            </w:r>
          </w:p>
        </w:tc>
        <w:tc>
          <w:tcPr>
            <w:tcW w:w="5012" w:type="dxa"/>
          </w:tcPr>
          <w:p w:rsidR="00EE1360" w:rsidRPr="00377B18" w:rsidRDefault="00EE1360" w:rsidP="00377B18">
            <w:pPr>
              <w:jc w:val="center"/>
              <w:rPr>
                <w:b/>
              </w:rPr>
            </w:pPr>
            <w:r w:rsidRPr="00377B18">
              <w:rPr>
                <w:b/>
              </w:rPr>
              <w:t>Rationale</w:t>
            </w:r>
          </w:p>
        </w:tc>
      </w:tr>
      <w:tr w:rsidR="00EE1360" w:rsidRPr="00377B18" w:rsidTr="00377B18">
        <w:tc>
          <w:tcPr>
            <w:tcW w:w="657" w:type="dxa"/>
          </w:tcPr>
          <w:p w:rsidR="00EE1360" w:rsidRPr="00377B18" w:rsidRDefault="00EE1360">
            <w:pPr>
              <w:rPr>
                <w:sz w:val="20"/>
                <w:szCs w:val="20"/>
              </w:rPr>
            </w:pPr>
            <w:r w:rsidRPr="00377B18">
              <w:rPr>
                <w:sz w:val="20"/>
                <w:szCs w:val="20"/>
              </w:rPr>
              <w:t>14</w:t>
            </w:r>
          </w:p>
        </w:tc>
        <w:tc>
          <w:tcPr>
            <w:tcW w:w="878" w:type="dxa"/>
          </w:tcPr>
          <w:p w:rsidR="00EE1360" w:rsidRPr="00377B18" w:rsidRDefault="00EE1360">
            <w:pPr>
              <w:rPr>
                <w:sz w:val="20"/>
                <w:szCs w:val="20"/>
              </w:rPr>
            </w:pPr>
            <w:r w:rsidRPr="00377B18">
              <w:rPr>
                <w:sz w:val="20"/>
                <w:szCs w:val="20"/>
              </w:rPr>
              <w:t>2A</w:t>
            </w:r>
          </w:p>
        </w:tc>
        <w:tc>
          <w:tcPr>
            <w:tcW w:w="990" w:type="dxa"/>
          </w:tcPr>
          <w:p w:rsidR="00EE1360" w:rsidRPr="00377B18" w:rsidRDefault="00EE1360">
            <w:pPr>
              <w:rPr>
                <w:sz w:val="20"/>
                <w:szCs w:val="20"/>
              </w:rPr>
            </w:pPr>
            <w:r w:rsidRPr="00377B18">
              <w:rPr>
                <w:sz w:val="20"/>
                <w:szCs w:val="20"/>
              </w:rPr>
              <w:t>5</w:t>
            </w:r>
          </w:p>
        </w:tc>
        <w:tc>
          <w:tcPr>
            <w:tcW w:w="1841" w:type="dxa"/>
          </w:tcPr>
          <w:p w:rsidR="00EE1360" w:rsidRPr="00377B18" w:rsidRDefault="00EE1360">
            <w:pPr>
              <w:rPr>
                <w:sz w:val="20"/>
                <w:szCs w:val="20"/>
              </w:rPr>
            </w:pPr>
            <w:r w:rsidRPr="00377B18">
              <w:rPr>
                <w:sz w:val="20"/>
                <w:szCs w:val="20"/>
              </w:rPr>
              <w:t>Include “at reasonable cost”</w:t>
            </w:r>
          </w:p>
        </w:tc>
        <w:tc>
          <w:tcPr>
            <w:tcW w:w="5012" w:type="dxa"/>
          </w:tcPr>
          <w:p w:rsidR="00EE1360" w:rsidRPr="00377B18" w:rsidRDefault="00EE1360" w:rsidP="00EE1360">
            <w:pPr>
              <w:rPr>
                <w:sz w:val="20"/>
                <w:szCs w:val="20"/>
              </w:rPr>
            </w:pPr>
            <w:r w:rsidRPr="00377B18">
              <w:rPr>
                <w:sz w:val="20"/>
                <w:szCs w:val="20"/>
              </w:rPr>
              <w:t>In the community HIE world, the cost of onboarding providers is high and prohibitive to providers and thus makes health information exchange dependent on third party incentives. To date there has been little tangible efforts from</w:t>
            </w:r>
            <w:r w:rsidR="005A6C8B">
              <w:rPr>
                <w:sz w:val="20"/>
                <w:szCs w:val="20"/>
              </w:rPr>
              <w:t xml:space="preserve"> some </w:t>
            </w:r>
            <w:r w:rsidRPr="00377B18">
              <w:rPr>
                <w:sz w:val="20"/>
                <w:szCs w:val="20"/>
              </w:rPr>
              <w:t>EMR companies to accommodate exchange</w:t>
            </w:r>
            <w:r w:rsidR="005A6C8B">
              <w:rPr>
                <w:sz w:val="20"/>
                <w:szCs w:val="20"/>
              </w:rPr>
              <w:t xml:space="preserve"> at a reasonable price point</w:t>
            </w:r>
          </w:p>
        </w:tc>
      </w:tr>
      <w:tr w:rsidR="00AB2757" w:rsidRPr="00377B18" w:rsidTr="00377B18">
        <w:tc>
          <w:tcPr>
            <w:tcW w:w="657" w:type="dxa"/>
          </w:tcPr>
          <w:p w:rsidR="00AB2757" w:rsidRPr="00377B18" w:rsidRDefault="00AB2757">
            <w:pPr>
              <w:rPr>
                <w:sz w:val="20"/>
                <w:szCs w:val="20"/>
              </w:rPr>
            </w:pPr>
            <w:r w:rsidRPr="00377B18">
              <w:rPr>
                <w:sz w:val="20"/>
                <w:szCs w:val="20"/>
              </w:rPr>
              <w:t>15</w:t>
            </w:r>
          </w:p>
        </w:tc>
        <w:tc>
          <w:tcPr>
            <w:tcW w:w="878" w:type="dxa"/>
          </w:tcPr>
          <w:p w:rsidR="00AB2757" w:rsidRPr="00377B18" w:rsidRDefault="00AB2757">
            <w:pPr>
              <w:rPr>
                <w:sz w:val="20"/>
                <w:szCs w:val="20"/>
              </w:rPr>
            </w:pPr>
            <w:r w:rsidRPr="00377B18">
              <w:rPr>
                <w:sz w:val="20"/>
                <w:szCs w:val="20"/>
              </w:rPr>
              <w:t>B2</w:t>
            </w:r>
          </w:p>
        </w:tc>
        <w:tc>
          <w:tcPr>
            <w:tcW w:w="990" w:type="dxa"/>
          </w:tcPr>
          <w:p w:rsidR="00AB2757" w:rsidRPr="00377B18" w:rsidRDefault="00AB2757">
            <w:pPr>
              <w:rPr>
                <w:sz w:val="20"/>
                <w:szCs w:val="20"/>
              </w:rPr>
            </w:pPr>
            <w:r w:rsidRPr="00377B18">
              <w:rPr>
                <w:sz w:val="20"/>
                <w:szCs w:val="20"/>
              </w:rPr>
              <w:t>3</w:t>
            </w:r>
          </w:p>
        </w:tc>
        <w:tc>
          <w:tcPr>
            <w:tcW w:w="1841" w:type="dxa"/>
          </w:tcPr>
          <w:p w:rsidR="00AB2757" w:rsidRPr="00377B18" w:rsidRDefault="00AB2757">
            <w:pPr>
              <w:rPr>
                <w:sz w:val="20"/>
                <w:szCs w:val="20"/>
              </w:rPr>
            </w:pPr>
            <w:r w:rsidRPr="00377B18">
              <w:rPr>
                <w:sz w:val="20"/>
                <w:szCs w:val="20"/>
              </w:rPr>
              <w:t>TAHIO strongly supports this effort</w:t>
            </w:r>
          </w:p>
        </w:tc>
        <w:tc>
          <w:tcPr>
            <w:tcW w:w="5012" w:type="dxa"/>
          </w:tcPr>
          <w:p w:rsidR="00AB2757" w:rsidRPr="00377B18" w:rsidRDefault="00AB2757" w:rsidP="00425C75">
            <w:pPr>
              <w:rPr>
                <w:sz w:val="20"/>
                <w:szCs w:val="20"/>
              </w:rPr>
            </w:pPr>
            <w:r w:rsidRPr="00377B18">
              <w:rPr>
                <w:sz w:val="20"/>
                <w:szCs w:val="20"/>
              </w:rPr>
              <w:t xml:space="preserve">HIEs are increasingly challenged to </w:t>
            </w:r>
            <w:r w:rsidR="00425C75">
              <w:rPr>
                <w:sz w:val="20"/>
                <w:szCs w:val="20"/>
              </w:rPr>
              <w:t xml:space="preserve">aggregate </w:t>
            </w:r>
            <w:proofErr w:type="gramStart"/>
            <w:r w:rsidR="00425C75">
              <w:rPr>
                <w:sz w:val="20"/>
                <w:szCs w:val="20"/>
              </w:rPr>
              <w:t xml:space="preserve">disparate </w:t>
            </w:r>
            <w:r w:rsidRPr="00377B18">
              <w:rPr>
                <w:sz w:val="20"/>
                <w:szCs w:val="20"/>
              </w:rPr>
              <w:t xml:space="preserve"> patient</w:t>
            </w:r>
            <w:proofErr w:type="gramEnd"/>
            <w:r w:rsidRPr="00377B18">
              <w:rPr>
                <w:sz w:val="20"/>
                <w:szCs w:val="20"/>
              </w:rPr>
              <w:t xml:space="preserve"> data</w:t>
            </w:r>
            <w:r w:rsidR="00425C75">
              <w:rPr>
                <w:sz w:val="20"/>
                <w:szCs w:val="20"/>
              </w:rPr>
              <w:t>.</w:t>
            </w:r>
            <w:r w:rsidRPr="00377B18">
              <w:rPr>
                <w:sz w:val="20"/>
                <w:szCs w:val="20"/>
              </w:rPr>
              <w:t xml:space="preserve">  Despite the standardized methods of exchange </w:t>
            </w:r>
            <w:proofErr w:type="gramStart"/>
            <w:r w:rsidRPr="00377B18">
              <w:rPr>
                <w:sz w:val="20"/>
                <w:szCs w:val="20"/>
              </w:rPr>
              <w:t>( HL7</w:t>
            </w:r>
            <w:proofErr w:type="gramEnd"/>
            <w:r w:rsidRPr="00377B18">
              <w:rPr>
                <w:sz w:val="20"/>
                <w:szCs w:val="20"/>
              </w:rPr>
              <w:t>, CCD-A) there remains extensive variability in the content of these standardized exchange.</w:t>
            </w:r>
          </w:p>
        </w:tc>
      </w:tr>
      <w:tr w:rsidR="00EE1360" w:rsidRPr="00377B18" w:rsidTr="00377B18">
        <w:tc>
          <w:tcPr>
            <w:tcW w:w="657" w:type="dxa"/>
          </w:tcPr>
          <w:p w:rsidR="00EE1360" w:rsidRPr="00377B18" w:rsidRDefault="00EE1360">
            <w:pPr>
              <w:rPr>
                <w:sz w:val="20"/>
                <w:szCs w:val="20"/>
              </w:rPr>
            </w:pPr>
            <w:r w:rsidRPr="00377B18">
              <w:rPr>
                <w:sz w:val="20"/>
                <w:szCs w:val="20"/>
              </w:rPr>
              <w:t>16</w:t>
            </w:r>
          </w:p>
        </w:tc>
        <w:tc>
          <w:tcPr>
            <w:tcW w:w="878" w:type="dxa"/>
          </w:tcPr>
          <w:p w:rsidR="00EE1360" w:rsidRPr="00377B18" w:rsidRDefault="00EE1360">
            <w:pPr>
              <w:rPr>
                <w:sz w:val="20"/>
                <w:szCs w:val="20"/>
              </w:rPr>
            </w:pPr>
            <w:r w:rsidRPr="00377B18">
              <w:rPr>
                <w:sz w:val="20"/>
                <w:szCs w:val="20"/>
              </w:rPr>
              <w:t>2C</w:t>
            </w:r>
          </w:p>
        </w:tc>
        <w:tc>
          <w:tcPr>
            <w:tcW w:w="990" w:type="dxa"/>
          </w:tcPr>
          <w:p w:rsidR="00EE1360" w:rsidRPr="00377B18" w:rsidRDefault="00EE1360">
            <w:pPr>
              <w:rPr>
                <w:sz w:val="20"/>
                <w:szCs w:val="20"/>
              </w:rPr>
            </w:pPr>
            <w:r w:rsidRPr="00377B18">
              <w:rPr>
                <w:sz w:val="20"/>
                <w:szCs w:val="20"/>
              </w:rPr>
              <w:t>5</w:t>
            </w:r>
          </w:p>
        </w:tc>
        <w:tc>
          <w:tcPr>
            <w:tcW w:w="1841" w:type="dxa"/>
          </w:tcPr>
          <w:p w:rsidR="00EE1360" w:rsidRPr="00377B18" w:rsidRDefault="00EE1360">
            <w:pPr>
              <w:rPr>
                <w:sz w:val="20"/>
                <w:szCs w:val="20"/>
              </w:rPr>
            </w:pPr>
            <w:r w:rsidRPr="00377B18">
              <w:rPr>
                <w:sz w:val="20"/>
                <w:szCs w:val="20"/>
              </w:rPr>
              <w:t>TAHIO strongly supports this effort</w:t>
            </w:r>
          </w:p>
        </w:tc>
        <w:tc>
          <w:tcPr>
            <w:tcW w:w="5012" w:type="dxa"/>
          </w:tcPr>
          <w:p w:rsidR="00EE1360" w:rsidRPr="00377B18" w:rsidRDefault="00AB2757" w:rsidP="00425C75">
            <w:pPr>
              <w:rPr>
                <w:sz w:val="20"/>
                <w:szCs w:val="20"/>
              </w:rPr>
            </w:pPr>
            <w:r w:rsidRPr="00377B18">
              <w:rPr>
                <w:sz w:val="20"/>
                <w:szCs w:val="20"/>
              </w:rPr>
              <w:t>HIEs share data ac</w:t>
            </w:r>
            <w:r w:rsidR="00425C75">
              <w:rPr>
                <w:sz w:val="20"/>
                <w:szCs w:val="20"/>
              </w:rPr>
              <w:t xml:space="preserve">ross providers and may not </w:t>
            </w:r>
            <w:r w:rsidRPr="00377B18">
              <w:rPr>
                <w:sz w:val="20"/>
                <w:szCs w:val="20"/>
              </w:rPr>
              <w:t>al</w:t>
            </w:r>
            <w:r w:rsidR="00425C75">
              <w:rPr>
                <w:sz w:val="20"/>
                <w:szCs w:val="20"/>
              </w:rPr>
              <w:t>ways have</w:t>
            </w:r>
            <w:r w:rsidRPr="00377B18">
              <w:rPr>
                <w:sz w:val="20"/>
                <w:szCs w:val="20"/>
              </w:rPr>
              <w:t xml:space="preserve"> control over end-users.  Any coordination in providing safeguards, alerts about possible security vulnerabilities will reduce the risk for data sharing and increase the public’s trust</w:t>
            </w:r>
          </w:p>
        </w:tc>
      </w:tr>
      <w:tr w:rsidR="00AB2757" w:rsidRPr="00377B18" w:rsidTr="00377B18">
        <w:tc>
          <w:tcPr>
            <w:tcW w:w="657" w:type="dxa"/>
          </w:tcPr>
          <w:p w:rsidR="00AB2757" w:rsidRPr="00377B18" w:rsidRDefault="00AB2757">
            <w:pPr>
              <w:rPr>
                <w:sz w:val="20"/>
                <w:szCs w:val="20"/>
              </w:rPr>
            </w:pPr>
            <w:r w:rsidRPr="00377B18">
              <w:rPr>
                <w:sz w:val="20"/>
                <w:szCs w:val="20"/>
              </w:rPr>
              <w:t>18</w:t>
            </w:r>
          </w:p>
        </w:tc>
        <w:tc>
          <w:tcPr>
            <w:tcW w:w="878" w:type="dxa"/>
          </w:tcPr>
          <w:p w:rsidR="00AB2757" w:rsidRPr="00377B18" w:rsidRDefault="00AB2757">
            <w:pPr>
              <w:rPr>
                <w:sz w:val="20"/>
                <w:szCs w:val="20"/>
              </w:rPr>
            </w:pPr>
            <w:r w:rsidRPr="00377B18">
              <w:rPr>
                <w:sz w:val="20"/>
                <w:szCs w:val="20"/>
              </w:rPr>
              <w:t>3A</w:t>
            </w:r>
          </w:p>
        </w:tc>
        <w:tc>
          <w:tcPr>
            <w:tcW w:w="990" w:type="dxa"/>
          </w:tcPr>
          <w:p w:rsidR="00AB2757" w:rsidRPr="00377B18" w:rsidRDefault="00AB2757">
            <w:pPr>
              <w:rPr>
                <w:sz w:val="20"/>
                <w:szCs w:val="20"/>
              </w:rPr>
            </w:pPr>
            <w:r w:rsidRPr="00377B18">
              <w:rPr>
                <w:sz w:val="20"/>
                <w:szCs w:val="20"/>
              </w:rPr>
              <w:t>3</w:t>
            </w:r>
          </w:p>
        </w:tc>
        <w:tc>
          <w:tcPr>
            <w:tcW w:w="1841" w:type="dxa"/>
          </w:tcPr>
          <w:p w:rsidR="00AB2757" w:rsidRPr="00377B18" w:rsidRDefault="00AB2757">
            <w:pPr>
              <w:rPr>
                <w:sz w:val="20"/>
                <w:szCs w:val="20"/>
              </w:rPr>
            </w:pPr>
            <w:r w:rsidRPr="00377B18">
              <w:rPr>
                <w:sz w:val="20"/>
                <w:szCs w:val="20"/>
              </w:rPr>
              <w:t>TAHIO strongly supports this effort</w:t>
            </w:r>
          </w:p>
        </w:tc>
        <w:tc>
          <w:tcPr>
            <w:tcW w:w="5012" w:type="dxa"/>
          </w:tcPr>
          <w:p w:rsidR="00AB2757" w:rsidRPr="00377B18" w:rsidRDefault="00AB2757" w:rsidP="00425C75">
            <w:pPr>
              <w:rPr>
                <w:sz w:val="20"/>
                <w:szCs w:val="20"/>
              </w:rPr>
            </w:pPr>
            <w:r w:rsidRPr="00377B18">
              <w:rPr>
                <w:sz w:val="20"/>
                <w:szCs w:val="20"/>
              </w:rPr>
              <w:t xml:space="preserve">Verification tools will aid in providing more reliable </w:t>
            </w:r>
            <w:r w:rsidR="00425C75">
              <w:rPr>
                <w:sz w:val="20"/>
                <w:szCs w:val="20"/>
              </w:rPr>
              <w:t>data sets and thus improve</w:t>
            </w:r>
            <w:r w:rsidRPr="00377B18">
              <w:rPr>
                <w:sz w:val="20"/>
                <w:szCs w:val="20"/>
              </w:rPr>
              <w:t xml:space="preserve"> quality measurements</w:t>
            </w:r>
            <w:r w:rsidR="001D2D70">
              <w:rPr>
                <w:sz w:val="20"/>
                <w:szCs w:val="20"/>
              </w:rPr>
              <w:t xml:space="preserve"> and the value of shared data to improve decision </w:t>
            </w:r>
            <w:proofErr w:type="gramStart"/>
            <w:r w:rsidR="001D2D70">
              <w:rPr>
                <w:sz w:val="20"/>
                <w:szCs w:val="20"/>
              </w:rPr>
              <w:t>support  across</w:t>
            </w:r>
            <w:proofErr w:type="gramEnd"/>
            <w:r w:rsidR="001D2D70">
              <w:rPr>
                <w:sz w:val="20"/>
                <w:szCs w:val="20"/>
              </w:rPr>
              <w:t xml:space="preserve"> systems</w:t>
            </w:r>
            <w:r w:rsidRPr="00377B18">
              <w:rPr>
                <w:sz w:val="20"/>
                <w:szCs w:val="20"/>
              </w:rPr>
              <w:t>.</w:t>
            </w:r>
          </w:p>
        </w:tc>
      </w:tr>
      <w:tr w:rsidR="00EE1360" w:rsidRPr="00377B18" w:rsidTr="00377B18">
        <w:tc>
          <w:tcPr>
            <w:tcW w:w="657" w:type="dxa"/>
          </w:tcPr>
          <w:p w:rsidR="00EE1360" w:rsidRPr="00377B18" w:rsidRDefault="00AB2757">
            <w:pPr>
              <w:rPr>
                <w:sz w:val="20"/>
                <w:szCs w:val="20"/>
              </w:rPr>
            </w:pPr>
            <w:r w:rsidRPr="00377B18">
              <w:rPr>
                <w:sz w:val="20"/>
                <w:szCs w:val="20"/>
              </w:rPr>
              <w:t>18</w:t>
            </w:r>
          </w:p>
        </w:tc>
        <w:tc>
          <w:tcPr>
            <w:tcW w:w="878" w:type="dxa"/>
          </w:tcPr>
          <w:p w:rsidR="00EE1360" w:rsidRPr="00377B18" w:rsidRDefault="00AB2757">
            <w:pPr>
              <w:rPr>
                <w:sz w:val="20"/>
                <w:szCs w:val="20"/>
              </w:rPr>
            </w:pPr>
            <w:r w:rsidRPr="00377B18">
              <w:rPr>
                <w:sz w:val="20"/>
                <w:szCs w:val="20"/>
              </w:rPr>
              <w:t>3A</w:t>
            </w:r>
          </w:p>
        </w:tc>
        <w:tc>
          <w:tcPr>
            <w:tcW w:w="990" w:type="dxa"/>
          </w:tcPr>
          <w:p w:rsidR="00EE1360" w:rsidRPr="00377B18" w:rsidRDefault="00AB2757">
            <w:pPr>
              <w:rPr>
                <w:sz w:val="20"/>
                <w:szCs w:val="20"/>
              </w:rPr>
            </w:pPr>
            <w:r w:rsidRPr="00377B18">
              <w:rPr>
                <w:sz w:val="20"/>
                <w:szCs w:val="20"/>
              </w:rPr>
              <w:t>5</w:t>
            </w:r>
          </w:p>
        </w:tc>
        <w:tc>
          <w:tcPr>
            <w:tcW w:w="1841" w:type="dxa"/>
          </w:tcPr>
          <w:p w:rsidR="00EE1360" w:rsidRPr="00377B18" w:rsidRDefault="00AB2757">
            <w:pPr>
              <w:rPr>
                <w:sz w:val="20"/>
                <w:szCs w:val="20"/>
              </w:rPr>
            </w:pPr>
            <w:r w:rsidRPr="00377B18">
              <w:rPr>
                <w:sz w:val="20"/>
                <w:szCs w:val="20"/>
              </w:rPr>
              <w:t>TAHIO strongly supports this effort</w:t>
            </w:r>
          </w:p>
        </w:tc>
        <w:tc>
          <w:tcPr>
            <w:tcW w:w="5012" w:type="dxa"/>
          </w:tcPr>
          <w:p w:rsidR="00EE1360" w:rsidRPr="00377B18" w:rsidRDefault="00C9624C" w:rsidP="00C9624C">
            <w:pPr>
              <w:rPr>
                <w:sz w:val="20"/>
                <w:szCs w:val="20"/>
              </w:rPr>
            </w:pPr>
            <w:r>
              <w:rPr>
                <w:sz w:val="20"/>
                <w:szCs w:val="20"/>
              </w:rPr>
              <w:t>C</w:t>
            </w:r>
            <w:r w:rsidR="00AB2757" w:rsidRPr="00377B18">
              <w:rPr>
                <w:sz w:val="20"/>
                <w:szCs w:val="20"/>
              </w:rPr>
              <w:t>ommun</w:t>
            </w:r>
            <w:r w:rsidR="00425C75">
              <w:rPr>
                <w:sz w:val="20"/>
                <w:szCs w:val="20"/>
              </w:rPr>
              <w:t>ity HIEs</w:t>
            </w:r>
            <w:r>
              <w:rPr>
                <w:sz w:val="20"/>
                <w:szCs w:val="20"/>
              </w:rPr>
              <w:t xml:space="preserve"> have</w:t>
            </w:r>
            <w:r w:rsidR="00425C75">
              <w:rPr>
                <w:sz w:val="20"/>
                <w:szCs w:val="20"/>
              </w:rPr>
              <w:t xml:space="preserve"> the ability to combine </w:t>
            </w:r>
            <w:r w:rsidR="00AB2757" w:rsidRPr="00377B18">
              <w:rPr>
                <w:sz w:val="20"/>
                <w:szCs w:val="20"/>
              </w:rPr>
              <w:t xml:space="preserve"> person-reported data </w:t>
            </w:r>
            <w:r>
              <w:rPr>
                <w:sz w:val="20"/>
                <w:szCs w:val="20"/>
              </w:rPr>
              <w:t>with clinician-reported data</w:t>
            </w:r>
            <w:r w:rsidR="001D2D70">
              <w:rPr>
                <w:sz w:val="20"/>
                <w:szCs w:val="20"/>
              </w:rPr>
              <w:t xml:space="preserve"> to</w:t>
            </w:r>
            <w:r w:rsidR="00AB2757" w:rsidRPr="00377B18">
              <w:rPr>
                <w:sz w:val="20"/>
                <w:szCs w:val="20"/>
              </w:rPr>
              <w:t xml:space="preserve"> provide more complete patient profiles for treating providers</w:t>
            </w:r>
          </w:p>
        </w:tc>
      </w:tr>
      <w:tr w:rsidR="00EE1360" w:rsidRPr="00377B18" w:rsidTr="00377B18">
        <w:tc>
          <w:tcPr>
            <w:tcW w:w="657" w:type="dxa"/>
          </w:tcPr>
          <w:p w:rsidR="00EE1360" w:rsidRPr="00377B18" w:rsidRDefault="00AB2757">
            <w:pPr>
              <w:rPr>
                <w:sz w:val="20"/>
                <w:szCs w:val="20"/>
              </w:rPr>
            </w:pPr>
            <w:r w:rsidRPr="00377B18">
              <w:rPr>
                <w:sz w:val="20"/>
                <w:szCs w:val="20"/>
              </w:rPr>
              <w:t>22</w:t>
            </w:r>
          </w:p>
        </w:tc>
        <w:tc>
          <w:tcPr>
            <w:tcW w:w="878" w:type="dxa"/>
          </w:tcPr>
          <w:p w:rsidR="00EE1360" w:rsidRPr="00377B18" w:rsidRDefault="00AB2757">
            <w:pPr>
              <w:rPr>
                <w:sz w:val="20"/>
                <w:szCs w:val="20"/>
              </w:rPr>
            </w:pPr>
            <w:r w:rsidRPr="00377B18">
              <w:rPr>
                <w:sz w:val="20"/>
                <w:szCs w:val="20"/>
              </w:rPr>
              <w:t>4A</w:t>
            </w:r>
          </w:p>
        </w:tc>
        <w:tc>
          <w:tcPr>
            <w:tcW w:w="990" w:type="dxa"/>
          </w:tcPr>
          <w:p w:rsidR="00EE1360" w:rsidRPr="00377B18" w:rsidRDefault="00AB2757">
            <w:pPr>
              <w:rPr>
                <w:sz w:val="20"/>
                <w:szCs w:val="20"/>
              </w:rPr>
            </w:pPr>
            <w:r w:rsidRPr="00377B18">
              <w:rPr>
                <w:sz w:val="20"/>
                <w:szCs w:val="20"/>
              </w:rPr>
              <w:t>1</w:t>
            </w:r>
          </w:p>
        </w:tc>
        <w:tc>
          <w:tcPr>
            <w:tcW w:w="1841" w:type="dxa"/>
          </w:tcPr>
          <w:p w:rsidR="00EE1360" w:rsidRPr="00377B18" w:rsidRDefault="00377B18" w:rsidP="00377B18">
            <w:pPr>
              <w:rPr>
                <w:sz w:val="20"/>
                <w:szCs w:val="20"/>
              </w:rPr>
            </w:pPr>
            <w:r w:rsidRPr="00377B18">
              <w:rPr>
                <w:sz w:val="20"/>
                <w:szCs w:val="20"/>
              </w:rPr>
              <w:t>TAHIO supports this effort</w:t>
            </w:r>
          </w:p>
        </w:tc>
        <w:tc>
          <w:tcPr>
            <w:tcW w:w="5012" w:type="dxa"/>
          </w:tcPr>
          <w:p w:rsidR="00EE1360" w:rsidRPr="00377B18" w:rsidRDefault="00377B18" w:rsidP="00C9624C">
            <w:pPr>
              <w:rPr>
                <w:sz w:val="20"/>
                <w:szCs w:val="20"/>
              </w:rPr>
            </w:pPr>
            <w:r w:rsidRPr="00377B18">
              <w:rPr>
                <w:sz w:val="20"/>
                <w:szCs w:val="20"/>
              </w:rPr>
              <w:t>Making individuals</w:t>
            </w:r>
            <w:r w:rsidR="00425C75">
              <w:rPr>
                <w:sz w:val="20"/>
                <w:szCs w:val="20"/>
              </w:rPr>
              <w:t xml:space="preserve"> the </w:t>
            </w:r>
            <w:r w:rsidRPr="00377B18">
              <w:rPr>
                <w:sz w:val="20"/>
                <w:szCs w:val="20"/>
              </w:rPr>
              <w:t xml:space="preserve">stewards of their health data will encourage their engagement.  However, </w:t>
            </w:r>
            <w:r w:rsidR="00C9624C">
              <w:rPr>
                <w:sz w:val="20"/>
                <w:szCs w:val="20"/>
              </w:rPr>
              <w:t>providers should be made aware if information has been redacted outside legal requirements</w:t>
            </w:r>
            <w:proofErr w:type="gramStart"/>
            <w:r w:rsidR="00C9624C">
              <w:rPr>
                <w:sz w:val="20"/>
                <w:szCs w:val="20"/>
              </w:rPr>
              <w:t>.</w:t>
            </w:r>
            <w:r w:rsidRPr="00377B18">
              <w:rPr>
                <w:sz w:val="20"/>
                <w:szCs w:val="20"/>
              </w:rPr>
              <w:t>.</w:t>
            </w:r>
            <w:proofErr w:type="gramEnd"/>
          </w:p>
        </w:tc>
      </w:tr>
      <w:tr w:rsidR="00EE1360" w:rsidRPr="00377B18" w:rsidTr="00377B18">
        <w:tc>
          <w:tcPr>
            <w:tcW w:w="657" w:type="dxa"/>
          </w:tcPr>
          <w:p w:rsidR="00EE1360" w:rsidRPr="00377B18" w:rsidRDefault="00377B18">
            <w:pPr>
              <w:rPr>
                <w:sz w:val="20"/>
                <w:szCs w:val="20"/>
              </w:rPr>
            </w:pPr>
            <w:r w:rsidRPr="00377B18">
              <w:rPr>
                <w:sz w:val="20"/>
                <w:szCs w:val="20"/>
              </w:rPr>
              <w:t>23</w:t>
            </w:r>
          </w:p>
        </w:tc>
        <w:tc>
          <w:tcPr>
            <w:tcW w:w="878" w:type="dxa"/>
          </w:tcPr>
          <w:p w:rsidR="00EE1360" w:rsidRPr="00377B18" w:rsidRDefault="00377B18">
            <w:pPr>
              <w:rPr>
                <w:sz w:val="20"/>
                <w:szCs w:val="20"/>
              </w:rPr>
            </w:pPr>
            <w:r w:rsidRPr="00377B18">
              <w:rPr>
                <w:sz w:val="20"/>
                <w:szCs w:val="20"/>
              </w:rPr>
              <w:t>4B</w:t>
            </w:r>
          </w:p>
        </w:tc>
        <w:tc>
          <w:tcPr>
            <w:tcW w:w="990" w:type="dxa"/>
          </w:tcPr>
          <w:p w:rsidR="00EE1360" w:rsidRPr="00377B18" w:rsidRDefault="00377B18">
            <w:pPr>
              <w:rPr>
                <w:sz w:val="20"/>
                <w:szCs w:val="20"/>
              </w:rPr>
            </w:pPr>
            <w:r w:rsidRPr="00377B18">
              <w:rPr>
                <w:sz w:val="20"/>
                <w:szCs w:val="20"/>
              </w:rPr>
              <w:t>1</w:t>
            </w:r>
          </w:p>
        </w:tc>
        <w:tc>
          <w:tcPr>
            <w:tcW w:w="1841" w:type="dxa"/>
          </w:tcPr>
          <w:p w:rsidR="00EE1360" w:rsidRPr="00377B18" w:rsidRDefault="00377B18">
            <w:pPr>
              <w:rPr>
                <w:sz w:val="20"/>
                <w:szCs w:val="20"/>
              </w:rPr>
            </w:pPr>
            <w:r w:rsidRPr="00377B18">
              <w:rPr>
                <w:sz w:val="20"/>
                <w:szCs w:val="20"/>
              </w:rPr>
              <w:t xml:space="preserve">TAHIO strongly </w:t>
            </w:r>
            <w:r w:rsidRPr="00377B18">
              <w:rPr>
                <w:sz w:val="20"/>
                <w:szCs w:val="20"/>
              </w:rPr>
              <w:lastRenderedPageBreak/>
              <w:t>supports this effort</w:t>
            </w:r>
          </w:p>
        </w:tc>
        <w:tc>
          <w:tcPr>
            <w:tcW w:w="5012" w:type="dxa"/>
          </w:tcPr>
          <w:p w:rsidR="00EE1360" w:rsidRPr="00377B18" w:rsidRDefault="00377B18" w:rsidP="00377B18">
            <w:pPr>
              <w:rPr>
                <w:sz w:val="20"/>
                <w:szCs w:val="20"/>
              </w:rPr>
            </w:pPr>
            <w:r w:rsidRPr="00377B18">
              <w:rPr>
                <w:sz w:val="20"/>
                <w:szCs w:val="20"/>
              </w:rPr>
              <w:lastRenderedPageBreak/>
              <w:t xml:space="preserve">Aggregate patient data, present in community HIEs, and </w:t>
            </w:r>
            <w:r w:rsidRPr="00377B18">
              <w:rPr>
                <w:sz w:val="20"/>
                <w:szCs w:val="20"/>
              </w:rPr>
              <w:lastRenderedPageBreak/>
              <w:t>real-time, can aid public health officials in identifying potential outbreaks</w:t>
            </w:r>
            <w:proofErr w:type="gramStart"/>
            <w:r w:rsidRPr="00377B18">
              <w:rPr>
                <w:sz w:val="20"/>
                <w:szCs w:val="20"/>
              </w:rPr>
              <w:t>,  resource</w:t>
            </w:r>
            <w:proofErr w:type="gramEnd"/>
            <w:r w:rsidRPr="00377B18">
              <w:rPr>
                <w:sz w:val="20"/>
                <w:szCs w:val="20"/>
              </w:rPr>
              <w:t xml:space="preserve"> allocations</w:t>
            </w:r>
            <w:r w:rsidR="00425C75">
              <w:rPr>
                <w:sz w:val="20"/>
                <w:szCs w:val="20"/>
              </w:rPr>
              <w:t xml:space="preserve"> in a cost efficient way</w:t>
            </w:r>
            <w:r w:rsidRPr="00377B18">
              <w:rPr>
                <w:sz w:val="20"/>
                <w:szCs w:val="20"/>
              </w:rPr>
              <w:t xml:space="preserve">.  </w:t>
            </w:r>
          </w:p>
        </w:tc>
      </w:tr>
      <w:tr w:rsidR="00EE1360" w:rsidRPr="00377B18" w:rsidTr="00377B18">
        <w:tc>
          <w:tcPr>
            <w:tcW w:w="657" w:type="dxa"/>
          </w:tcPr>
          <w:p w:rsidR="00EE1360" w:rsidRPr="00377B18" w:rsidRDefault="00377B18">
            <w:pPr>
              <w:rPr>
                <w:sz w:val="20"/>
                <w:szCs w:val="20"/>
              </w:rPr>
            </w:pPr>
            <w:r w:rsidRPr="00377B18">
              <w:rPr>
                <w:sz w:val="20"/>
                <w:szCs w:val="20"/>
              </w:rPr>
              <w:lastRenderedPageBreak/>
              <w:t>23</w:t>
            </w:r>
          </w:p>
        </w:tc>
        <w:tc>
          <w:tcPr>
            <w:tcW w:w="878" w:type="dxa"/>
          </w:tcPr>
          <w:p w:rsidR="00EE1360" w:rsidRPr="00377B18" w:rsidRDefault="00377B18">
            <w:pPr>
              <w:rPr>
                <w:sz w:val="20"/>
                <w:szCs w:val="20"/>
              </w:rPr>
            </w:pPr>
            <w:r w:rsidRPr="00377B18">
              <w:rPr>
                <w:sz w:val="20"/>
                <w:szCs w:val="20"/>
              </w:rPr>
              <w:t>4B</w:t>
            </w:r>
          </w:p>
        </w:tc>
        <w:tc>
          <w:tcPr>
            <w:tcW w:w="990" w:type="dxa"/>
          </w:tcPr>
          <w:p w:rsidR="00EE1360" w:rsidRPr="00377B18" w:rsidRDefault="00377B18">
            <w:pPr>
              <w:rPr>
                <w:sz w:val="20"/>
                <w:szCs w:val="20"/>
              </w:rPr>
            </w:pPr>
            <w:r w:rsidRPr="00377B18">
              <w:rPr>
                <w:sz w:val="20"/>
                <w:szCs w:val="20"/>
              </w:rPr>
              <w:t>4</w:t>
            </w:r>
          </w:p>
        </w:tc>
        <w:tc>
          <w:tcPr>
            <w:tcW w:w="1841" w:type="dxa"/>
          </w:tcPr>
          <w:p w:rsidR="00EE1360" w:rsidRPr="00377B18" w:rsidRDefault="00377B18">
            <w:pPr>
              <w:rPr>
                <w:sz w:val="20"/>
                <w:szCs w:val="20"/>
              </w:rPr>
            </w:pPr>
            <w:r w:rsidRPr="00377B18">
              <w:rPr>
                <w:sz w:val="20"/>
                <w:szCs w:val="20"/>
              </w:rPr>
              <w:t>TAHIO strongly supports this effort</w:t>
            </w:r>
          </w:p>
        </w:tc>
        <w:tc>
          <w:tcPr>
            <w:tcW w:w="5012" w:type="dxa"/>
          </w:tcPr>
          <w:p w:rsidR="00EE1360" w:rsidRPr="00377B18" w:rsidRDefault="00377B18">
            <w:pPr>
              <w:rPr>
                <w:sz w:val="20"/>
                <w:szCs w:val="20"/>
              </w:rPr>
            </w:pPr>
            <w:r w:rsidRPr="00377B18">
              <w:rPr>
                <w:sz w:val="20"/>
                <w:szCs w:val="20"/>
              </w:rPr>
              <w:t>Several HIEs have created arrangement</w:t>
            </w:r>
            <w:r w:rsidR="00534ABF">
              <w:rPr>
                <w:sz w:val="20"/>
                <w:szCs w:val="20"/>
              </w:rPr>
              <w:t>s</w:t>
            </w:r>
            <w:r w:rsidRPr="00377B18">
              <w:rPr>
                <w:sz w:val="20"/>
                <w:szCs w:val="20"/>
              </w:rPr>
              <w:t xml:space="preserve"> for emergency access</w:t>
            </w:r>
            <w:r w:rsidR="00425C75">
              <w:rPr>
                <w:sz w:val="20"/>
                <w:szCs w:val="20"/>
              </w:rPr>
              <w:t xml:space="preserve"> to a provider portal</w:t>
            </w:r>
            <w:r w:rsidRPr="00377B18">
              <w:rPr>
                <w:sz w:val="20"/>
                <w:szCs w:val="20"/>
              </w:rPr>
              <w:t xml:space="preserve"> in case of evacuations or patient triaging during emergencies and disasters</w:t>
            </w:r>
          </w:p>
        </w:tc>
      </w:tr>
    </w:tbl>
    <w:p w:rsidR="007B4606" w:rsidRDefault="007B4606">
      <w:pPr>
        <w:rPr>
          <w:sz w:val="20"/>
          <w:szCs w:val="20"/>
        </w:rPr>
      </w:pPr>
    </w:p>
    <w:p w:rsidR="00377B18" w:rsidRPr="002E0DAB" w:rsidRDefault="00377B18">
      <w:r w:rsidRPr="002E0DAB">
        <w:t>We believe that community Health Information Exchange</w:t>
      </w:r>
      <w:r w:rsidR="00E82EFE" w:rsidRPr="002E0DAB">
        <w:t>s play</w:t>
      </w:r>
      <w:r w:rsidRPr="002E0DAB">
        <w:t xml:space="preserve"> a </w:t>
      </w:r>
      <w:r w:rsidR="00E82EFE" w:rsidRPr="002E0DAB">
        <w:t>critical role</w:t>
      </w:r>
      <w:r w:rsidRPr="002E0DAB">
        <w:t xml:space="preserve"> in the transition of healthcare from a fee-for-service to an outcomes driven system.  Furthermore, </w:t>
      </w:r>
      <w:r w:rsidR="00E82EFE" w:rsidRPr="002E0DAB">
        <w:t>HIE strongly supports the overall goal of better health, better healthcare at reasonable rates.</w:t>
      </w:r>
    </w:p>
    <w:p w:rsidR="00E82EFE" w:rsidRPr="002E0DAB" w:rsidRDefault="00E82EFE"/>
    <w:p w:rsidR="00E82EFE" w:rsidRPr="002E0DAB" w:rsidRDefault="00E82EFE">
      <w:r w:rsidRPr="002E0DAB">
        <w:t>As an organization, TAHIO is ready to support ONC efforts in its effort to reform healthcare to a practical and cost effective technology supported healthcare environment.</w:t>
      </w:r>
    </w:p>
    <w:p w:rsidR="00E82EFE" w:rsidRPr="002E0DAB" w:rsidRDefault="00E82EFE"/>
    <w:p w:rsidR="00E82EFE" w:rsidRPr="002E0DAB" w:rsidRDefault="00E82EFE">
      <w:r w:rsidRPr="002E0DAB">
        <w:t>In good Health,</w:t>
      </w:r>
    </w:p>
    <w:p w:rsidR="00E82EFE" w:rsidRPr="002E0DAB" w:rsidRDefault="00E82EFE"/>
    <w:p w:rsidR="00E82EFE" w:rsidRPr="002E0DAB" w:rsidRDefault="00E82EFE">
      <w:r w:rsidRPr="002E0DAB">
        <w:t>TAHIO</w:t>
      </w:r>
    </w:p>
    <w:p w:rsidR="00E82EFE" w:rsidRDefault="00E82EFE">
      <w:pPr>
        <w:rPr>
          <w:sz w:val="20"/>
          <w:szCs w:val="20"/>
        </w:rPr>
      </w:pPr>
    </w:p>
    <w:p w:rsidR="00E82EFE" w:rsidRDefault="00E82EFE">
      <w:pPr>
        <w:rPr>
          <w:sz w:val="20"/>
          <w:szCs w:val="20"/>
        </w:rPr>
      </w:pPr>
    </w:p>
    <w:p w:rsidR="00377B18" w:rsidRPr="00377B18" w:rsidRDefault="00377B18">
      <w:pPr>
        <w:rPr>
          <w:sz w:val="20"/>
          <w:szCs w:val="20"/>
        </w:rPr>
      </w:pPr>
    </w:p>
    <w:sectPr w:rsidR="00377B18" w:rsidRPr="00377B18" w:rsidSect="00FF718C">
      <w:headerReference w:type="even" r:id="rId9"/>
      <w:headerReference w:type="default" r:id="rId10"/>
      <w:headerReference w:type="first" r:id="rId11"/>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FE" w:rsidRDefault="003F5FFE" w:rsidP="0094503D">
      <w:pPr>
        <w:spacing w:after="0" w:line="240" w:lineRule="auto"/>
      </w:pPr>
      <w:r>
        <w:separator/>
      </w:r>
    </w:p>
  </w:endnote>
  <w:endnote w:type="continuationSeparator" w:id="0">
    <w:p w:rsidR="003F5FFE" w:rsidRDefault="003F5FFE" w:rsidP="0094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FE" w:rsidRDefault="003F5FFE" w:rsidP="0094503D">
      <w:pPr>
        <w:spacing w:after="0" w:line="240" w:lineRule="auto"/>
      </w:pPr>
      <w:r>
        <w:separator/>
      </w:r>
    </w:p>
  </w:footnote>
  <w:footnote w:type="continuationSeparator" w:id="0">
    <w:p w:rsidR="003F5FFE" w:rsidRDefault="003F5FFE" w:rsidP="00945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70" w:rsidRDefault="003F5F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0985" o:spid="_x0000_s2071" type="#_x0000_t75" style="position:absolute;margin-left:0;margin-top:0;width:459pt;height:594pt;z-index:-251657216;mso-position-horizontal:center;mso-position-horizontal-relative:margin;mso-position-vertical:center;mso-position-vertical-relative:margin" o:allowincell="f">
          <v:imagedata r:id="rId1" o:title="20141222-TAHIO-letterhead-v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70" w:rsidRDefault="003F5F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0986" o:spid="_x0000_s2072" type="#_x0000_t75" style="position:absolute;margin-left:0;margin-top:0;width:612pt;height:11in;z-index:-251656192;mso-position-horizontal:center;mso-position-horizontal-relative:margin;mso-position-vertical:center;mso-position-vertical-relative:margin" o:allowincell="f">
          <v:imagedata r:id="rId1" o:title="20141222-TAHIO-letterhead-v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70" w:rsidRDefault="003F5F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0984" o:spid="_x0000_s2070" type="#_x0000_t75" style="position:absolute;margin-left:0;margin-top:0;width:459pt;height:594pt;z-index:-251658240;mso-position-horizontal:center;mso-position-horizontal-relative:margin;mso-position-vertical:center;mso-position-vertical-relative:margin" o:allowincell="f">
          <v:imagedata r:id="rId1" o:title="20141222-TAHIO-letterhead-v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33CB"/>
    <w:multiLevelType w:val="hybridMultilevel"/>
    <w:tmpl w:val="787CA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A6"/>
    <w:rsid w:val="00003E82"/>
    <w:rsid w:val="0000594E"/>
    <w:rsid w:val="000063D2"/>
    <w:rsid w:val="000069B5"/>
    <w:rsid w:val="00007BF2"/>
    <w:rsid w:val="0001046A"/>
    <w:rsid w:val="00010DC6"/>
    <w:rsid w:val="000133D4"/>
    <w:rsid w:val="00013BC6"/>
    <w:rsid w:val="00016807"/>
    <w:rsid w:val="00021C10"/>
    <w:rsid w:val="0002264B"/>
    <w:rsid w:val="00026795"/>
    <w:rsid w:val="00026EB8"/>
    <w:rsid w:val="0002720E"/>
    <w:rsid w:val="00027623"/>
    <w:rsid w:val="00030B21"/>
    <w:rsid w:val="00033ACF"/>
    <w:rsid w:val="00033F06"/>
    <w:rsid w:val="00035CE0"/>
    <w:rsid w:val="00041267"/>
    <w:rsid w:val="00041326"/>
    <w:rsid w:val="000413C7"/>
    <w:rsid w:val="0004683E"/>
    <w:rsid w:val="00047095"/>
    <w:rsid w:val="00047100"/>
    <w:rsid w:val="00050A1D"/>
    <w:rsid w:val="00051C9E"/>
    <w:rsid w:val="00051F11"/>
    <w:rsid w:val="00053C2A"/>
    <w:rsid w:val="00057C00"/>
    <w:rsid w:val="00057F68"/>
    <w:rsid w:val="0006045D"/>
    <w:rsid w:val="000631A1"/>
    <w:rsid w:val="000637BC"/>
    <w:rsid w:val="00063A1A"/>
    <w:rsid w:val="000665D6"/>
    <w:rsid w:val="00071911"/>
    <w:rsid w:val="0007503B"/>
    <w:rsid w:val="00080946"/>
    <w:rsid w:val="00085E39"/>
    <w:rsid w:val="00085E95"/>
    <w:rsid w:val="0009005A"/>
    <w:rsid w:val="00090FA2"/>
    <w:rsid w:val="00091E11"/>
    <w:rsid w:val="000931AE"/>
    <w:rsid w:val="00094BB6"/>
    <w:rsid w:val="000A2CA3"/>
    <w:rsid w:val="000A45A4"/>
    <w:rsid w:val="000A4C25"/>
    <w:rsid w:val="000A53A4"/>
    <w:rsid w:val="000B0D5E"/>
    <w:rsid w:val="000B2BB5"/>
    <w:rsid w:val="000B2CD7"/>
    <w:rsid w:val="000C3FB2"/>
    <w:rsid w:val="000C5691"/>
    <w:rsid w:val="000D0CF8"/>
    <w:rsid w:val="000D4A4C"/>
    <w:rsid w:val="000E3F3C"/>
    <w:rsid w:val="000E6C49"/>
    <w:rsid w:val="000F731B"/>
    <w:rsid w:val="001004EB"/>
    <w:rsid w:val="00100B7C"/>
    <w:rsid w:val="001152FA"/>
    <w:rsid w:val="00122C97"/>
    <w:rsid w:val="00123755"/>
    <w:rsid w:val="00127E0F"/>
    <w:rsid w:val="001312FB"/>
    <w:rsid w:val="00135E79"/>
    <w:rsid w:val="0015644A"/>
    <w:rsid w:val="0016192A"/>
    <w:rsid w:val="00162845"/>
    <w:rsid w:val="00166205"/>
    <w:rsid w:val="0017141B"/>
    <w:rsid w:val="0017246D"/>
    <w:rsid w:val="00172674"/>
    <w:rsid w:val="0018195B"/>
    <w:rsid w:val="00181BF7"/>
    <w:rsid w:val="0018393F"/>
    <w:rsid w:val="00185038"/>
    <w:rsid w:val="00185CA6"/>
    <w:rsid w:val="001915F6"/>
    <w:rsid w:val="00192193"/>
    <w:rsid w:val="00194800"/>
    <w:rsid w:val="00197055"/>
    <w:rsid w:val="001A1E0C"/>
    <w:rsid w:val="001A26DB"/>
    <w:rsid w:val="001A3093"/>
    <w:rsid w:val="001A6034"/>
    <w:rsid w:val="001C0615"/>
    <w:rsid w:val="001C3A50"/>
    <w:rsid w:val="001C4333"/>
    <w:rsid w:val="001C434A"/>
    <w:rsid w:val="001C6F68"/>
    <w:rsid w:val="001D2D70"/>
    <w:rsid w:val="001D430F"/>
    <w:rsid w:val="001E03DF"/>
    <w:rsid w:val="001E462B"/>
    <w:rsid w:val="001F0507"/>
    <w:rsid w:val="001F47A1"/>
    <w:rsid w:val="001F511E"/>
    <w:rsid w:val="00201A51"/>
    <w:rsid w:val="00213485"/>
    <w:rsid w:val="0021632F"/>
    <w:rsid w:val="0021784E"/>
    <w:rsid w:val="00217DAA"/>
    <w:rsid w:val="00225211"/>
    <w:rsid w:val="00227F82"/>
    <w:rsid w:val="0023721D"/>
    <w:rsid w:val="00247B03"/>
    <w:rsid w:val="0025548D"/>
    <w:rsid w:val="00256184"/>
    <w:rsid w:val="002562DE"/>
    <w:rsid w:val="00257A8A"/>
    <w:rsid w:val="00257BA3"/>
    <w:rsid w:val="00260146"/>
    <w:rsid w:val="002601D5"/>
    <w:rsid w:val="0026149B"/>
    <w:rsid w:val="00265A87"/>
    <w:rsid w:val="00271A15"/>
    <w:rsid w:val="0027769F"/>
    <w:rsid w:val="002842F1"/>
    <w:rsid w:val="00286C56"/>
    <w:rsid w:val="00291F11"/>
    <w:rsid w:val="00295BED"/>
    <w:rsid w:val="002A0858"/>
    <w:rsid w:val="002A4477"/>
    <w:rsid w:val="002A7570"/>
    <w:rsid w:val="002B3F68"/>
    <w:rsid w:val="002C027A"/>
    <w:rsid w:val="002D1FA6"/>
    <w:rsid w:val="002D2220"/>
    <w:rsid w:val="002D3E10"/>
    <w:rsid w:val="002D4625"/>
    <w:rsid w:val="002D46D1"/>
    <w:rsid w:val="002E0DAB"/>
    <w:rsid w:val="002E6D5B"/>
    <w:rsid w:val="002F25B5"/>
    <w:rsid w:val="002F41FE"/>
    <w:rsid w:val="002F4AAB"/>
    <w:rsid w:val="002F7BEE"/>
    <w:rsid w:val="003002F2"/>
    <w:rsid w:val="003040B9"/>
    <w:rsid w:val="00310646"/>
    <w:rsid w:val="003127B2"/>
    <w:rsid w:val="00313962"/>
    <w:rsid w:val="00316250"/>
    <w:rsid w:val="003166D7"/>
    <w:rsid w:val="0032139C"/>
    <w:rsid w:val="003223A8"/>
    <w:rsid w:val="00324EFF"/>
    <w:rsid w:val="003278E9"/>
    <w:rsid w:val="00331FA9"/>
    <w:rsid w:val="00334639"/>
    <w:rsid w:val="00336637"/>
    <w:rsid w:val="00336D83"/>
    <w:rsid w:val="00341291"/>
    <w:rsid w:val="003506C8"/>
    <w:rsid w:val="0035144C"/>
    <w:rsid w:val="00352C5E"/>
    <w:rsid w:val="00352CB5"/>
    <w:rsid w:val="00356E87"/>
    <w:rsid w:val="00357E1E"/>
    <w:rsid w:val="00361A21"/>
    <w:rsid w:val="0036205C"/>
    <w:rsid w:val="003666DB"/>
    <w:rsid w:val="003726E9"/>
    <w:rsid w:val="00373DD3"/>
    <w:rsid w:val="003752AD"/>
    <w:rsid w:val="00375805"/>
    <w:rsid w:val="003759FB"/>
    <w:rsid w:val="00377B18"/>
    <w:rsid w:val="00380F17"/>
    <w:rsid w:val="003874DC"/>
    <w:rsid w:val="00392631"/>
    <w:rsid w:val="003A2914"/>
    <w:rsid w:val="003A5943"/>
    <w:rsid w:val="003B11D9"/>
    <w:rsid w:val="003B1ACA"/>
    <w:rsid w:val="003B4C2B"/>
    <w:rsid w:val="003C717A"/>
    <w:rsid w:val="003D077D"/>
    <w:rsid w:val="003D45F4"/>
    <w:rsid w:val="003D469E"/>
    <w:rsid w:val="003D62CC"/>
    <w:rsid w:val="003D6ED9"/>
    <w:rsid w:val="003D7373"/>
    <w:rsid w:val="003E168A"/>
    <w:rsid w:val="003F062A"/>
    <w:rsid w:val="003F1192"/>
    <w:rsid w:val="003F19AF"/>
    <w:rsid w:val="003F5C67"/>
    <w:rsid w:val="003F5FFE"/>
    <w:rsid w:val="003F6DE3"/>
    <w:rsid w:val="00400EFA"/>
    <w:rsid w:val="00402D53"/>
    <w:rsid w:val="00404AEF"/>
    <w:rsid w:val="004067DB"/>
    <w:rsid w:val="00406970"/>
    <w:rsid w:val="00413910"/>
    <w:rsid w:val="00414E37"/>
    <w:rsid w:val="00415354"/>
    <w:rsid w:val="0042046C"/>
    <w:rsid w:val="0042598E"/>
    <w:rsid w:val="00425C75"/>
    <w:rsid w:val="004341B5"/>
    <w:rsid w:val="00434713"/>
    <w:rsid w:val="00435D06"/>
    <w:rsid w:val="004367CC"/>
    <w:rsid w:val="004367FF"/>
    <w:rsid w:val="00442644"/>
    <w:rsid w:val="00442D45"/>
    <w:rsid w:val="004430AB"/>
    <w:rsid w:val="00450D1D"/>
    <w:rsid w:val="00452E74"/>
    <w:rsid w:val="004543A8"/>
    <w:rsid w:val="00454E7C"/>
    <w:rsid w:val="00456ECD"/>
    <w:rsid w:val="00457938"/>
    <w:rsid w:val="00457C79"/>
    <w:rsid w:val="004662EC"/>
    <w:rsid w:val="0047098F"/>
    <w:rsid w:val="00480935"/>
    <w:rsid w:val="00481411"/>
    <w:rsid w:val="004853C6"/>
    <w:rsid w:val="0048732D"/>
    <w:rsid w:val="00493650"/>
    <w:rsid w:val="00493CDA"/>
    <w:rsid w:val="00496809"/>
    <w:rsid w:val="004972C5"/>
    <w:rsid w:val="004B506E"/>
    <w:rsid w:val="004B5C51"/>
    <w:rsid w:val="004C595E"/>
    <w:rsid w:val="004C79B8"/>
    <w:rsid w:val="004C7C5C"/>
    <w:rsid w:val="004D44D1"/>
    <w:rsid w:val="004E0EAE"/>
    <w:rsid w:val="004E23B0"/>
    <w:rsid w:val="004E40D5"/>
    <w:rsid w:val="004E73B6"/>
    <w:rsid w:val="004E745F"/>
    <w:rsid w:val="004F07D5"/>
    <w:rsid w:val="004F1740"/>
    <w:rsid w:val="004F2215"/>
    <w:rsid w:val="00501D09"/>
    <w:rsid w:val="005053D4"/>
    <w:rsid w:val="005061FF"/>
    <w:rsid w:val="005126B3"/>
    <w:rsid w:val="00524A39"/>
    <w:rsid w:val="0052665F"/>
    <w:rsid w:val="00534ABF"/>
    <w:rsid w:val="00540A3B"/>
    <w:rsid w:val="005429E7"/>
    <w:rsid w:val="00544692"/>
    <w:rsid w:val="00545F62"/>
    <w:rsid w:val="00557717"/>
    <w:rsid w:val="005653E0"/>
    <w:rsid w:val="00567F4C"/>
    <w:rsid w:val="00571906"/>
    <w:rsid w:val="005752B3"/>
    <w:rsid w:val="00577696"/>
    <w:rsid w:val="00582A02"/>
    <w:rsid w:val="005845E1"/>
    <w:rsid w:val="005847BB"/>
    <w:rsid w:val="00585E78"/>
    <w:rsid w:val="00585FA5"/>
    <w:rsid w:val="00587B51"/>
    <w:rsid w:val="00592348"/>
    <w:rsid w:val="005979A4"/>
    <w:rsid w:val="005A089A"/>
    <w:rsid w:val="005A6C8B"/>
    <w:rsid w:val="005A6E2D"/>
    <w:rsid w:val="005B2433"/>
    <w:rsid w:val="005B74DA"/>
    <w:rsid w:val="005C434A"/>
    <w:rsid w:val="005C7737"/>
    <w:rsid w:val="005D0F41"/>
    <w:rsid w:val="005D2BA8"/>
    <w:rsid w:val="005D30F9"/>
    <w:rsid w:val="005D3D46"/>
    <w:rsid w:val="005E2B51"/>
    <w:rsid w:val="005E2D31"/>
    <w:rsid w:val="005E6BE4"/>
    <w:rsid w:val="005F2C65"/>
    <w:rsid w:val="006004A4"/>
    <w:rsid w:val="0060079F"/>
    <w:rsid w:val="00603B24"/>
    <w:rsid w:val="00607BE8"/>
    <w:rsid w:val="0061307E"/>
    <w:rsid w:val="0061415A"/>
    <w:rsid w:val="006147DA"/>
    <w:rsid w:val="0061540E"/>
    <w:rsid w:val="00623AD2"/>
    <w:rsid w:val="0062425D"/>
    <w:rsid w:val="00634CA2"/>
    <w:rsid w:val="00643689"/>
    <w:rsid w:val="00652520"/>
    <w:rsid w:val="0065538C"/>
    <w:rsid w:val="00656D84"/>
    <w:rsid w:val="00661F06"/>
    <w:rsid w:val="00663EA3"/>
    <w:rsid w:val="0066477D"/>
    <w:rsid w:val="00666139"/>
    <w:rsid w:val="00670268"/>
    <w:rsid w:val="00673072"/>
    <w:rsid w:val="00674230"/>
    <w:rsid w:val="00675F74"/>
    <w:rsid w:val="00682A00"/>
    <w:rsid w:val="0068361A"/>
    <w:rsid w:val="0068488D"/>
    <w:rsid w:val="00692C3D"/>
    <w:rsid w:val="00692CC8"/>
    <w:rsid w:val="006951FF"/>
    <w:rsid w:val="006A402F"/>
    <w:rsid w:val="006B30FB"/>
    <w:rsid w:val="006B32C6"/>
    <w:rsid w:val="006B34B9"/>
    <w:rsid w:val="006D22EE"/>
    <w:rsid w:val="006D452C"/>
    <w:rsid w:val="006E552F"/>
    <w:rsid w:val="006E6126"/>
    <w:rsid w:val="006E675E"/>
    <w:rsid w:val="006F0AC3"/>
    <w:rsid w:val="007040BD"/>
    <w:rsid w:val="007056E7"/>
    <w:rsid w:val="00706055"/>
    <w:rsid w:val="00710E5D"/>
    <w:rsid w:val="007111A6"/>
    <w:rsid w:val="00711298"/>
    <w:rsid w:val="00712779"/>
    <w:rsid w:val="00726E8A"/>
    <w:rsid w:val="00730A69"/>
    <w:rsid w:val="0073137F"/>
    <w:rsid w:val="007322C9"/>
    <w:rsid w:val="0073499D"/>
    <w:rsid w:val="007447D2"/>
    <w:rsid w:val="00755AE3"/>
    <w:rsid w:val="00757399"/>
    <w:rsid w:val="0076095B"/>
    <w:rsid w:val="0076156F"/>
    <w:rsid w:val="00763C73"/>
    <w:rsid w:val="007703AD"/>
    <w:rsid w:val="00772D06"/>
    <w:rsid w:val="0077499B"/>
    <w:rsid w:val="007750E1"/>
    <w:rsid w:val="007807D7"/>
    <w:rsid w:val="00781757"/>
    <w:rsid w:val="00781ECE"/>
    <w:rsid w:val="00786675"/>
    <w:rsid w:val="007868A0"/>
    <w:rsid w:val="00796A70"/>
    <w:rsid w:val="007A142E"/>
    <w:rsid w:val="007A288C"/>
    <w:rsid w:val="007A2DD5"/>
    <w:rsid w:val="007A7126"/>
    <w:rsid w:val="007B2CD7"/>
    <w:rsid w:val="007B4606"/>
    <w:rsid w:val="007B5600"/>
    <w:rsid w:val="007C0E1F"/>
    <w:rsid w:val="007C2D2F"/>
    <w:rsid w:val="007C4EA1"/>
    <w:rsid w:val="007C6559"/>
    <w:rsid w:val="007D5335"/>
    <w:rsid w:val="007D6476"/>
    <w:rsid w:val="007E1BAC"/>
    <w:rsid w:val="007E2E2D"/>
    <w:rsid w:val="007E35D7"/>
    <w:rsid w:val="007F0272"/>
    <w:rsid w:val="007F0EBF"/>
    <w:rsid w:val="007F1BE3"/>
    <w:rsid w:val="007F4819"/>
    <w:rsid w:val="007F5347"/>
    <w:rsid w:val="008026CC"/>
    <w:rsid w:val="00810052"/>
    <w:rsid w:val="00820F60"/>
    <w:rsid w:val="00821EC9"/>
    <w:rsid w:val="0082280D"/>
    <w:rsid w:val="008247A9"/>
    <w:rsid w:val="00824CAB"/>
    <w:rsid w:val="00824F97"/>
    <w:rsid w:val="0082589C"/>
    <w:rsid w:val="00831639"/>
    <w:rsid w:val="008462D3"/>
    <w:rsid w:val="00853AE7"/>
    <w:rsid w:val="00853EE3"/>
    <w:rsid w:val="00856F4B"/>
    <w:rsid w:val="0086409A"/>
    <w:rsid w:val="0087171D"/>
    <w:rsid w:val="00876E27"/>
    <w:rsid w:val="00880C66"/>
    <w:rsid w:val="00881B35"/>
    <w:rsid w:val="00882136"/>
    <w:rsid w:val="008847F7"/>
    <w:rsid w:val="008864DA"/>
    <w:rsid w:val="00893685"/>
    <w:rsid w:val="0089379E"/>
    <w:rsid w:val="00895F8C"/>
    <w:rsid w:val="008B06EF"/>
    <w:rsid w:val="008B6195"/>
    <w:rsid w:val="008B6201"/>
    <w:rsid w:val="008B6F82"/>
    <w:rsid w:val="008C23B0"/>
    <w:rsid w:val="008C328E"/>
    <w:rsid w:val="008C505C"/>
    <w:rsid w:val="008C6FB0"/>
    <w:rsid w:val="008D3472"/>
    <w:rsid w:val="008D7DF6"/>
    <w:rsid w:val="008E008C"/>
    <w:rsid w:val="008F10AD"/>
    <w:rsid w:val="008F2D30"/>
    <w:rsid w:val="008F761B"/>
    <w:rsid w:val="008F7991"/>
    <w:rsid w:val="0090031F"/>
    <w:rsid w:val="00906C75"/>
    <w:rsid w:val="00910CDD"/>
    <w:rsid w:val="009117FD"/>
    <w:rsid w:val="009121AF"/>
    <w:rsid w:val="00920384"/>
    <w:rsid w:val="00922BB5"/>
    <w:rsid w:val="00927524"/>
    <w:rsid w:val="009359A0"/>
    <w:rsid w:val="00940653"/>
    <w:rsid w:val="0094503D"/>
    <w:rsid w:val="009608FB"/>
    <w:rsid w:val="009625A6"/>
    <w:rsid w:val="0096680A"/>
    <w:rsid w:val="009707E7"/>
    <w:rsid w:val="00974EA8"/>
    <w:rsid w:val="009843D6"/>
    <w:rsid w:val="00992DA7"/>
    <w:rsid w:val="009949D7"/>
    <w:rsid w:val="009A0BBE"/>
    <w:rsid w:val="009B0E71"/>
    <w:rsid w:val="009B296B"/>
    <w:rsid w:val="009B2D6B"/>
    <w:rsid w:val="009B5825"/>
    <w:rsid w:val="009B5BC7"/>
    <w:rsid w:val="009C3944"/>
    <w:rsid w:val="009D0E56"/>
    <w:rsid w:val="009D2762"/>
    <w:rsid w:val="009D455E"/>
    <w:rsid w:val="009D49E8"/>
    <w:rsid w:val="009E0E6A"/>
    <w:rsid w:val="009E32C4"/>
    <w:rsid w:val="009E336F"/>
    <w:rsid w:val="009E7E1C"/>
    <w:rsid w:val="009F1593"/>
    <w:rsid w:val="009F2213"/>
    <w:rsid w:val="009F50AF"/>
    <w:rsid w:val="009F5398"/>
    <w:rsid w:val="00A00A94"/>
    <w:rsid w:val="00A05C03"/>
    <w:rsid w:val="00A11BE8"/>
    <w:rsid w:val="00A20DAC"/>
    <w:rsid w:val="00A24B3E"/>
    <w:rsid w:val="00A30017"/>
    <w:rsid w:val="00A31ADE"/>
    <w:rsid w:val="00A33B22"/>
    <w:rsid w:val="00A37693"/>
    <w:rsid w:val="00A4188F"/>
    <w:rsid w:val="00A4288C"/>
    <w:rsid w:val="00A44626"/>
    <w:rsid w:val="00A466BA"/>
    <w:rsid w:val="00A512C4"/>
    <w:rsid w:val="00A52130"/>
    <w:rsid w:val="00A6320F"/>
    <w:rsid w:val="00A66091"/>
    <w:rsid w:val="00A66187"/>
    <w:rsid w:val="00A7250E"/>
    <w:rsid w:val="00A72FF5"/>
    <w:rsid w:val="00A748C3"/>
    <w:rsid w:val="00A74FA4"/>
    <w:rsid w:val="00A83A61"/>
    <w:rsid w:val="00A86F27"/>
    <w:rsid w:val="00A92D42"/>
    <w:rsid w:val="00A964CC"/>
    <w:rsid w:val="00AA0BD5"/>
    <w:rsid w:val="00AA4538"/>
    <w:rsid w:val="00AA598D"/>
    <w:rsid w:val="00AA6CCA"/>
    <w:rsid w:val="00AB2757"/>
    <w:rsid w:val="00AB5B38"/>
    <w:rsid w:val="00AB6BA7"/>
    <w:rsid w:val="00AC0BDC"/>
    <w:rsid w:val="00AC42A9"/>
    <w:rsid w:val="00AC6379"/>
    <w:rsid w:val="00AC66E0"/>
    <w:rsid w:val="00AD2DBD"/>
    <w:rsid w:val="00AD4F63"/>
    <w:rsid w:val="00AD659A"/>
    <w:rsid w:val="00AE0309"/>
    <w:rsid w:val="00AE5AA4"/>
    <w:rsid w:val="00AE73C7"/>
    <w:rsid w:val="00AE7466"/>
    <w:rsid w:val="00AF77E7"/>
    <w:rsid w:val="00B06B16"/>
    <w:rsid w:val="00B075C7"/>
    <w:rsid w:val="00B07903"/>
    <w:rsid w:val="00B07B5C"/>
    <w:rsid w:val="00B10370"/>
    <w:rsid w:val="00B10F7E"/>
    <w:rsid w:val="00B131A2"/>
    <w:rsid w:val="00B13AB8"/>
    <w:rsid w:val="00B15B18"/>
    <w:rsid w:val="00B17B7F"/>
    <w:rsid w:val="00B23272"/>
    <w:rsid w:val="00B42905"/>
    <w:rsid w:val="00B429B7"/>
    <w:rsid w:val="00B526D9"/>
    <w:rsid w:val="00B60E81"/>
    <w:rsid w:val="00B62720"/>
    <w:rsid w:val="00B6311E"/>
    <w:rsid w:val="00B6382F"/>
    <w:rsid w:val="00B6558A"/>
    <w:rsid w:val="00B7247A"/>
    <w:rsid w:val="00B7333D"/>
    <w:rsid w:val="00B75C33"/>
    <w:rsid w:val="00B809DE"/>
    <w:rsid w:val="00B80D91"/>
    <w:rsid w:val="00B90103"/>
    <w:rsid w:val="00BA052E"/>
    <w:rsid w:val="00BB19ED"/>
    <w:rsid w:val="00BB1F58"/>
    <w:rsid w:val="00BC485D"/>
    <w:rsid w:val="00BD1EB3"/>
    <w:rsid w:val="00BD54DC"/>
    <w:rsid w:val="00BD78C8"/>
    <w:rsid w:val="00BE3815"/>
    <w:rsid w:val="00BE4E1F"/>
    <w:rsid w:val="00BE5CE0"/>
    <w:rsid w:val="00BF0FB1"/>
    <w:rsid w:val="00BF110B"/>
    <w:rsid w:val="00BF530E"/>
    <w:rsid w:val="00BF6B87"/>
    <w:rsid w:val="00C01527"/>
    <w:rsid w:val="00C02A03"/>
    <w:rsid w:val="00C02FB9"/>
    <w:rsid w:val="00C0580A"/>
    <w:rsid w:val="00C07444"/>
    <w:rsid w:val="00C179E7"/>
    <w:rsid w:val="00C21DFE"/>
    <w:rsid w:val="00C22480"/>
    <w:rsid w:val="00C36BA9"/>
    <w:rsid w:val="00C41C6C"/>
    <w:rsid w:val="00C452D4"/>
    <w:rsid w:val="00C556F2"/>
    <w:rsid w:val="00C574C3"/>
    <w:rsid w:val="00C61F05"/>
    <w:rsid w:val="00C649FB"/>
    <w:rsid w:val="00C66415"/>
    <w:rsid w:val="00C678A1"/>
    <w:rsid w:val="00C70946"/>
    <w:rsid w:val="00C73D2D"/>
    <w:rsid w:val="00C75539"/>
    <w:rsid w:val="00C77A5C"/>
    <w:rsid w:val="00C80BEB"/>
    <w:rsid w:val="00C82337"/>
    <w:rsid w:val="00C83FE7"/>
    <w:rsid w:val="00C8512F"/>
    <w:rsid w:val="00C87A3E"/>
    <w:rsid w:val="00C90E7A"/>
    <w:rsid w:val="00C9624C"/>
    <w:rsid w:val="00CA4217"/>
    <w:rsid w:val="00CA5A49"/>
    <w:rsid w:val="00CB7B10"/>
    <w:rsid w:val="00CC3E54"/>
    <w:rsid w:val="00CC53E4"/>
    <w:rsid w:val="00CC6CAA"/>
    <w:rsid w:val="00CC70DA"/>
    <w:rsid w:val="00CD79FD"/>
    <w:rsid w:val="00CE21B3"/>
    <w:rsid w:val="00CE3E35"/>
    <w:rsid w:val="00CF0B3C"/>
    <w:rsid w:val="00CF3883"/>
    <w:rsid w:val="00CF7BF9"/>
    <w:rsid w:val="00D02535"/>
    <w:rsid w:val="00D02EE7"/>
    <w:rsid w:val="00D07EAB"/>
    <w:rsid w:val="00D1306D"/>
    <w:rsid w:val="00D163E6"/>
    <w:rsid w:val="00D2132C"/>
    <w:rsid w:val="00D2234A"/>
    <w:rsid w:val="00D22B2E"/>
    <w:rsid w:val="00D22B6F"/>
    <w:rsid w:val="00D266C0"/>
    <w:rsid w:val="00D30526"/>
    <w:rsid w:val="00D33A10"/>
    <w:rsid w:val="00D404FC"/>
    <w:rsid w:val="00D47F59"/>
    <w:rsid w:val="00D52A2A"/>
    <w:rsid w:val="00D538DD"/>
    <w:rsid w:val="00D62786"/>
    <w:rsid w:val="00D71BCD"/>
    <w:rsid w:val="00D91872"/>
    <w:rsid w:val="00D948B7"/>
    <w:rsid w:val="00D97E72"/>
    <w:rsid w:val="00DA2397"/>
    <w:rsid w:val="00DB2F32"/>
    <w:rsid w:val="00DB5BAC"/>
    <w:rsid w:val="00DB6536"/>
    <w:rsid w:val="00DC432B"/>
    <w:rsid w:val="00DC43CD"/>
    <w:rsid w:val="00DD120D"/>
    <w:rsid w:val="00DD1AAD"/>
    <w:rsid w:val="00DD25B9"/>
    <w:rsid w:val="00DD3800"/>
    <w:rsid w:val="00DD669B"/>
    <w:rsid w:val="00DE06F0"/>
    <w:rsid w:val="00DE07CD"/>
    <w:rsid w:val="00DE1BC4"/>
    <w:rsid w:val="00DE2C94"/>
    <w:rsid w:val="00DE34CB"/>
    <w:rsid w:val="00DE606C"/>
    <w:rsid w:val="00DE71A1"/>
    <w:rsid w:val="00DE7426"/>
    <w:rsid w:val="00DF1884"/>
    <w:rsid w:val="00DF3E14"/>
    <w:rsid w:val="00DF67B5"/>
    <w:rsid w:val="00E02766"/>
    <w:rsid w:val="00E04CCB"/>
    <w:rsid w:val="00E10143"/>
    <w:rsid w:val="00E15079"/>
    <w:rsid w:val="00E2570B"/>
    <w:rsid w:val="00E345C1"/>
    <w:rsid w:val="00E35A59"/>
    <w:rsid w:val="00E44E46"/>
    <w:rsid w:val="00E52260"/>
    <w:rsid w:val="00E55C7C"/>
    <w:rsid w:val="00E56BF5"/>
    <w:rsid w:val="00E57B22"/>
    <w:rsid w:val="00E57D58"/>
    <w:rsid w:val="00E71CC0"/>
    <w:rsid w:val="00E82EFE"/>
    <w:rsid w:val="00E84024"/>
    <w:rsid w:val="00E84D0E"/>
    <w:rsid w:val="00E87C0C"/>
    <w:rsid w:val="00E922EC"/>
    <w:rsid w:val="00E93463"/>
    <w:rsid w:val="00EA2965"/>
    <w:rsid w:val="00EA6F2C"/>
    <w:rsid w:val="00EA715A"/>
    <w:rsid w:val="00EC2BB2"/>
    <w:rsid w:val="00EC3DEB"/>
    <w:rsid w:val="00EC55D1"/>
    <w:rsid w:val="00EC6293"/>
    <w:rsid w:val="00ED12EB"/>
    <w:rsid w:val="00ED1747"/>
    <w:rsid w:val="00ED6105"/>
    <w:rsid w:val="00ED6852"/>
    <w:rsid w:val="00EE1360"/>
    <w:rsid w:val="00EE6C2D"/>
    <w:rsid w:val="00EF0FBB"/>
    <w:rsid w:val="00EF1C9B"/>
    <w:rsid w:val="00EF237B"/>
    <w:rsid w:val="00F01ED7"/>
    <w:rsid w:val="00F0678B"/>
    <w:rsid w:val="00F0691B"/>
    <w:rsid w:val="00F10379"/>
    <w:rsid w:val="00F10A60"/>
    <w:rsid w:val="00F11EB9"/>
    <w:rsid w:val="00F12C40"/>
    <w:rsid w:val="00F155B2"/>
    <w:rsid w:val="00F156B0"/>
    <w:rsid w:val="00F15A20"/>
    <w:rsid w:val="00F16B9C"/>
    <w:rsid w:val="00F20E62"/>
    <w:rsid w:val="00F2111D"/>
    <w:rsid w:val="00F326A1"/>
    <w:rsid w:val="00F32898"/>
    <w:rsid w:val="00F36C05"/>
    <w:rsid w:val="00F37998"/>
    <w:rsid w:val="00F4063A"/>
    <w:rsid w:val="00F454B3"/>
    <w:rsid w:val="00F51873"/>
    <w:rsid w:val="00F66CA6"/>
    <w:rsid w:val="00F73F76"/>
    <w:rsid w:val="00F756EF"/>
    <w:rsid w:val="00F802A9"/>
    <w:rsid w:val="00F803EB"/>
    <w:rsid w:val="00F81532"/>
    <w:rsid w:val="00F83916"/>
    <w:rsid w:val="00F86334"/>
    <w:rsid w:val="00F904BD"/>
    <w:rsid w:val="00FA31BB"/>
    <w:rsid w:val="00FA3EC9"/>
    <w:rsid w:val="00FB291D"/>
    <w:rsid w:val="00FC290B"/>
    <w:rsid w:val="00FD13FC"/>
    <w:rsid w:val="00FD2B34"/>
    <w:rsid w:val="00FD2FD5"/>
    <w:rsid w:val="00FD6642"/>
    <w:rsid w:val="00FE44C7"/>
    <w:rsid w:val="00FE77F4"/>
    <w:rsid w:val="00FF1BBC"/>
    <w:rsid w:val="00FF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03D"/>
  </w:style>
  <w:style w:type="paragraph" w:styleId="Footer">
    <w:name w:val="footer"/>
    <w:basedOn w:val="Normal"/>
    <w:link w:val="FooterChar"/>
    <w:uiPriority w:val="99"/>
    <w:unhideWhenUsed/>
    <w:rsid w:val="0094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03D"/>
  </w:style>
  <w:style w:type="paragraph" w:styleId="BalloonText">
    <w:name w:val="Balloon Text"/>
    <w:basedOn w:val="Normal"/>
    <w:link w:val="BalloonTextChar"/>
    <w:uiPriority w:val="99"/>
    <w:semiHidden/>
    <w:unhideWhenUsed/>
    <w:rsid w:val="0065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8C"/>
    <w:rPr>
      <w:rFonts w:ascii="Tahoma" w:hAnsi="Tahoma" w:cs="Tahoma"/>
      <w:sz w:val="16"/>
      <w:szCs w:val="16"/>
    </w:rPr>
  </w:style>
  <w:style w:type="paragraph" w:styleId="EnvelopeAddress">
    <w:name w:val="envelope address"/>
    <w:basedOn w:val="Normal"/>
    <w:uiPriority w:val="99"/>
    <w:unhideWhenUsed/>
    <w:rsid w:val="00B10F7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10F7E"/>
    <w:pPr>
      <w:spacing w:after="0" w:line="240" w:lineRule="auto"/>
    </w:pPr>
    <w:rPr>
      <w:rFonts w:asciiTheme="majorHAnsi" w:eastAsiaTheme="majorEastAsia" w:hAnsiTheme="majorHAnsi" w:cstheme="majorBidi"/>
      <w:sz w:val="20"/>
      <w:szCs w:val="20"/>
    </w:rPr>
  </w:style>
  <w:style w:type="paragraph" w:styleId="ListParagraph">
    <w:name w:val="List Paragraph"/>
    <w:basedOn w:val="Normal"/>
    <w:uiPriority w:val="34"/>
    <w:qFormat/>
    <w:rsid w:val="00EE1360"/>
    <w:pPr>
      <w:ind w:left="720"/>
      <w:contextualSpacing/>
    </w:pPr>
  </w:style>
  <w:style w:type="table" w:styleId="TableGrid">
    <w:name w:val="Table Grid"/>
    <w:basedOn w:val="TableNormal"/>
    <w:uiPriority w:val="59"/>
    <w:rsid w:val="00EE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03D"/>
  </w:style>
  <w:style w:type="paragraph" w:styleId="Footer">
    <w:name w:val="footer"/>
    <w:basedOn w:val="Normal"/>
    <w:link w:val="FooterChar"/>
    <w:uiPriority w:val="99"/>
    <w:unhideWhenUsed/>
    <w:rsid w:val="0094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03D"/>
  </w:style>
  <w:style w:type="paragraph" w:styleId="BalloonText">
    <w:name w:val="Balloon Text"/>
    <w:basedOn w:val="Normal"/>
    <w:link w:val="BalloonTextChar"/>
    <w:uiPriority w:val="99"/>
    <w:semiHidden/>
    <w:unhideWhenUsed/>
    <w:rsid w:val="0065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8C"/>
    <w:rPr>
      <w:rFonts w:ascii="Tahoma" w:hAnsi="Tahoma" w:cs="Tahoma"/>
      <w:sz w:val="16"/>
      <w:szCs w:val="16"/>
    </w:rPr>
  </w:style>
  <w:style w:type="paragraph" w:styleId="EnvelopeAddress">
    <w:name w:val="envelope address"/>
    <w:basedOn w:val="Normal"/>
    <w:uiPriority w:val="99"/>
    <w:unhideWhenUsed/>
    <w:rsid w:val="00B10F7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10F7E"/>
    <w:pPr>
      <w:spacing w:after="0" w:line="240" w:lineRule="auto"/>
    </w:pPr>
    <w:rPr>
      <w:rFonts w:asciiTheme="majorHAnsi" w:eastAsiaTheme="majorEastAsia" w:hAnsiTheme="majorHAnsi" w:cstheme="majorBidi"/>
      <w:sz w:val="20"/>
      <w:szCs w:val="20"/>
    </w:rPr>
  </w:style>
  <w:style w:type="paragraph" w:styleId="ListParagraph">
    <w:name w:val="List Paragraph"/>
    <w:basedOn w:val="Normal"/>
    <w:uiPriority w:val="34"/>
    <w:qFormat/>
    <w:rsid w:val="00EE1360"/>
    <w:pPr>
      <w:ind w:left="720"/>
      <w:contextualSpacing/>
    </w:pPr>
  </w:style>
  <w:style w:type="table" w:styleId="TableGrid">
    <w:name w:val="Table Grid"/>
    <w:basedOn w:val="TableNormal"/>
    <w:uiPriority w:val="59"/>
    <w:rsid w:val="00EE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xey\AppData\Roaming\Microsoft\Templates\TAHI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09B7-627A-48EE-A9C9-1DFDF2A1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TAHIO letterhead</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Healthcare Access San Antonio (HASA)</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GvO</dc:creator>
  <cp:lastModifiedBy>Gijs van Oort</cp:lastModifiedBy>
  <cp:revision>2</cp:revision>
  <cp:lastPrinted>2014-12-24T01:32:00Z</cp:lastPrinted>
  <dcterms:created xsi:type="dcterms:W3CDTF">2015-02-03T17:16:00Z</dcterms:created>
  <dcterms:modified xsi:type="dcterms:W3CDTF">2015-02-03T17:16:00Z</dcterms:modified>
</cp:coreProperties>
</file>