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9DB" w:rsidP="5C9995B6" w:rsidRDefault="000039DB" w14:paraId="5D142920" w14:textId="18BA9D9D">
      <w:pPr>
        <w:spacing w:line="257" w:lineRule="auto"/>
      </w:pPr>
      <w:r w:rsidRPr="5C9995B6" w:rsidR="211DEBCA">
        <w:rPr>
          <w:rFonts w:ascii="Calibri" w:hAnsi="Calibri" w:eastAsia="Calibri" w:cs="Calibri"/>
          <w:b w:val="1"/>
          <w:bCs w:val="1"/>
          <w:noProof w:val="0"/>
          <w:sz w:val="22"/>
          <w:szCs w:val="22"/>
          <w:lang w:val="en-US"/>
        </w:rPr>
        <w:t xml:space="preserve">Data element: Travel history Location </w:t>
      </w:r>
    </w:p>
    <w:p w:rsidR="000039DB" w:rsidP="5C9995B6" w:rsidRDefault="000039DB" w14:paraId="7D60747B" w14:textId="0BDA3788">
      <w:pPr>
        <w:spacing w:line="257" w:lineRule="auto"/>
      </w:pPr>
      <w:r w:rsidRPr="5C9995B6" w:rsidR="211DEBCA">
        <w:rPr>
          <w:rFonts w:ascii="Calibri" w:hAnsi="Calibri" w:eastAsia="Calibri" w:cs="Calibri"/>
          <w:b w:val="1"/>
          <w:bCs w:val="1"/>
          <w:noProof w:val="0"/>
          <w:sz w:val="22"/>
          <w:szCs w:val="22"/>
          <w:lang w:val="en-US"/>
        </w:rPr>
        <w:t xml:space="preserve">Old text in black. Newly proposed text in </w:t>
      </w:r>
      <w:r w:rsidRPr="5C9995B6" w:rsidR="211DEBCA">
        <w:rPr>
          <w:rFonts w:ascii="Calibri" w:hAnsi="Calibri" w:eastAsia="Calibri" w:cs="Calibri"/>
          <w:b w:val="1"/>
          <w:bCs w:val="1"/>
          <w:noProof w:val="0"/>
          <w:sz w:val="22"/>
          <w:szCs w:val="22"/>
          <w:highlight w:val="yellow"/>
          <w:lang w:val="en-US"/>
        </w:rPr>
        <w:t>highlight</w:t>
      </w:r>
      <w:r w:rsidRPr="5C9995B6" w:rsidR="211DEBCA">
        <w:rPr>
          <w:rFonts w:ascii="Calibri" w:hAnsi="Calibri" w:eastAsia="Calibri" w:cs="Calibri"/>
          <w:b w:val="1"/>
          <w:bCs w:val="1"/>
          <w:noProof w:val="0"/>
          <w:sz w:val="22"/>
          <w:szCs w:val="22"/>
          <w:lang w:val="en-US"/>
        </w:rPr>
        <w:t xml:space="preserve">. Proposing to add the </w:t>
      </w:r>
      <w:r w:rsidRPr="5C9995B6" w:rsidR="211DEBCA">
        <w:rPr>
          <w:rFonts w:ascii="Calibri" w:hAnsi="Calibri" w:eastAsia="Calibri" w:cs="Calibri"/>
          <w:b w:val="1"/>
          <w:bCs w:val="1"/>
          <w:noProof w:val="0"/>
          <w:sz w:val="22"/>
          <w:szCs w:val="22"/>
          <w:highlight w:val="yellow"/>
          <w:lang w:val="en-US"/>
        </w:rPr>
        <w:t>new</w:t>
      </w:r>
      <w:r w:rsidRPr="5C9995B6" w:rsidR="211DEBCA">
        <w:rPr>
          <w:rFonts w:ascii="Calibri" w:hAnsi="Calibri" w:eastAsia="Calibri" w:cs="Calibri"/>
          <w:b w:val="1"/>
          <w:bCs w:val="1"/>
          <w:noProof w:val="0"/>
          <w:sz w:val="22"/>
          <w:szCs w:val="22"/>
          <w:lang w:val="en-US"/>
        </w:rPr>
        <w:t xml:space="preserve"> language to the existing one: </w:t>
      </w:r>
    </w:p>
    <w:p w:rsidR="000039DB" w:rsidP="5C9995B6" w:rsidRDefault="000039DB" w14:paraId="158FF6A9" w14:textId="1D0CDCBE">
      <w:pPr>
        <w:spacing w:line="257" w:lineRule="auto"/>
      </w:pPr>
      <w:r w:rsidRPr="5C9995B6" w:rsidR="211DEBCA">
        <w:rPr>
          <w:rFonts w:ascii="Calibri" w:hAnsi="Calibri" w:eastAsia="Calibri" w:cs="Calibri"/>
          <w:b w:val="1"/>
          <w:bCs w:val="1"/>
          <w:i w:val="1"/>
          <w:iCs w:val="1"/>
          <w:noProof w:val="0"/>
          <w:sz w:val="22"/>
          <w:szCs w:val="22"/>
          <w:u w:val="single"/>
          <w:lang w:val="en-US"/>
        </w:rPr>
        <w:t>Use Case</w:t>
      </w:r>
    </w:p>
    <w:p w:rsidR="000039DB" w:rsidP="5C9995B6" w:rsidRDefault="000039DB" w14:paraId="2C8BF956" w14:textId="55345E9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Briefly describe the main use cases to support adoption of the data element into the USCDI:</w:t>
      </w:r>
    </w:p>
    <w:p w:rsidR="000039DB" w:rsidP="5C9995B6" w:rsidRDefault="000039DB" w14:paraId="57B43437" w14:textId="413C8B97">
      <w:pPr>
        <w:pStyle w:val="ListParagraph"/>
        <w:numPr>
          <w:ilvl w:val="1"/>
          <w:numId w:val="1"/>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lang w:val="en-US"/>
        </w:rPr>
        <w:t>Exposures to environmental and communicable disease threats through travel play an important role in many public health events and have a significant impact on routine reporting as well. For both reasons it is important for public health investigators to receive discrete travel history information about patients. This information is particularly important in electronic case reporting and during outbreaks.</w:t>
      </w:r>
    </w:p>
    <w:p w:rsidR="000039DB" w:rsidP="5C9995B6" w:rsidRDefault="000039DB" w14:paraId="6CB73A46" w14:textId="627C0A43">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During the COVID-19 pandemic, it has been a standard practice to acquire patient travel history and date during health screenings to assess the risk ofand copy me please the patient and ensure public health safety. </w:t>
      </w:r>
    </w:p>
    <w:p w:rsidR="000039DB" w:rsidP="5C9995B6" w:rsidRDefault="000039DB" w14:paraId="558B7AD7" w14:textId="69F2253C">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Having EHR-based travel history location and date data can enhance precision and efficiency in assessing travel risk and adjusting travel health policies that are beyond its use in healthcare. </w:t>
      </w:r>
    </w:p>
    <w:p w:rsidR="000039DB" w:rsidP="5C9995B6" w:rsidRDefault="000039DB" w14:paraId="7F4A427E" w14:textId="307B1DCE">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This can help CDC and state, tribal, territorial, and local (STLT) public health departments conduct risk assessments among travelers that might have been exposed during travel and to prevent continued spread from travelers which may or may not include post-exposure prophylaxis depending on the condition exposed to; assessment of the risk of importation/translocation of communicable diseases. </w:t>
      </w:r>
      <w:r w:rsidRPr="5C9995B6" w:rsidR="211DEBCA">
        <w:rPr>
          <w:rFonts w:ascii="Calibri" w:hAnsi="Calibri" w:eastAsia="Calibri" w:cs="Calibri"/>
          <w:noProof w:val="0"/>
          <w:color w:val="7E0000"/>
          <w:sz w:val="24"/>
          <w:szCs w:val="24"/>
          <w:highlight w:val="yellow"/>
          <w:lang w:val="en-US"/>
        </w:rPr>
        <w:t>Including these elements within the standard will make them available for use/provisioning to enable interoperable databases to which many jurisdictions already report.</w:t>
      </w:r>
    </w:p>
    <w:p w:rsidR="000039DB" w:rsidP="5C9995B6" w:rsidRDefault="000039DB" w14:paraId="40ED24CB" w14:textId="4E8E9F3D">
      <w:pPr>
        <w:pStyle w:val="ListParagraph"/>
        <w:numPr>
          <w:ilvl w:val="2"/>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At this time, travel history is not always readily available. SLHDs ended up calling the relevant DGMQ to do travel history checks with Department of Homeland Security to determine any relevant international travel history. It certainly would be useful if we could access hospital data that involves travel history for some diseases.</w:t>
      </w:r>
    </w:p>
    <w:p w:rsidR="000039DB" w:rsidP="5C9995B6" w:rsidRDefault="000039DB" w14:paraId="123BAE79" w14:textId="38C8746A">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In situations where rapid assessment of risk for translocation of a novel/emerging communicable disease from specific geographic locations is required to guide interventions (e.g., previous outbreaks of Ebola in West Africa and DRC, emergence of SARS and SARS-CoV-2), these data elements will enable more systematic and timely assessment of population-based risk.</w:t>
      </w:r>
    </w:p>
    <w:p w:rsidR="000039DB" w:rsidP="5C9995B6" w:rsidRDefault="000039DB" w14:paraId="1772AA01" w14:textId="74B04D9D">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Monitoring trends globally to identify expanding ranges for risk when traveling, in order to develop appropriate preventive measures for travelers including assessing whether vaccination should occur before traveling e.g., Zika or Yellow Fever, and COVID-19</w:t>
      </w:r>
    </w:p>
    <w:p w:rsidR="000039DB" w:rsidP="5C9995B6" w:rsidRDefault="000039DB" w14:paraId="6D8793E1" w14:textId="023C99E9">
      <w:pPr>
        <w:spacing w:line="257" w:lineRule="auto"/>
      </w:pPr>
      <w:r w:rsidRPr="5C9995B6" w:rsidR="211DEBCA">
        <w:rPr>
          <w:rFonts w:ascii="Calibri" w:hAnsi="Calibri" w:eastAsia="Calibri" w:cs="Calibri"/>
          <w:noProof w:val="0"/>
          <w:color w:val="000000" w:themeColor="text1" w:themeTint="FF" w:themeShade="FF"/>
          <w:sz w:val="22"/>
          <w:szCs w:val="22"/>
          <w:lang w:val="en-US"/>
        </w:rPr>
        <w:t xml:space="preserve"> </w:t>
      </w:r>
    </w:p>
    <w:p w:rsidR="000039DB" w:rsidP="5C9995B6" w:rsidRDefault="000039DB" w14:paraId="69A4B62F" w14:textId="79E440F7">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Estimate the number of stakeholders who would capture, access, use or exchange this data element or data class:</w:t>
      </w:r>
    </w:p>
    <w:p w:rsidR="000039DB" w:rsidP="5C9995B6" w:rsidRDefault="000039DB" w14:paraId="46970C3B" w14:textId="03080968">
      <w:pPr>
        <w:pStyle w:val="ListParagraph"/>
        <w:numPr>
          <w:ilvl w:val="1"/>
          <w:numId w:val="1"/>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lang w:val="en-US"/>
        </w:rPr>
        <w:t>Travel history would be reported in all jurisdictions as part of electronic case reporting.</w:t>
      </w:r>
    </w:p>
    <w:p w:rsidR="000039DB" w:rsidP="5C9995B6" w:rsidRDefault="000039DB" w14:paraId="73F7AE1D" w14:textId="5E3F61BD">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Healthcare providers – physicians, pharmacists, nurses, and physician assistant  </w:t>
      </w:r>
    </w:p>
    <w:p w:rsidR="000039DB" w:rsidP="5C9995B6" w:rsidRDefault="000039DB" w14:paraId="4518AE69" w14:textId="26F955F9">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50 states Local and State health department </w:t>
      </w:r>
    </w:p>
    <w:p w:rsidR="000039DB" w:rsidP="5C9995B6" w:rsidRDefault="000039DB" w14:paraId="0FED73D5" w14:textId="0EA158D2">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CDC Division Global Migration and Quarantine  </w:t>
      </w:r>
    </w:p>
    <w:p w:rsidR="000039DB" w:rsidP="5C9995B6" w:rsidRDefault="000039DB" w14:paraId="15DC9D64" w14:textId="636D796C">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Centers for Medicare &amp; Medicaid Services</w:t>
      </w:r>
    </w:p>
    <w:p w:rsidR="000039DB" w:rsidP="5C9995B6" w:rsidRDefault="000039DB" w14:paraId="38786D43" w14:textId="1DEB1E01">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Currently built into national case notifications to CDC for 25 reportable conditions using the case notification HL7 message mapping guide format. Anticipate within the next couple of years to make travel history available for all notifiable conditions</w:t>
      </w:r>
    </w:p>
    <w:p w:rsidR="000039DB" w:rsidP="5C9995B6" w:rsidRDefault="000039DB" w14:paraId="68F4A838" w14:textId="185F0605">
      <w:pPr>
        <w:spacing w:line="257" w:lineRule="auto"/>
      </w:pPr>
      <w:r w:rsidRPr="5C9995B6" w:rsidR="211DEBCA">
        <w:rPr>
          <w:rFonts w:ascii="Calibri" w:hAnsi="Calibri" w:eastAsia="Calibri" w:cs="Calibri"/>
          <w:b w:val="1"/>
          <w:bCs w:val="1"/>
          <w:i w:val="1"/>
          <w:iCs w:val="1"/>
          <w:noProof w:val="0"/>
          <w:sz w:val="22"/>
          <w:szCs w:val="22"/>
          <w:u w:val="single"/>
          <w:lang w:val="en-US"/>
        </w:rPr>
        <w:t xml:space="preserve">Maturity </w:t>
      </w:r>
    </w:p>
    <w:p w:rsidR="000039DB" w:rsidP="5C9995B6" w:rsidRDefault="000039DB" w14:paraId="3BBFFFB7" w14:textId="48C97691">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 xml:space="preserve">Does a vocabulary, terminology, content, or structural standard exist for this data element? </w:t>
      </w:r>
    </w:p>
    <w:p w:rsidR="000039DB" w:rsidP="5C9995B6" w:rsidRDefault="000039DB" w14:paraId="0C4FDEA3" w14:textId="2FCA908F">
      <w:pPr>
        <w:pStyle w:val="ListParagraph"/>
        <w:numPr>
          <w:ilvl w:val="1"/>
          <w:numId w:val="2"/>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highlight w:val="yellow"/>
          <w:lang w:val="en-US"/>
        </w:rPr>
        <w:t>Yes</w:t>
      </w:r>
      <w:r w:rsidRPr="5C9995B6" w:rsidR="211DEBCA">
        <w:rPr>
          <w:rFonts w:ascii="Calibri" w:hAnsi="Calibri" w:eastAsia="Calibri" w:cs="Calibri"/>
          <w:noProof w:val="0"/>
          <w:sz w:val="22"/>
          <w:szCs w:val="22"/>
          <w:lang w:val="en-US"/>
        </w:rPr>
        <w:t>, No, or unknown</w:t>
      </w:r>
    </w:p>
    <w:p w:rsidR="000039DB" w:rsidP="5C9995B6" w:rsidRDefault="000039DB" w14:paraId="3579D7B4" w14:textId="3004540D">
      <w:pPr>
        <w:pStyle w:val="ListParagraph"/>
        <w:numPr>
          <w:ilvl w:val="1"/>
          <w:numId w:val="2"/>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If yes, please cite the applicable standard*: (provide URL link)</w:t>
      </w:r>
    </w:p>
    <w:p w:rsidR="000039DB" w:rsidP="5C9995B6" w:rsidRDefault="000039DB" w14:paraId="39DEA2F6" w14:textId="2D80A0D5">
      <w:pPr>
        <w:pStyle w:val="ListParagraph"/>
        <w:numPr>
          <w:ilvl w:val="2"/>
          <w:numId w:val="2"/>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lang w:val="en-US"/>
        </w:rPr>
        <w:t>SNOMED: 420008001 |Travel (event)|</w:t>
      </w:r>
    </w:p>
    <w:p w:rsidR="000039DB" w:rsidP="5C9995B6" w:rsidRDefault="000039DB" w14:paraId="4FDB3868" w14:textId="3299313D">
      <w:pPr>
        <w:pStyle w:val="ListParagraph"/>
        <w:numPr>
          <w:ilvl w:val="2"/>
          <w:numId w:val="2"/>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lang w:val="en-US"/>
        </w:rPr>
        <w:t>Geographical location history (</w:t>
      </w:r>
      <w:hyperlink r:id="R51844122149f498f">
        <w:r w:rsidRPr="5C9995B6" w:rsidR="211DEBCA">
          <w:rPr>
            <w:rStyle w:val="Hyperlink"/>
            <w:rFonts w:ascii="Calibri" w:hAnsi="Calibri" w:eastAsia="Calibri" w:cs="Calibri"/>
            <w:strike w:val="0"/>
            <w:dstrike w:val="0"/>
            <w:noProof w:val="0"/>
            <w:sz w:val="22"/>
            <w:szCs w:val="22"/>
            <w:lang w:val="en-US"/>
          </w:rPr>
          <w:t>https://phinvads.cdc.gov/vads/ViewValueSet.action?oid=2.16.840.1.114222.4.do</w:t>
        </w:r>
      </w:hyperlink>
      <w:r w:rsidRPr="5C9995B6" w:rsidR="211DEBCA">
        <w:rPr>
          <w:rFonts w:ascii="Calibri" w:hAnsi="Calibri" w:eastAsia="Calibri" w:cs="Calibri"/>
          <w:noProof w:val="0"/>
          <w:sz w:val="22"/>
          <w:szCs w:val="22"/>
          <w:lang w:val="en-US"/>
        </w:rPr>
        <w:t xml:space="preserve"> 11.3201)</w:t>
      </w:r>
    </w:p>
    <w:p w:rsidR="000039DB" w:rsidP="5C9995B6" w:rsidRDefault="000039DB" w14:paraId="332A59BE" w14:textId="3D1738AB">
      <w:pPr>
        <w:pStyle w:val="ListParagraph"/>
        <w:numPr>
          <w:ilvl w:val="2"/>
          <w:numId w:val="2"/>
        </w:numPr>
        <w:rPr>
          <w:rFonts w:ascii="Calibri" w:hAnsi="Calibri" w:eastAsia="Calibri" w:cs="Calibri" w:asciiTheme="minorAscii" w:hAnsiTheme="minorAscii" w:eastAsiaTheme="minorAscii" w:cstheme="minorAscii"/>
          <w:sz w:val="22"/>
          <w:szCs w:val="22"/>
        </w:rPr>
      </w:pPr>
      <w:r w:rsidRPr="5C9995B6" w:rsidR="211DEBCA">
        <w:rPr>
          <w:rFonts w:ascii="Calibri" w:hAnsi="Calibri" w:eastAsia="Calibri" w:cs="Calibri"/>
          <w:noProof w:val="0"/>
          <w:sz w:val="22"/>
          <w:szCs w:val="22"/>
          <w:lang w:val="en-US"/>
        </w:rPr>
        <w:t>ISO 3166 country codes (</w:t>
      </w:r>
      <w:hyperlink r:id="R533b577932e04889">
        <w:r w:rsidRPr="5C9995B6" w:rsidR="211DEBCA">
          <w:rPr>
            <w:rStyle w:val="Hyperlink"/>
            <w:rFonts w:ascii="Calibri" w:hAnsi="Calibri" w:eastAsia="Calibri" w:cs="Calibri"/>
            <w:strike w:val="0"/>
            <w:dstrike w:val="0"/>
            <w:noProof w:val="0"/>
            <w:sz w:val="22"/>
            <w:szCs w:val="22"/>
            <w:lang w:val="en-US"/>
          </w:rPr>
          <w:t>https://www.iso.org/iso-3166-country-codes.html</w:t>
        </w:r>
      </w:hyperlink>
      <w:r w:rsidRPr="5C9995B6" w:rsidR="211DEBCA">
        <w:rPr>
          <w:rFonts w:ascii="Calibri" w:hAnsi="Calibri" w:eastAsia="Calibri" w:cs="Calibri"/>
          <w:noProof w:val="0"/>
          <w:sz w:val="22"/>
          <w:szCs w:val="22"/>
          <w:lang w:val="en-US"/>
        </w:rPr>
        <w:t>)</w:t>
      </w:r>
    </w:p>
    <w:p w:rsidR="000039DB" w:rsidP="5C9995B6" w:rsidRDefault="000039DB" w14:paraId="6D71D709" w14:textId="26977FC0">
      <w:pPr>
        <w:pStyle w:val="ListParagraph"/>
        <w:numPr>
          <w:ilvl w:val="2"/>
          <w:numId w:val="2"/>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NCI_Thesaurus 22.08e: code C173619 </w:t>
      </w:r>
    </w:p>
    <w:p w:rsidR="000039DB" w:rsidP="5C9995B6" w:rsidRDefault="000039DB" w14:paraId="22399EFC" w14:textId="49258DE8">
      <w:pPr>
        <w:pStyle w:val="ListParagraph"/>
        <w:numPr>
          <w:ilvl w:val="2"/>
          <w:numId w:val="2"/>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LOINC v2.72 code: PhenX measure - international travel history:-:Pt:^Patient:-:PhenX (Code 62887-5)</w:t>
      </w:r>
    </w:p>
    <w:p w:rsidR="000039DB" w:rsidP="5C9995B6" w:rsidRDefault="000039DB" w14:paraId="4D9CA05B" w14:textId="36A71B36">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 xml:space="preserve">Are there additional technical specifications such as an implementation guide (IG) or profile using this data element? </w:t>
      </w:r>
    </w:p>
    <w:p w:rsidR="000039DB" w:rsidP="5C9995B6" w:rsidRDefault="000039DB" w14:paraId="500DE2A8" w14:textId="767F5801">
      <w:pPr>
        <w:pStyle w:val="ListParagraph"/>
        <w:numPr>
          <w:ilvl w:val="1"/>
          <w:numId w:val="2"/>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Choose:</w:t>
      </w:r>
      <w:r w:rsidRPr="5C9995B6" w:rsidR="211DEBCA">
        <w:rPr>
          <w:rFonts w:ascii="Calibri" w:hAnsi="Calibri" w:eastAsia="Calibri" w:cs="Calibri"/>
          <w:noProof w:val="0"/>
          <w:sz w:val="22"/>
          <w:szCs w:val="22"/>
          <w:lang w:val="en-US"/>
        </w:rPr>
        <w:t xml:space="preserve"> </w:t>
      </w:r>
      <w:r w:rsidRPr="5C9995B6" w:rsidR="211DEBCA">
        <w:rPr>
          <w:rFonts w:ascii="Calibri" w:hAnsi="Calibri" w:eastAsia="Calibri" w:cs="Calibri"/>
          <w:noProof w:val="0"/>
          <w:sz w:val="22"/>
          <w:szCs w:val="22"/>
          <w:highlight w:val="yellow"/>
          <w:lang w:val="en-US"/>
        </w:rPr>
        <w:t>Yes</w:t>
      </w:r>
      <w:r w:rsidRPr="5C9995B6" w:rsidR="211DEBCA">
        <w:rPr>
          <w:rFonts w:ascii="Calibri" w:hAnsi="Calibri" w:eastAsia="Calibri" w:cs="Calibri"/>
          <w:noProof w:val="0"/>
          <w:sz w:val="22"/>
          <w:szCs w:val="22"/>
          <w:lang w:val="en-US"/>
        </w:rPr>
        <w:t>, No, Unknown</w:t>
      </w:r>
      <w:r w:rsidRPr="5C9995B6" w:rsidR="211DEBCA">
        <w:rPr>
          <w:rFonts w:ascii="Calibri" w:hAnsi="Calibri" w:eastAsia="Calibri" w:cs="Calibri"/>
          <w:b w:val="1"/>
          <w:bCs w:val="1"/>
          <w:noProof w:val="0"/>
          <w:sz w:val="22"/>
          <w:szCs w:val="22"/>
          <w:lang w:val="en-US"/>
        </w:rPr>
        <w:t xml:space="preserve"> </w:t>
      </w:r>
    </w:p>
    <w:p w:rsidR="000039DB" w:rsidP="5C9995B6" w:rsidRDefault="000039DB" w14:paraId="0D209218" w14:textId="75B03717">
      <w:pPr>
        <w:pStyle w:val="ListParagraph"/>
        <w:numPr>
          <w:ilvl w:val="1"/>
          <w:numId w:val="2"/>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If yes, please cite the relevant technical specification(s):</w:t>
      </w:r>
    </w:p>
    <w:p w:rsidR="000039DB" w:rsidP="5C9995B6" w:rsidRDefault="000039DB" w14:paraId="5221EAE9" w14:textId="13C01734">
      <w:pPr>
        <w:pStyle w:val="ListParagraph"/>
        <w:numPr>
          <w:ilvl w:val="2"/>
          <w:numId w:val="2"/>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HL7 FHIR® Implementation Guide: Electronic Case Reporting (eCR) </w:t>
      </w:r>
      <w:hyperlink r:id="Rb921403078964c67">
        <w:r w:rsidRPr="5C9995B6" w:rsidR="211DEBCA">
          <w:rPr>
            <w:rStyle w:val="Hyperlink"/>
            <w:rFonts w:ascii="Calibri" w:hAnsi="Calibri" w:eastAsia="Calibri" w:cs="Calibri"/>
            <w:strike w:val="0"/>
            <w:dstrike w:val="0"/>
            <w:noProof w:val="0"/>
            <w:sz w:val="22"/>
            <w:szCs w:val="22"/>
            <w:highlight w:val="yellow"/>
            <w:lang w:val="en-US"/>
          </w:rPr>
          <w:t>http://build.fhir.org/ig/HL7/case-reporting/StructureDefinition-us-ph-travel-history.html</w:t>
        </w:r>
      </w:hyperlink>
    </w:p>
    <w:p w:rsidR="000039DB" w:rsidP="5C9995B6" w:rsidRDefault="000039DB" w14:paraId="520DDC8C" w14:textId="7D3E86EC">
      <w:pPr>
        <w:spacing w:line="257" w:lineRule="auto"/>
      </w:pPr>
      <w:r w:rsidRPr="5C9995B6" w:rsidR="211DEBCA">
        <w:rPr>
          <w:rFonts w:ascii="Calibri" w:hAnsi="Calibri" w:eastAsia="Calibri" w:cs="Calibri"/>
          <w:b w:val="1"/>
          <w:bCs w:val="1"/>
          <w:i w:val="1"/>
          <w:iCs w:val="1"/>
          <w:noProof w:val="0"/>
          <w:sz w:val="22"/>
          <w:szCs w:val="22"/>
          <w:u w:val="single"/>
          <w:lang w:val="en-US"/>
        </w:rPr>
        <w:t xml:space="preserve">Challenges </w:t>
      </w:r>
    </w:p>
    <w:p w:rsidR="000039DB" w:rsidP="5C9995B6" w:rsidRDefault="000039DB" w14:paraId="52231A31" w14:textId="42159A43">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C9995B6" w:rsidR="211DEBCA">
        <w:rPr>
          <w:rFonts w:ascii="Calibri" w:hAnsi="Calibri" w:eastAsia="Calibri" w:cs="Calibri"/>
          <w:b w:val="1"/>
          <w:bCs w:val="1"/>
          <w:noProof w:val="0"/>
          <w:sz w:val="22"/>
          <w:szCs w:val="22"/>
          <w:lang w:val="en-US"/>
        </w:rPr>
        <w:t>Describe any privacy and security concerns with the use and exchange of this data element.*</w:t>
      </w:r>
    </w:p>
    <w:p w:rsidR="000039DB" w:rsidP="5C9995B6" w:rsidRDefault="000039DB" w14:paraId="44BC3D52" w14:textId="3C79A9F2">
      <w:pPr>
        <w:pStyle w:val="ListParagraph"/>
        <w:numPr>
          <w:ilvl w:val="1"/>
          <w:numId w:val="1"/>
        </w:numPr>
        <w:rPr>
          <w:rFonts w:ascii="Calibri" w:hAnsi="Calibri" w:eastAsia="Calibri" w:cs="Calibri" w:asciiTheme="minorAscii" w:hAnsiTheme="minorAscii" w:eastAsiaTheme="minorAscii" w:cstheme="minorAscii"/>
          <w:color w:val="7E0000"/>
          <w:sz w:val="22"/>
          <w:szCs w:val="22"/>
        </w:rPr>
      </w:pPr>
      <w:r w:rsidRPr="5C9995B6" w:rsidR="211DEBCA">
        <w:rPr>
          <w:rFonts w:ascii="Calibri" w:hAnsi="Calibri" w:eastAsia="Calibri" w:cs="Calibri"/>
          <w:noProof w:val="0"/>
          <w:color w:val="7E0000"/>
          <w:sz w:val="22"/>
          <w:szCs w:val="22"/>
          <w:highlight w:val="yellow"/>
          <w:lang w:val="en-US"/>
        </w:rPr>
        <w:t xml:space="preserve">Health Insurance Portability and Accountability Act (HIPAA, </w:t>
      </w:r>
      <w:hyperlink r:id="R67ae380a2f5f4b60">
        <w:r w:rsidRPr="5C9995B6" w:rsidR="211DEBCA">
          <w:rPr>
            <w:rStyle w:val="Hyperlink"/>
            <w:rFonts w:ascii="Calibri" w:hAnsi="Calibri" w:eastAsia="Calibri" w:cs="Calibri"/>
            <w:strike w:val="0"/>
            <w:dstrike w:val="0"/>
            <w:noProof w:val="0"/>
            <w:sz w:val="22"/>
            <w:szCs w:val="22"/>
            <w:highlight w:val="yellow"/>
            <w:lang w:val="en-US"/>
          </w:rPr>
          <w:t>https://www.hhs.gov/hipaa/index.html</w:t>
        </w:r>
      </w:hyperlink>
      <w:r w:rsidRPr="5C9995B6" w:rsidR="211DEBCA">
        <w:rPr>
          <w:rFonts w:ascii="Calibri" w:hAnsi="Calibri" w:eastAsia="Calibri" w:cs="Calibri"/>
          <w:noProof w:val="0"/>
          <w:color w:val="7E0000"/>
          <w:sz w:val="22"/>
          <w:szCs w:val="22"/>
          <w:highlight w:val="yellow"/>
          <w:lang w:val="en-US"/>
        </w:rPr>
        <w:t>)</w:t>
      </w:r>
    </w:p>
    <w:p w:rsidR="000039DB" w:rsidP="5C9995B6" w:rsidRDefault="000039DB" w14:paraId="7E024E75" w14:textId="7629D374">
      <w:pPr>
        <w:spacing w:line="257" w:lineRule="auto"/>
        <w:rPr>
          <w:rFonts w:ascii="Calibri" w:hAnsi="Calibri" w:eastAsia="Calibri" w:cs="Calibri"/>
          <w:b w:val="1"/>
          <w:bCs w:val="1"/>
          <w:noProof w:val="0"/>
          <w:sz w:val="22"/>
          <w:szCs w:val="22"/>
          <w:lang w:val="en-US"/>
        </w:rPr>
      </w:pPr>
    </w:p>
    <w:p w:rsidR="000039DB" w:rsidP="5C9995B6" w:rsidRDefault="000039DB" w14:paraId="2C078E63" w14:textId="0835E751">
      <w:pPr>
        <w:pStyle w:val="Normal"/>
      </w:pPr>
    </w:p>
    <w:sectPr w:rsidR="000039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B24060"/>
    <w:rsid w:val="000039DB"/>
    <w:rsid w:val="211DEBCA"/>
    <w:rsid w:val="22B24060"/>
    <w:rsid w:val="5C999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4060"/>
  <w15:chartTrackingRefBased/>
  <w15:docId w15:val="{1F524E33-36C2-4207-9637-F2665A7D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51844122149f498f" Type="http://schemas.openxmlformats.org/officeDocument/2006/relationships/hyperlink" Target="https://phinvads.cdc.gov/vads/ViewValueSet.action?oid=2.16.840.1.114222.4.do" TargetMode="External"/><Relationship Id="Rb921403078964c67" Type="http://schemas.openxmlformats.org/officeDocument/2006/relationships/hyperlink" Target="http://build.fhir.org/ig/HL7/case-reporting/StructureDefinition-us-ph-travel-history.html"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7ae380a2f5f4b60" Type="http://schemas.openxmlformats.org/officeDocument/2006/relationships/hyperlink" Target="https://www.hhs.gov/hipaa/index.html" TargetMode="External"/><Relationship Id="rId4" Type="http://schemas.openxmlformats.org/officeDocument/2006/relationships/fontTable" Target="fontTable.xml"/><Relationship Id="R533b577932e04889" Type="http://schemas.openxmlformats.org/officeDocument/2006/relationships/hyperlink" Target="https://www.iso.org/iso-3166-country-codes.html" TargetMode="External"/><Relationship Id="Rcf3749e2091b45a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B6ADEB52B24193E96345BE14BA7A" ma:contentTypeVersion="10" ma:contentTypeDescription="Create a new document." ma:contentTypeScope="" ma:versionID="156844d9ccedef99cc55b7e8646223f4">
  <xsd:schema xmlns:xsd="http://www.w3.org/2001/XMLSchema" xmlns:xs="http://www.w3.org/2001/XMLSchema" xmlns:p="http://schemas.microsoft.com/office/2006/metadata/properties" xmlns:ns2="f2de91ea-77ab-46e6-ba46-8ee478558b0e" xmlns:ns3="d780a145-6e79-4c9c-90b5-3753d93ab5ac" targetNamespace="http://schemas.microsoft.com/office/2006/metadata/properties" ma:root="true" ma:fieldsID="2bed6715f166676c43b0dbab8aa7ec90" ns2:_="" ns3:_="">
    <xsd:import namespace="f2de91ea-77ab-46e6-ba46-8ee478558b0e"/>
    <xsd:import namespace="d780a145-6e79-4c9c-90b5-3753d93ab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e91ea-77ab-46e6-ba46-8ee47855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a145-6e79-4c9c-90b5-3753d93ab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E8178-DAA9-47A4-B297-60C7E2F478B4}"/>
</file>

<file path=customXml/itemProps2.xml><?xml version="1.0" encoding="utf-8"?>
<ds:datastoreItem xmlns:ds="http://schemas.openxmlformats.org/officeDocument/2006/customXml" ds:itemID="{2D3942F8-DBCD-4C8E-AF09-0F7EC20F5595}"/>
</file>

<file path=customXml/itemProps3.xml><?xml version="1.0" encoding="utf-8"?>
<ds:datastoreItem xmlns:ds="http://schemas.openxmlformats.org/officeDocument/2006/customXml" ds:itemID="{8CB8587E-4324-4E7B-BC46-E7FEC85A6D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Lekiachvili, Akaki (CDC/DDNID/NCCDPHP/OD)</dc:creator>
  <cp:keywords/>
  <dc:description/>
  <cp:lastModifiedBy>Lekiachvili, Akaki (CDC/DDNID/NCCDPHP/OD)</cp:lastModifiedBy>
  <cp:revision>2</cp:revision>
  <dcterms:created xsi:type="dcterms:W3CDTF">2022-09-21T14:24:00Z</dcterms:created>
  <dcterms:modified xsi:type="dcterms:W3CDTF">2022-09-21T14:24:47Z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2022-09-21T14:24:33Z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bd380c52-ee66-4f17-b4d2-150301871fea</vt:lpwstr>
  </property>
  <property fmtid="{D5CDD505-2E9C-101B-9397-08002B2CF9AE}" pid="8" name="MSIP_Label_8af03ff0-41c5-4c41-b55e-fabb8fae94be_ContentBits">
    <vt:lpwstr>0</vt:lpwstr>
  </property>
  <property fmtid="{D5CDD505-2E9C-101B-9397-08002B2CF9AE}" pid="9" name="ContentTypeId">
    <vt:lpwstr>0x0101008675B6ADEB52B24193E96345BE14BA7A</vt:lpwstr>
  </property>
</Properties>
</file>